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2A. Income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3"/>
        <w:gridCol w:w="1206"/>
        <w:gridCol w:w="1731"/>
        <w:gridCol w:w="1621"/>
        <w:gridCol w:w="1853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Unique Clans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(Wtd.)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(Unwtd.)</w:t>
            </w:r>
          </w:p>
        </w:tc>
      </w:tr>
      <w:tr>
        <w:trPr>
          <w:trHeight w:val="59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233,551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2,892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98,048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81,076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62,657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2,892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373,508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302,209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Estimates weighted using PSID family and clan weights.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2025-09-03T12:30:10Z</dcterms:modified>
  <cp:category/>
</cp:coreProperties>
</file>