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X. Wealth Inequality Indices by Period (Weighted)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12"/>
        <w:gridCol w:w="1792"/>
        <w:gridCol w:w="1927"/>
        <w:gridCol w:w="1670"/>
        <w:gridCol w:w="1804"/>
        <w:gridCol w:w="1071"/>
        <w:gridCol w:w="1205"/>
      </w:tblGrid>
      <w:tr>
        <w:trPr>
          <w:trHeight w:val="61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Band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C1 (Bonf.) HH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C1 (Bonf.) Clan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C2 (Gini) HH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C2 (Gini) Clan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C3 HH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C3 Clan</w:t>
            </w:r>
          </w:p>
        </w:tc>
      </w:tr>
      <w:tr>
        <w:trPr>
          <w:trHeight w:val="569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1984–1994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0.188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0.832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0.713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0.022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0.053</w:t>
            </w:r>
          </w:p>
        </w:tc>
      </w:tr>
      <w:tr>
        <w:trPr>
          <w:trHeight w:val="569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1999–2009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0.049</w:t>
            </w:r>
          </w:p>
        </w:tc>
      </w:tr>
      <w:tr>
        <w:trPr>
          <w:trHeight w:val="570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2011–2021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0.042</w:t>
            </w:r>
          </w:p>
        </w:tc>
      </w:tr>
      <w:tr>
        <w:trPr>
          <w:trHeight w:val="569" w:hRule="auto"/>
        </w:trPr>
        body4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All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0.088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0.175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0.848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0.727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0.047</w:t>
            </w:r>
          </w:p>
        </w:tc>
      </w:tr>
    </w:tbl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z w:val="18"/>
          <w:szCs w:val="18"/>
          <w:color w:val="000000"/>
        </w:rPr>
        <w:t xml:space="preserve">Note: C1 = Bonferroni index, C2 = Gini coefficient, C3 = third Lorenz moment. Based on weighted household and clan data.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amanda</cp:lastModifiedBy>
  <cp:revision>9</cp:revision>
  <dcterms:created xsi:type="dcterms:W3CDTF">2017-02-28T11:18:00Z</dcterms:created>
  <dcterms:modified xsi:type="dcterms:W3CDTF">2025-09-15T10:22:39Z</dcterms:modified>
  <cp:category/>
</cp:coreProperties>
</file>