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2.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3.png" ContentType="image/png"/>
  <Override PartName="/word/media/rId67.png" ContentType="image/png"/>
  <Override PartName="/word/media/rId71.png" ContentType="image/png"/>
  <Override PartName="/word/media/rId75.png" ContentType="image/png"/>
  <Override PartName="/word/media/rId79.png" ContentType="image/png"/>
  <Override PartName="/word/media/rId83.png" ContentType="image/png"/>
  <Override PartName="/word/media/rId13.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Names</w:t>
      </w:r>
    </w:p>
    <w:p>
      <w:pPr>
        <w:pStyle w:val="Date"/>
      </w:pPr>
      <w:r>
        <w:t xml:space="preserve">April 02, 2026</w:t>
      </w:r>
    </w:p>
    <w:bookmarkStart w:id="9" w:name="abstract"/>
    <w:p>
      <w:pPr>
        <w:pStyle w:val="Heading1"/>
      </w:pPr>
      <w:r>
        <w:t xml:space="preserve">Abstract</w:t>
      </w:r>
    </w:p>
    <w:p>
      <w:pPr>
        <w:pStyle w:val="FirstParagraph"/>
      </w:pPr>
      <w:r>
        <w:t xml:space="preserve">Most macro-level studies of inequality treat households as the primary unit of analysis, focusing on disparities between households. As a result, far less is known about inequality between extended families. Building on research highlighting the importance of intergenerational family ties, we examine income and wealth inequality in the United States using both households and intergenerational extended families—hereafter referred to as clans. Using data from the Panel Study of Income Dynamics (PSID), we calculate Gini coefficients for income and wealth at the household and clan levels from 1969 to 2023. We find that both income and wealth inequality are higher when measured at the household level than at the clan level. Wealth inequality has increased at similar rates across both units, whereas income inequality has grown more rapidly at the clan level than at the household level. These divergent patterns reflect differences in where inequality emerges within the distributions: the gap between household and clan wealth inequality is driven primarily by those in the middle of the wealth distribution, while the gap in income inequality is driven by units across the entire income distribution. Finally, although the mean racial wealth gap between Black and non-Black households and clans is similar, the median racial wealth gap is more pronounced at the household level. Together, these findings underscore the importance of considering extended families—in addition to households—when examining contemporary patterns of inequality in the United States.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across households, leaving inequality across extended families largely unexplored.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[15]</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intergenerational extended families—what we refer to as</w:t>
      </w:r>
      <w:r>
        <w:t xml:space="preserve"> </w:t>
      </w:r>
      <w:r>
        <w:t xml:space="preserve">“clans”</w:t>
      </w:r>
      <w:r>
        <w:t xml:space="preserve"> </w:t>
      </w:r>
      <w:r>
        <w:t xml:space="preserve">[16]</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1969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 level depends on the relationship between clan size, the overall distribution of resources, and the selection of households into clans.</w:t>
      </w:r>
    </w:p>
    <w:bookmarkEnd w:id="12"/>
    <w:bookmarkStart w:id="22" w:name="results"/>
    <w:p>
      <w:pPr>
        <w:pStyle w:val="Heading1"/>
      </w:pP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1969 to 2023 and Panel B plots wealth Gini coefficients from 1984 to 2023. Inequality is lower when using clans as the unit of analysis rather than households. The Gini coefficient for income falls by 0.12 points on average (from 0.43 to 0.31), a 28.34% decline, while the wealth Gini falls by 0.16 points on average (from 0.82 to 0.66), about a 19.6% decrease. Taken together, these results indicate that both wealth and income inequality are higher when measured using households versus extended family units.</w:t>
      </w:r>
    </w:p>
    <w:p>
      <w:pPr>
        <w:pStyle w:val="BodyText"/>
      </w:pPr>
      <w:r>
        <w:drawing>
          <wp:inline>
            <wp:extent cx="5334000" cy="4191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$107,534 (households), $415,687 (clans). Weighted mean wealth: $490,457 (households), $1,884,939 (clans; includes home equity). Income Gini changed by 16.0% for households (0.41 in 1969 to 0.48 in 2023) and by 20.6% for clans (0.30 to 0.36). Wealth Gini changed by 4.5% for households (0.78 in 1984 to 0.81 in 2023) and by 4.4% for clans (0.61 to 0.64). On average across all years, the income Gini is 0.123 higher for households than clans; the wealth Gini is 0.160 higher. Solid lines = households; dotted lines = clans.</w:t>
      </w: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17]</w:t>
      </w:r>
      <w:r>
        <w:t xml:space="preserve">. As such, wealth reflects long-run inequality and intergenerationally accumulated advantages and disadvantages.</w:t>
      </w:r>
    </w:p>
    <w:p>
      <w:pPr>
        <w:pStyle w:val="BodyText"/>
      </w:pPr>
      <w:r>
        <w:t xml:space="preserve">Changes over time in household and clan inequality are similar for wealth, but less so for income. Income inequality measured at the household level rose by 16.0% from 0.41 in 1969 to 0.48 in 2023. Income inequality measured at the clan level, meanwhile, rose 20.6% from 0.30 to 0.36 over the same period. Though both measurements are trending upwards, clan income inequality is increasing at a faster pace than household income inequality.</w:t>
      </w:r>
    </w:p>
    <w:p>
      <w:pPr>
        <w:pStyle w:val="BodyText"/>
      </w:pPr>
      <w:r>
        <w:t xml:space="preserve">Unlike income inequality, the difference between household and clan wealth inequality has remained remarkably consistent. The household wealth Gini has increased only slightly from 0.78 in 1984 to 0.81 in 2023, a 4.5% increase. At the clan level, it rose from 0.61 to 0.64 over the same period, which also constitutes a 4.4% increase. Importantly, these trends reflect inequality measured among households that exclude the very top of the wealth distribution. The PSID does not adequately sample the top of the wealth distribution</w:t>
      </w:r>
      <w:r>
        <w:t xml:space="preserve"> </w:t>
      </w:r>
      <w:r>
        <w:t xml:space="preserve">[18]</w:t>
      </w:r>
      <w:r>
        <w:t xml:space="preserve">, which drives much of the inequality in wealth</w:t>
      </w:r>
      <w:r>
        <w:t xml:space="preserve"> </w:t>
      </w:r>
      <w:r>
        <w:t xml:space="preserve">[18, 19]</w:t>
      </w:r>
      <w:r>
        <w:t xml:space="preserv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 at two time points.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at the 95th percentile of the income distribution.</w:t>
      </w:r>
    </w:p>
    <w:p>
      <w:pPr>
        <w:pStyle w:val="BodyText"/>
      </w:pPr>
      <w:r>
        <w:drawing>
          <wp:inline>
            <wp:extent cx="5334000" cy="4191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clan weights. Wealth includes home equity. Solid lines = households; dotted lines = clans. Income in 1984: weighted mean (median) $27,647 ($22,520) for households, $85,338 ($71,914) for clans. Income in 2023: $297,591 ($196,196) for households, $1,487,913 ($1,059,244) for clans.</w:t>
      </w: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How the unit of analysis affects the racial wealth gap.</w:t>
      </w:r>
      <w:r>
        <w:t xml:space="preserve"> </w:t>
      </w:r>
      <w:r>
        <w:t xml:space="preserve">Scholars document a persistent racial wealth gap between Black and non-Black households</w:t>
      </w:r>
      <w:r>
        <w:t xml:space="preserve"> </w:t>
      </w:r>
      <w:r>
        <w:t xml:space="preserve">[5, 20]</w:t>
      </w:r>
      <w:r>
        <w:t xml:space="preserve">, while also highlighting the unique role of kinship networks in shaping economic outcomes by race</w:t>
      </w:r>
      <w:r>
        <w:t xml:space="preserve"> </w:t>
      </w:r>
      <w:r>
        <w:t xml:space="preserve">[21, 22]</w:t>
      </w:r>
      <w:r>
        <w:t xml:space="preserve">.</w:t>
      </w:r>
    </w:p>
    <w:p>
      <w:pPr>
        <w:pStyle w:val="BodyText"/>
      </w:pPr>
      <w:r>
        <w:drawing>
          <wp:inline>
            <wp:extent cx="5334000" cy="4191000"/>
            <wp:effectExtent b="0" l="0" r="0" t="0"/>
            <wp:docPr descr="" title="" id="20" name="Picture"/>
            <a:graphic>
              <a:graphicData uri="http://schemas.openxmlformats.org/drawingml/2006/picture">
                <pic:pic>
                  <pic:nvPicPr>
                    <pic:cNvPr descr="/Users/amanda/Desktop/clan_project/10_draft/output/write_files/figure-docx/figure3-1.png" id="21" name="Picture"/>
                    <pic:cNvPicPr>
                      <a:picLocks noChangeArrowheads="1" noChangeAspect="1"/>
                    </pic:cNvPicPr>
                  </pic:nvPicPr>
                  <pic:blipFill>
                    <a:blip r:embed="rId1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Black to Non-Black wealth for households and clans (includes home equity). Panel A uses weighted means; Panel B uses weighted medians. Weighted mean wealth: Black HH $89,761, Non-Black HH $476,552, Black clans $147,662, Non-Black clans $818,198. Mean ratio changed by 1.0% for households (0.18 in 1984 to 0.18 in 2023) and -13.7% for clans (0.23 to 0.20). On average across all years, the mean ratio is 0.014 higher for households than clans. Weighted median wealth: Black HH $6,908, Non-Black HH $79,216, Black clans $58,326, Non-Black clans $306,988. Median ratio changed by -4.6% for households (0.07 in 1984 to 0.07 in 2023) and 7.5% for clans (0.20 to 0.22). On average across all years, the median ratio is -0.112 higher for households than clans. Solid lines = households; dotted lines = clans.</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robust across race, different inclusion criteria for income and wealth measures, different samples, alternative measures of inequality, and when adjusting for household and clan size. Results from sensitivity analyses are available in Appendix C and D.</w:t>
      </w:r>
    </w:p>
    <w:bookmarkEnd w:id="22"/>
    <w:bookmarkStart w:id="23"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in the literature) rather than a collection of clans. In other words, an individual’s extended family was more economically similar on average to other extended families than their household was to other households.</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By contrast, trends in household and clan inequality were similar for wealth over time. This may reflect the cumulative nature of wealth, which is more durably concentrated within kinship networks</w:t>
      </w:r>
      <w:r>
        <w:t xml:space="preserve"> </w:t>
      </w:r>
      <w:r>
        <w:t xml:space="preserve">[11, 13, 23]</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Our extended family perspective also has implications for our understandings of the racial wealth gap. We found the mean racial wealth gap between Black and non-Black households and clans is similar, but the median racial wealth gap is more pronounced at the household level. These patterns suggest that while Black households hold substantially less wealth on average than non-Black ones, wealth among Black households is also distributed with greater inequality compared to XX. In part, this may reflect that the share of Black clans with zero wealth is lower than the share of Black households with zero wealth. Together, these patterns indicate that household-based measures may obscure important features of racial wealth inequality that become visible only when extended family structures are taken into account. Our findings are striking because they appear to run counter to scholarship on intergenerational mobility that argues that we may overestimate mobility by focusing on households rather than extended families. In contrast, we find inequality looks more extreme when measured at the household, compared to extended family levels. One possible explanation for this difference lies in how patterns of mobility accumulate across generations. Mechanically, lower mobility produces greater homogeneity within clans over time, whereas higher mobility has the opposite effect. Conversely, inequality across extended families may build atop inequality across households in reducing mobility. If resources and constraints are transmitted within clans then rising inequality may further reduce mobility for those in disadvantaged households. In other words, the prevalent concern that high inequality undermines intergenerational mobility</w:t>
      </w:r>
      <w:r>
        <w:t xml:space="preserve"> </w:t>
      </w:r>
      <w:r>
        <w:t xml:space="preserve">[24–26]</w:t>
      </w:r>
      <w:r>
        <w:t xml:space="preserve"> </w:t>
      </w:r>
      <w:r>
        <w:t xml:space="preserve">may operate on both the household and clan levels, fueling future differences in inequality between households and clans.</w:t>
      </w:r>
    </w:p>
    <w:p>
      <w:pPr>
        <w:pStyle w:val="BodyText"/>
      </w:pPr>
      <w:r>
        <w:t xml:space="preserve">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3"/>
    <w:bookmarkStart w:id="25"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clans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[18]</w:t>
      </w:r>
      <w:r>
        <w:t xml:space="preserve">.</w:t>
      </w:r>
    </w:p>
    <w:p>
      <w:pPr>
        <w:pStyle w:val="BodyText"/>
      </w:pPr>
      <w:r>
        <w:t xml:space="preserve">The PSID facilitates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Additionally, although all households belong to a clan, not all extended family members are observed in the PSID in every year. In some cases (especially in earlier years)</w:t>
      </w:r>
      <w:r>
        <w:rPr>
          <w:rStyle w:val="FootnoteReference"/>
        </w:rPr>
        <w:footnoteReference w:id="24"/>
      </w:r>
      <w:r>
        <w:t xml:space="preserve">, PSID clans consist of only a single observed household, rendering household and clan-level measures identical. These observations are excluded from the main analyses because they do not capture extended family dynamics and are a result of survey limitations, rather than social reality. Including these single household clans reduces the household–clan inequality gap for income and wealth but does not eliminate it (see Appendix C2).</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122,069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17, 23]</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 As a sensitivity analysis, we compare Gini coefficients for wealth measures that exclude home equity (see Appendix C3). When home equity is excluded, estimated inequality is lower at both the household and clan level, but the difference between household and clan-level Gini coefficients remains similar.</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[23, 27]</w:t>
      </w:r>
      <w:r>
        <w:t xml:space="preserve">. All income and wealth values are adjusted for inflation. Additionally, analyses set negative values of income and wealth to zero so that Gini coefficients are interpretable by remaining in the 0 to 1 range. When negative values are included, Gini coefficents are about the same (see Appendix C4).</w:t>
      </w:r>
    </w:p>
    <w:p>
      <w:pPr>
        <w:pStyle w:val="BodyText"/>
      </w:pPr>
      <w:r>
        <w:t xml:space="preserve">To construct clan-level measures, we aggregate household income and wealth for all households in a clan within each clan-year. Measures are divided by the number of people in a household or number of households within a clan to standardize by household and clan size, respectively. Adjusting for size descreased inequality and magnifies the difference between household and clan Gini coefficients. Nonetheless, less inequality is estimated when clans are the unit of analysis whether income and wealth are adjusted for size or not (see Appendix C5).</w:t>
      </w:r>
    </w:p>
    <w:p>
      <w:pPr>
        <w:pStyle w:val="BodyText"/>
      </w:pPr>
      <w:r>
        <w:t xml:space="preserve">All results presented are weighted. Using weights does not meaningfully change results (see Appendix C6).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As a result, each clan’s influence reflects the representation of the average household within that clan, rather than scaling mechanically with the clan’s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[28]</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While the Gini index is a widely-used measure of inequality, it has well-known limitations. First, the Gini places greater weight on differences around the middle of the income or wealth distribution, making it well suited to the PSID, which underrepresents wealthy households compared with surveys such as the Survey of Consumer Finance</w:t>
      </w:r>
      <w:r>
        <w:t xml:space="preserve"> </w:t>
      </w:r>
      <w:r>
        <w:t xml:space="preserve">[29–31]</w:t>
      </w:r>
      <w:r>
        <w:t xml:space="preserve">. To assess whether our results depend on where inequality is concentrated along the distribution, we also examine two related measures, referred to as the Gini’s</w:t>
      </w:r>
      <w:r>
        <w:t xml:space="preserve"> </w:t>
      </w:r>
      <w:r>
        <w:t xml:space="preserve">“nuclear family”</w:t>
      </w:r>
      <w:r>
        <w:t xml:space="preserve"> </w:t>
      </w:r>
      <w:r>
        <w:t xml:space="preserve">[32]</w:t>
      </w:r>
      <w:r>
        <w:t xml:space="preserve">. Across all measures, we find that estimated inequality is consistently lower when measured at the clan level than at the household level for both income and wealth (see Appendix G).</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B).</w:t>
      </w:r>
    </w:p>
    <w:bookmarkEnd w:id="25"/>
    <w:bookmarkStart w:id="37" w:name="appendix"/>
    <w:p>
      <w:pPr>
        <w:pStyle w:val="Heading1"/>
      </w:pPr>
      <w:r>
        <w:t xml:space="preserve">Appendix</w:t>
      </w:r>
    </w:p>
    <w:bookmarkStart w:id="35" w:name="appendix-a-simulating-gini-coefficients"/>
    <w:p>
      <w:pPr>
        <w:pStyle w:val="Heading2"/>
      </w:pP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7" name="Picture"/>
            <a:graphic>
              <a:graphicData uri="http://schemas.openxmlformats.org/drawingml/2006/picture">
                <pic:pic>
                  <pic:nvPicPr>
                    <pic:cNvPr descr="/Users/amanda/Desktop/clan_project/10_draft/output/write_files/figure-docx/appendix-a1-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30" name="Picture"/>
            <a:graphic>
              <a:graphicData uri="http://schemas.openxmlformats.org/drawingml/2006/picture">
                <pic:pic>
                  <pic:nvPicPr>
                    <pic:cNvPr descr="/Users/amanda/Desktop/clan_project/10_draft/output/write_files/figure-docx/appendix-a2-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3" name="Picture"/>
            <a:graphic>
              <a:graphicData uri="http://schemas.openxmlformats.org/drawingml/2006/picture">
                <pic:pic>
                  <pic:nvPicPr>
                    <pic:cNvPr descr="/Users/amanda/Desktop/clan_project/10_draft/output/write_files/figure-docx/appendix-a3-1.png" id="34" name="Picture"/>
                    <pic:cNvPicPr>
                      <a:picLocks noChangeArrowheads="1" noChangeAspect="1"/>
                    </pic:cNvPicPr>
                  </pic:nvPicPr>
                  <pic:blipFill>
                    <a:blip r:embed="rId32"/>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5"/>
    <w:bookmarkStart w:id="36"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33]</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[34, 35]</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bl>
    <w:bookmarkEnd w:id="36"/>
    <w:bookmarkEnd w:id="37"/>
    <w:bookmarkStart w:id="62" w:name="X1a48765accbb976c449929efb9c303c48aeac11"/>
    <w:p>
      <w:pPr>
        <w:pStyle w:val="Heading1"/>
      </w:pPr>
      <w:r>
        <w:t xml:space="preserve">Appendix C: Sensitivity Analyses — Gini Coefficients</w:t>
      </w:r>
    </w:p>
    <w:bookmarkStart w:id="41" w:name="X2af1039fa4a14e53aec9c9fa061f4e8992f7595"/>
    <w:p>
      <w:pPr>
        <w:pStyle w:val="Heading2"/>
      </w:pPr>
      <w:r>
        <w:t xml:space="preserve">Appendix C1: Gini Coefficients by Race Subgroup</w:t>
      </w:r>
    </w:p>
    <w:p>
      <w:pPr>
        <w:pStyle w:val="FirstParagraph"/>
      </w:pPr>
      <w:r>
        <w:t xml:space="preserve">Graphs on the left side show Gini cofficients for Black households and clans. Graphs in the middle show Gini coefficients for non-Black households and clans. The graphs on the right side show the difference between household and clan (HH - Clan) Gini coefficients for each group. Both Black and non-Black clans have higher Gini coefficients than Black and non-Black households, indicating that inequaltiy is lower when estimated at the clan level. The differences between Gini coefficients at the household and clan level are not driven by racial subgroups.</w:t>
      </w:r>
    </w:p>
    <w:p>
      <w:pPr>
        <w:pStyle w:val="BodyText"/>
      </w:pPr>
      <w:r>
        <w:drawing>
          <wp:inline>
            <wp:extent cx="5334000" cy="4191000"/>
            <wp:effectExtent b="0" l="0" r="0" t="0"/>
            <wp:docPr descr="" title="" id="39" name="Picture"/>
            <a:graphic>
              <a:graphicData uri="http://schemas.openxmlformats.org/drawingml/2006/picture">
                <pic:pic>
                  <pic:nvPicPr>
                    <pic:cNvPr descr="/Users/amanda/Desktop/clan_project/10_draft/output/write_files/figure-docx/appendix-c1-1.png" id="40" name="Picture"/>
                    <pic:cNvPicPr>
                      <a:picLocks noChangeArrowheads="1" noChangeAspect="1"/>
                    </pic:cNvPicPr>
                  </pic:nvPicPr>
                  <pic:blipFill>
                    <a:blip r:embed="rId38"/>
                    <a:stretch>
                      <a:fillRect/>
                    </a:stretch>
                  </pic:blipFill>
                  <pic:spPr bwMode="auto">
                    <a:xfrm>
                      <a:off x="0" y="0"/>
                      <a:ext cx="5334000" cy="4191000"/>
                    </a:xfrm>
                    <a:prstGeom prst="rect">
                      <a:avLst/>
                    </a:prstGeom>
                    <a:noFill/>
                    <a:ln w="9525">
                      <a:noFill/>
                      <a:headEnd/>
                      <a:tailEnd/>
                    </a:ln>
                  </pic:spPr>
                </pic:pic>
              </a:graphicData>
            </a:graphic>
          </wp:inline>
        </w:drawing>
      </w:r>
    </w:p>
    <w:bookmarkEnd w:id="41"/>
    <w:bookmarkStart w:id="45" w:name="X05171309a402648ffa9946822f50c48bfc2d2fb"/>
    <w:p>
      <w:pPr>
        <w:pStyle w:val="Heading2"/>
      </w:pPr>
      <w:r>
        <w:t xml:space="preserve">Appendix C2: Sensitivity — Single-Household Clans</w:t>
      </w:r>
    </w:p>
    <w:p>
      <w:pPr>
        <w:pStyle w:val="FirstParagraph"/>
      </w:pPr>
      <w:r>
        <w:t xml:space="preserve">In reality, all households belong to clans that consist of multiple households. However, due to the original PSID sample lacking clans by design, as well as attrition, some clans in the PSID comprise a single household in some years. Because this limitation is imposed by the survey design, not social reality, we exclude household-years where households are alone in their clans from both household and clan measurements. The graphs on the left side show this. When including these single-household clans, or</w:t>
      </w:r>
      <w:r>
        <w:t xml:space="preserve"> </w:t>
      </w:r>
      <w:r>
        <w:t xml:space="preserve">“clanless”</w:t>
      </w:r>
      <w:r>
        <w:t xml:space="preserve"> </w:t>
      </w:r>
      <w:r>
        <w:t xml:space="preserve">households, the difference in Gini coefficients at the household and clans levels is minimized but not eliminated. The graphs in the middle show Gini coefficients when single-household clans are included. The graphs on the right side show the difference between household and clan (HH - Clan) Gini coefficients for each group.</w:t>
      </w:r>
    </w:p>
    <w:p>
      <w:pPr>
        <w:pStyle w:val="BodyText"/>
      </w:pPr>
      <w:r>
        <w:drawing>
          <wp:inline>
            <wp:extent cx="5334000" cy="4191000"/>
            <wp:effectExtent b="0" l="0" r="0" t="0"/>
            <wp:docPr descr="" title="" id="43" name="Picture"/>
            <a:graphic>
              <a:graphicData uri="http://schemas.openxmlformats.org/drawingml/2006/picture">
                <pic:pic>
                  <pic:nvPicPr>
                    <pic:cNvPr descr="/Users/amanda/Desktop/clan_project/10_draft/output/write_files/figure-docx/appendix-c2-1.png" id="44" name="Picture"/>
                    <pic:cNvPicPr>
                      <a:picLocks noChangeArrowheads="1" noChangeAspect="1"/>
                    </pic:cNvPicPr>
                  </pic:nvPicPr>
                  <pic:blipFill>
                    <a:blip r:embed="rId42"/>
                    <a:stretch>
                      <a:fillRect/>
                    </a:stretch>
                  </pic:blipFill>
                  <pic:spPr bwMode="auto">
                    <a:xfrm>
                      <a:off x="0" y="0"/>
                      <a:ext cx="5334000" cy="4191000"/>
                    </a:xfrm>
                    <a:prstGeom prst="rect">
                      <a:avLst/>
                    </a:prstGeom>
                    <a:noFill/>
                    <a:ln w="9525">
                      <a:noFill/>
                      <a:headEnd/>
                      <a:tailEnd/>
                    </a:ln>
                  </pic:spPr>
                </pic:pic>
              </a:graphicData>
            </a:graphic>
          </wp:inline>
        </w:drawing>
      </w:r>
    </w:p>
    <w:bookmarkEnd w:id="45"/>
    <w:bookmarkStart w:id="49" w:name="X0135a91ed4579dbd4101e9315fdc7d38edce4c7"/>
    <w:p>
      <w:pPr>
        <w:pStyle w:val="Heading2"/>
      </w:pPr>
      <w:r>
        <w:t xml:space="preserve">Appendix C3: Sensitivity — Wealth With and Without Home Equity</w:t>
      </w:r>
    </w:p>
    <w:p>
      <w:pPr>
        <w:pStyle w:val="FirstParagraph"/>
      </w:pPr>
      <w:r>
        <w:t xml:space="preserve">Results presented in the main text include home equity for measures of wealth. Appendix C3 shows Gini coefficients when home equity is excluded (middle graphs), and report the difference between Gini coefficients at the household and clan levels (graphs on the right). Excluding home equity makes estimated inequality lower and minimizes the observed difference between household and clan Gini coefficients.</w:t>
      </w:r>
    </w:p>
    <w:p>
      <w:pPr>
        <w:pStyle w:val="BodyText"/>
      </w:pPr>
      <w:r>
        <w:drawing>
          <wp:inline>
            <wp:extent cx="5334000" cy="2667000"/>
            <wp:effectExtent b="0" l="0" r="0" t="0"/>
            <wp:docPr descr="" title="" id="47" name="Picture"/>
            <a:graphic>
              <a:graphicData uri="http://schemas.openxmlformats.org/drawingml/2006/picture">
                <pic:pic>
                  <pic:nvPicPr>
                    <pic:cNvPr descr="/Users/amanda/Desktop/clan_project/10_draft/output/write_files/figure-docx/appendix-c3-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bookmarkEnd w:id="49"/>
    <w:bookmarkStart w:id="53" w:name="appendix-c4-sensitivity-negative-values"/>
    <w:p>
      <w:pPr>
        <w:pStyle w:val="Heading2"/>
      </w:pPr>
      <w:r>
        <w:t xml:space="preserve">Appendix C4: Sensitivity — Negative Values</w:t>
      </w:r>
    </w:p>
    <w:p>
      <w:pPr>
        <w:pStyle w:val="FirstParagraph"/>
      </w:pPr>
      <w:r>
        <w:t xml:space="preserve">Results presented in the main text exclude negative values for income and wealth. Appendix C4 show Gini coefficients when negative values are included (middle graphs), and report the difference between Gini coefficients at the household and clan levels (graphs on the right). Including negative values does not change estimated Gini coefficients at the household or clan levels.</w:t>
      </w:r>
    </w:p>
    <w:p>
      <w:pPr>
        <w:pStyle w:val="BodyText"/>
      </w:pPr>
      <w:r>
        <w:drawing>
          <wp:inline>
            <wp:extent cx="5334000" cy="4191000"/>
            <wp:effectExtent b="0" l="0" r="0" t="0"/>
            <wp:docPr descr="" title="" id="51" name="Picture"/>
            <a:graphic>
              <a:graphicData uri="http://schemas.openxmlformats.org/drawingml/2006/picture">
                <pic:pic>
                  <pic:nvPicPr>
                    <pic:cNvPr descr="/Users/amanda/Desktop/clan_project/10_draft/output/write_files/figure-docx/appendix-c4-1.png" id="52" name="Picture"/>
                    <pic:cNvPicPr>
                      <a:picLocks noChangeArrowheads="1" noChangeAspect="1"/>
                    </pic:cNvPicPr>
                  </pic:nvPicPr>
                  <pic:blipFill>
                    <a:blip r:embed="rId50"/>
                    <a:stretch>
                      <a:fillRect/>
                    </a:stretch>
                  </pic:blipFill>
                  <pic:spPr bwMode="auto">
                    <a:xfrm>
                      <a:off x="0" y="0"/>
                      <a:ext cx="5334000" cy="4191000"/>
                    </a:xfrm>
                    <a:prstGeom prst="rect">
                      <a:avLst/>
                    </a:prstGeom>
                    <a:noFill/>
                    <a:ln w="9525">
                      <a:noFill/>
                      <a:headEnd/>
                      <a:tailEnd/>
                    </a:ln>
                  </pic:spPr>
                </pic:pic>
              </a:graphicData>
            </a:graphic>
          </wp:inline>
        </w:drawing>
      </w:r>
    </w:p>
    <w:bookmarkEnd w:id="53"/>
    <w:bookmarkStart w:id="57" w:name="X77e9005b9b6a06de423e46c0fd275669ef06bbc"/>
    <w:p>
      <w:pPr>
        <w:pStyle w:val="Heading2"/>
      </w:pPr>
      <w:r>
        <w:t xml:space="preserve">Appendix C5: Sensitivity — Size Standardization</w:t>
      </w:r>
    </w:p>
    <w:p>
      <w:pPr>
        <w:pStyle w:val="FirstParagraph"/>
      </w:pPr>
      <w:r>
        <w:t xml:space="preserve">Results in the main text standardize by household and clan size. Estimated inequality is higher when results are not standardized by size and the gap between household and clan Gini coefficients is smaller. However, Gini coefficients are higher at the clan versus household level irrespective of whether measurements are adjusted by size.</w:t>
      </w:r>
    </w:p>
    <w:p>
      <w:pPr>
        <w:pStyle w:val="BodyText"/>
      </w:pPr>
      <w:r>
        <w:drawing>
          <wp:inline>
            <wp:extent cx="5334000" cy="4191000"/>
            <wp:effectExtent b="0" l="0" r="0" t="0"/>
            <wp:docPr descr="" title="" id="55" name="Picture"/>
            <a:graphic>
              <a:graphicData uri="http://schemas.openxmlformats.org/drawingml/2006/picture">
                <pic:pic>
                  <pic:nvPicPr>
                    <pic:cNvPr descr="/Users/amanda/Desktop/clan_project/10_draft/output/write_files/figure-docx/appendix-c5-1.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bookmarkEnd w:id="57"/>
    <w:bookmarkStart w:id="61" w:name="appendix-c6-sensitivity-weighting"/>
    <w:p>
      <w:pPr>
        <w:pStyle w:val="Heading2"/>
      </w:pPr>
      <w:r>
        <w:t xml:space="preserve">Appendix C6: Sensitivity — Weighting</w:t>
      </w:r>
    </w:p>
    <w:p>
      <w:pPr>
        <w:pStyle w:val="FirstParagraph"/>
      </w:pPr>
      <w:r>
        <w:t xml:space="preserve">All results presented in the main paper are weighted. Household-level Gini coefficients are weighted using PSID-provided family weights, while clan-level Gini coefficients are weighted using a constructed clan weight based on the PSID family weight. Weighting does not substantially change the results.</w:t>
      </w:r>
    </w:p>
    <w:p>
      <w:pPr>
        <w:pStyle w:val="BodyText"/>
      </w:pPr>
      <w:r>
        <w:drawing>
          <wp:inline>
            <wp:extent cx="5334000" cy="4191000"/>
            <wp:effectExtent b="0" l="0" r="0" t="0"/>
            <wp:docPr descr="" title="" id="59" name="Picture"/>
            <a:graphic>
              <a:graphicData uri="http://schemas.openxmlformats.org/drawingml/2006/picture">
                <pic:pic>
                  <pic:nvPicPr>
                    <pic:cNvPr descr="/Users/amanda/Desktop/clan_project/10_draft/output/write_files/figure-docx/appendix-c6-1.png" id="60" name="Picture"/>
                    <pic:cNvPicPr>
                      <a:picLocks noChangeArrowheads="1" noChangeAspect="1"/>
                    </pic:cNvPicPr>
                  </pic:nvPicPr>
                  <pic:blipFill>
                    <a:blip r:embed="rId58"/>
                    <a:stretch>
                      <a:fillRect/>
                    </a:stretch>
                  </pic:blipFill>
                  <pic:spPr bwMode="auto">
                    <a:xfrm>
                      <a:off x="0" y="0"/>
                      <a:ext cx="5334000" cy="4191000"/>
                    </a:xfrm>
                    <a:prstGeom prst="rect">
                      <a:avLst/>
                    </a:prstGeom>
                    <a:noFill/>
                    <a:ln w="9525">
                      <a:noFill/>
                      <a:headEnd/>
                      <a:tailEnd/>
                    </a:ln>
                  </pic:spPr>
                </pic:pic>
              </a:graphicData>
            </a:graphic>
          </wp:inline>
        </w:drawing>
      </w:r>
    </w:p>
    <w:bookmarkEnd w:id="61"/>
    <w:bookmarkEnd w:id="62"/>
    <w:bookmarkStart w:id="66" w:name="Xbdbdfc1a62708dc07a090fee8b3b74e63e756a2"/>
    <w:p>
      <w:pPr>
        <w:pStyle w:val="Heading1"/>
      </w:pPr>
      <w:r>
        <w:t xml:space="preserve">Appendix D: Alternative Inequality Measures</w:t>
      </w:r>
    </w:p>
    <w:p>
      <w:pPr>
        <w:pStyle w:val="FirstParagraph"/>
      </w:pPr>
      <w:r>
        <w:t xml:space="preserve">Appendix D shows three alternative measures of inequality proposed by Aaberge</w:t>
      </w:r>
      <w:r>
        <w:t xml:space="preserve"> </w:t>
      </w:r>
      <w:r>
        <w:t xml:space="preserve">[32]</w:t>
      </w:r>
      <w:r>
        <w:t xml:space="preserve">. C1 is the Bonferroni coefficient (greater weight on lower tail); C2 is the standard Gini coefficient; C3 places greater weight on the upper tail of the distribution. All estimates are weighted averages across all available years. Inequality is lower at the clan level using any measure of inequality.</w:t>
      </w:r>
    </w:p>
    <w:p>
      <w:pPr>
        <w:pStyle w:val="BodyText"/>
      </w:pPr>
      <w:r>
        <w:drawing>
          <wp:inline>
            <wp:extent cx="5334000" cy="4953000"/>
            <wp:effectExtent b="0" l="0" r="0" t="0"/>
            <wp:docPr descr="" title="" id="64" name="Picture"/>
            <a:graphic>
              <a:graphicData uri="http://schemas.openxmlformats.org/drawingml/2006/picture">
                <pic:pic>
                  <pic:nvPicPr>
                    <pic:cNvPr descr="/Users/amanda/Desktop/clan_project/10_draft/output/write_files/figure-docx/appendix-d-1.png" id="65" name="Picture"/>
                    <pic:cNvPicPr>
                      <a:picLocks noChangeArrowheads="1" noChangeAspect="1"/>
                    </pic:cNvPicPr>
                  </pic:nvPicPr>
                  <pic:blipFill>
                    <a:blip r:embed="rId63"/>
                    <a:stretch>
                      <a:fillRect/>
                    </a:stretch>
                  </pic:blipFill>
                  <pic:spPr bwMode="auto">
                    <a:xfrm>
                      <a:off x="0" y="0"/>
                      <a:ext cx="5334000" cy="4953000"/>
                    </a:xfrm>
                    <a:prstGeom prst="rect">
                      <a:avLst/>
                    </a:prstGeom>
                    <a:noFill/>
                    <a:ln w="9525">
                      <a:noFill/>
                      <a:headEnd/>
                      <a:tailEnd/>
                    </a:ln>
                  </pic:spPr>
                </pic:pic>
              </a:graphicData>
            </a:graphic>
          </wp:inline>
        </w:drawing>
      </w:r>
    </w:p>
    <w:bookmarkEnd w:id="66"/>
    <w:bookmarkStart w:id="165" w:name="X5f622d6d803146b163d9253c739d30f2df1566c"/>
    <w:p>
      <w:pPr>
        <w:pStyle w:val="Heading1"/>
      </w:pPr>
      <w:r>
        <w:t xml:space="preserve">Appendix E: Sensitivity Analyses — Race Ratios</w:t>
      </w:r>
    </w:p>
    <w:bookmarkStart w:id="70" w:name="X073d3e0376ec70413dc399942489db4bf540f8c"/>
    <w:p>
      <w:pPr>
        <w:pStyle w:val="Heading2"/>
      </w:pPr>
      <w:r>
        <w:t xml:space="preserve">Appendix E1: Race Ratios — Single-Household Clans</w:t>
      </w:r>
    </w:p>
    <w:p>
      <w:pPr>
        <w:pStyle w:val="FirstParagraph"/>
      </w:pPr>
      <w:r>
        <w:t xml:space="preserve">Appendix E1 shows Black / Non-Black wealth ratios when single-household clans are excluded (main specification, left panels) versus included (right panels). Panel A shows mean wealth ratios and Panel B shows median wealth ratios. Including single-household clans minimizes but does not eliminate the difference between household and clan race ratios.</w:t>
      </w:r>
    </w:p>
    <w:p>
      <w:pPr>
        <w:pStyle w:val="BodyText"/>
      </w:pPr>
      <w:r>
        <w:drawing>
          <wp:inline>
            <wp:extent cx="5334000" cy="4191000"/>
            <wp:effectExtent b="0" l="0" r="0" t="0"/>
            <wp:docPr descr="" title="" id="68" name="Picture"/>
            <a:graphic>
              <a:graphicData uri="http://schemas.openxmlformats.org/drawingml/2006/picture">
                <pic:pic>
                  <pic:nvPicPr>
                    <pic:cNvPr descr="/Users/amanda/Desktop/clan_project/10_draft/output/write_files/figure-docx/appendix-e1-1.png" id="69" name="Picture"/>
                    <pic:cNvPicPr>
                      <a:picLocks noChangeArrowheads="1" noChangeAspect="1"/>
                    </pic:cNvPicPr>
                  </pic:nvPicPr>
                  <pic:blipFill>
                    <a:blip r:embed="rId67"/>
                    <a:stretch>
                      <a:fillRect/>
                    </a:stretch>
                  </pic:blipFill>
                  <pic:spPr bwMode="auto">
                    <a:xfrm>
                      <a:off x="0" y="0"/>
                      <a:ext cx="5334000" cy="4191000"/>
                    </a:xfrm>
                    <a:prstGeom prst="rect">
                      <a:avLst/>
                    </a:prstGeom>
                    <a:noFill/>
                    <a:ln w="9525">
                      <a:noFill/>
                      <a:headEnd/>
                      <a:tailEnd/>
                    </a:ln>
                  </pic:spPr>
                </pic:pic>
              </a:graphicData>
            </a:graphic>
          </wp:inline>
        </w:drawing>
      </w:r>
    </w:p>
    <w:bookmarkEnd w:id="70"/>
    <w:bookmarkStart w:id="74" w:name="X44cd73c19ec5053c9965e5c699439a9e1cd6656"/>
    <w:p>
      <w:pPr>
        <w:pStyle w:val="Heading2"/>
      </w:pPr>
      <w:r>
        <w:t xml:space="preserve">Appendix E2: Race Ratios — Wealth With and Without Home Equity</w:t>
      </w:r>
    </w:p>
    <w:p>
      <w:pPr>
        <w:pStyle w:val="FirstParagraph"/>
      </w:pPr>
      <w:r>
        <w:t xml:space="preserve">Appendix E2 compares Black / Non-Black wealth ratios when home equity is included (main specification, left panels) versus excluded (right panels). Panel A shows mean wealth ratios and Panel B shows median wealth ratios.</w:t>
      </w:r>
    </w:p>
    <w:p>
      <w:pPr>
        <w:pStyle w:val="BodyText"/>
      </w:pPr>
      <w:r>
        <w:drawing>
          <wp:inline>
            <wp:extent cx="5334000" cy="4191000"/>
            <wp:effectExtent b="0" l="0" r="0" t="0"/>
            <wp:docPr descr="" title="" id="72" name="Picture"/>
            <a:graphic>
              <a:graphicData uri="http://schemas.openxmlformats.org/drawingml/2006/picture">
                <pic:pic>
                  <pic:nvPicPr>
                    <pic:cNvPr descr="/Users/amanda/Desktop/clan_project/10_draft/output/write_files/figure-docx/appendix-e2-1.png" id="73" name="Picture"/>
                    <pic:cNvPicPr>
                      <a:picLocks noChangeArrowheads="1" noChangeAspect="1"/>
                    </pic:cNvPicPr>
                  </pic:nvPicPr>
                  <pic:blipFill>
                    <a:blip r:embed="rId71"/>
                    <a:stretch>
                      <a:fillRect/>
                    </a:stretch>
                  </pic:blipFill>
                  <pic:spPr bwMode="auto">
                    <a:xfrm>
                      <a:off x="0" y="0"/>
                      <a:ext cx="5334000" cy="4191000"/>
                    </a:xfrm>
                    <a:prstGeom prst="rect">
                      <a:avLst/>
                    </a:prstGeom>
                    <a:noFill/>
                    <a:ln w="9525">
                      <a:noFill/>
                      <a:headEnd/>
                      <a:tailEnd/>
                    </a:ln>
                  </pic:spPr>
                </pic:pic>
              </a:graphicData>
            </a:graphic>
          </wp:inline>
        </w:drawing>
      </w:r>
    </w:p>
    <w:bookmarkEnd w:id="74"/>
    <w:bookmarkStart w:id="78" w:name="appendix-e3-race-ratios-negative-values"/>
    <w:p>
      <w:pPr>
        <w:pStyle w:val="Heading2"/>
      </w:pPr>
      <w:r>
        <w:t xml:space="preserve">Appendix E3: Race Ratios — Negative Values</w:t>
      </w:r>
    </w:p>
    <w:p>
      <w:pPr>
        <w:pStyle w:val="FirstParagraph"/>
      </w:pPr>
      <w:r>
        <w:t xml:space="preserve">Appendix E3 shows Black / Non-Black wealth ratios when negative wealth values are excluded (main specification, left panels) versus included (right panels). Panel A shows mean wealth ratios and Panel B shows median wealth ratios. Including negative values does not substantially change the estimated race ratios.</w:t>
      </w:r>
    </w:p>
    <w:p>
      <w:pPr>
        <w:pStyle w:val="BodyText"/>
      </w:pPr>
      <w:r>
        <w:drawing>
          <wp:inline>
            <wp:extent cx="5334000" cy="4191000"/>
            <wp:effectExtent b="0" l="0" r="0" t="0"/>
            <wp:docPr descr="" title="" id="76" name="Picture"/>
            <a:graphic>
              <a:graphicData uri="http://schemas.openxmlformats.org/drawingml/2006/picture">
                <pic:pic>
                  <pic:nvPicPr>
                    <pic:cNvPr descr="/Users/amanda/Desktop/clan_project/10_draft/output/write_files/figure-docx/appendix-e3-1.png" id="77" name="Picture"/>
                    <pic:cNvPicPr>
                      <a:picLocks noChangeArrowheads="1" noChangeAspect="1"/>
                    </pic:cNvPicPr>
                  </pic:nvPicPr>
                  <pic:blipFill>
                    <a:blip r:embed="rId75"/>
                    <a:stretch>
                      <a:fillRect/>
                    </a:stretch>
                  </pic:blipFill>
                  <pic:spPr bwMode="auto">
                    <a:xfrm>
                      <a:off x="0" y="0"/>
                      <a:ext cx="5334000" cy="4191000"/>
                    </a:xfrm>
                    <a:prstGeom prst="rect">
                      <a:avLst/>
                    </a:prstGeom>
                    <a:noFill/>
                    <a:ln w="9525">
                      <a:noFill/>
                      <a:headEnd/>
                      <a:tailEnd/>
                    </a:ln>
                  </pic:spPr>
                </pic:pic>
              </a:graphicData>
            </a:graphic>
          </wp:inline>
        </w:drawing>
      </w:r>
    </w:p>
    <w:bookmarkEnd w:id="78"/>
    <w:bookmarkStart w:id="82" w:name="X60547b172595a275f95838a3eaedea0d02c0ba7"/>
    <w:p>
      <w:pPr>
        <w:pStyle w:val="Heading2"/>
      </w:pPr>
      <w:r>
        <w:t xml:space="preserve">Appendix E4: Race Ratios — Size Standardization</w:t>
      </w:r>
    </w:p>
    <w:p>
      <w:pPr>
        <w:pStyle w:val="FirstParagraph"/>
      </w:pPr>
      <w:r>
        <w:t xml:space="preserve">Appendix E4 compares Black / Non-Black wealth ratios when wealth is size-standardized by household and clan size (main specification, left panels) versus unadjusted (right panels). Panel A shows mean wealth ratios and Panel B shows median wealth ratios.</w:t>
      </w:r>
    </w:p>
    <w:p>
      <w:pPr>
        <w:pStyle w:val="BodyText"/>
      </w:pPr>
      <w:r>
        <w:drawing>
          <wp:inline>
            <wp:extent cx="5334000" cy="4191000"/>
            <wp:effectExtent b="0" l="0" r="0" t="0"/>
            <wp:docPr descr="" title="" id="80" name="Picture"/>
            <a:graphic>
              <a:graphicData uri="http://schemas.openxmlformats.org/drawingml/2006/picture">
                <pic:pic>
                  <pic:nvPicPr>
                    <pic:cNvPr descr="/Users/amanda/Desktop/clan_project/10_draft/output/write_files/figure-docx/appendix-e4-1.png" id="81" name="Picture"/>
                    <pic:cNvPicPr>
                      <a:picLocks noChangeArrowheads="1" noChangeAspect="1"/>
                    </pic:cNvPicPr>
                  </pic:nvPicPr>
                  <pic:blipFill>
                    <a:blip r:embed="rId79"/>
                    <a:stretch>
                      <a:fillRect/>
                    </a:stretch>
                  </pic:blipFill>
                  <pic:spPr bwMode="auto">
                    <a:xfrm>
                      <a:off x="0" y="0"/>
                      <a:ext cx="5334000" cy="4191000"/>
                    </a:xfrm>
                    <a:prstGeom prst="rect">
                      <a:avLst/>
                    </a:prstGeom>
                    <a:noFill/>
                    <a:ln w="9525">
                      <a:noFill/>
                      <a:headEnd/>
                      <a:tailEnd/>
                    </a:ln>
                  </pic:spPr>
                </pic:pic>
              </a:graphicData>
            </a:graphic>
          </wp:inline>
        </w:drawing>
      </w:r>
    </w:p>
    <w:bookmarkEnd w:id="82"/>
    <w:bookmarkStart w:id="164" w:name="appendix-e5-race-ratios-weighting"/>
    <w:p>
      <w:pPr>
        <w:pStyle w:val="Heading2"/>
      </w:pPr>
      <w:r>
        <w:t xml:space="preserve">Appendix E5: Race Ratios — Weighting</w:t>
      </w:r>
    </w:p>
    <w:p>
      <w:pPr>
        <w:pStyle w:val="FirstParagraph"/>
      </w:pPr>
      <w:r>
        <w:t xml:space="preserve">Appendix E5 shows Black / Non-Black wealth ratios using weighted estimates (main specification, left panels) versus unweighted estimates (right panels). Panel A shows mean wealth ratios and Panel B shows median wealth ratios. Weighting does not substantially change the estimated race ratios.</w:t>
      </w:r>
    </w:p>
    <w:p>
      <w:pPr>
        <w:pStyle w:val="BodyText"/>
      </w:pPr>
      <w:r>
        <w:drawing>
          <wp:inline>
            <wp:extent cx="5334000" cy="4191000"/>
            <wp:effectExtent b="0" l="0" r="0" t="0"/>
            <wp:docPr descr="" title="" id="84" name="Picture"/>
            <a:graphic>
              <a:graphicData uri="http://schemas.openxmlformats.org/drawingml/2006/picture">
                <pic:pic>
                  <pic:nvPicPr>
                    <pic:cNvPr descr="/Users/amanda/Desktop/clan_project/10_draft/output/write_files/figure-docx/appendix-e5-1.png" id="85" name="Picture"/>
                    <pic:cNvPicPr>
                      <a:picLocks noChangeArrowheads="1" noChangeAspect="1"/>
                    </pic:cNvPicPr>
                  </pic:nvPicPr>
                  <pic:blipFill>
                    <a:blip r:embed="rId83"/>
                    <a:stretch>
                      <a:fillRect/>
                    </a:stretch>
                  </pic:blipFill>
                  <pic:spPr bwMode="auto">
                    <a:xfrm>
                      <a:off x="0" y="0"/>
                      <a:ext cx="5334000" cy="4191000"/>
                    </a:xfrm>
                    <a:prstGeom prst="rect">
                      <a:avLst/>
                    </a:prstGeom>
                    <a:noFill/>
                    <a:ln w="9525">
                      <a:noFill/>
                      <a:headEnd/>
                      <a:tailEnd/>
                    </a:ln>
                  </pic:spPr>
                </pic:pic>
              </a:graphicData>
            </a:graphic>
          </wp:inline>
        </w:drawing>
      </w:r>
    </w:p>
    <w:bookmarkStart w:id="163" w:name="refs"/>
    <w:bookmarkStart w:id="87"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86">
        <w:r>
          <w:rPr>
            <w:rStyle w:val="Hyperlink"/>
          </w:rPr>
          <w:t xml:space="preserve">https://fred.stlouisfed.org/series/SIPOVGINIUSA</w:t>
        </w:r>
      </w:hyperlink>
    </w:p>
    <w:bookmarkEnd w:id="87"/>
    <w:bookmarkStart w:id="89"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88">
        <w:r>
          <w:rPr>
            <w:rStyle w:val="Hyperlink"/>
          </w:rPr>
          <w:t xml:space="preserve">https://www.bakerinstitute.org/research/decline-us-wealth-and-income-inequality</w:t>
        </w:r>
      </w:hyperlink>
    </w:p>
    <w:bookmarkEnd w:id="89"/>
    <w:bookmarkStart w:id="92"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90">
        <w:r>
          <w:rPr>
            <w:rStyle w:val="Hyperlink"/>
          </w:rPr>
          <w:t xml:space="preserve">https://www.nber.org/papers/w33823</w:t>
        </w:r>
      </w:hyperlink>
      <w:r>
        <w:t xml:space="preserve">. doi:</w:t>
      </w:r>
      <w:hyperlink r:id="rId91">
        <w:r>
          <w:rPr>
            <w:rStyle w:val="Hyperlink"/>
          </w:rPr>
          <w:t xml:space="preserve">10.3386/w33823</w:t>
        </w:r>
      </w:hyperlink>
    </w:p>
    <w:bookmarkEnd w:id="92"/>
    <w:bookmarkStart w:id="95"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93">
        <w:r>
          <w:rPr>
            <w:rStyle w:val="Hyperlink"/>
          </w:rPr>
          <w:t xml:space="preserve">https://www.journals.uchicago.edu/doi/10.1086/728741</w:t>
        </w:r>
      </w:hyperlink>
      <w:r>
        <w:t xml:space="preserve">. doi:</w:t>
      </w:r>
      <w:hyperlink r:id="rId94">
        <w:r>
          <w:rPr>
            <w:rStyle w:val="Hyperlink"/>
          </w:rPr>
          <w:t xml:space="preserve">10.1086/728741</w:t>
        </w:r>
      </w:hyperlink>
    </w:p>
    <w:bookmarkEnd w:id="95"/>
    <w:bookmarkStart w:id="98"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96">
        <w:r>
          <w:rPr>
            <w:rStyle w:val="Hyperlink"/>
          </w:rPr>
          <w:t xml:space="preserve">https://www.annualreviews.org/doi/10.1146/annurev-soc-060116-053331</w:t>
        </w:r>
      </w:hyperlink>
      <w:r>
        <w:t xml:space="preserve">. doi:</w:t>
      </w:r>
      <w:hyperlink r:id="rId97">
        <w:r>
          <w:rPr>
            <w:rStyle w:val="Hyperlink"/>
          </w:rPr>
          <w:t xml:space="preserve">10.1146/annurev-soc-060116-053331</w:t>
        </w:r>
      </w:hyperlink>
    </w:p>
    <w:bookmarkEnd w:id="98"/>
    <w:bookmarkStart w:id="100"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99">
        <w:r>
          <w:rPr>
            <w:rStyle w:val="Hyperlink"/>
          </w:rPr>
          <w:t xml:space="preserve">https://doi.org/10.1093/qje/qjw004</w:t>
        </w:r>
      </w:hyperlink>
      <w:r>
        <w:t xml:space="preserve">. doi:</w:t>
      </w:r>
      <w:hyperlink r:id="rId99">
        <w:r>
          <w:rPr>
            <w:rStyle w:val="Hyperlink"/>
          </w:rPr>
          <w:t xml:space="preserve">10.1093/qje/qjw004</w:t>
        </w:r>
      </w:hyperlink>
    </w:p>
    <w:bookmarkEnd w:id="100"/>
    <w:bookmarkStart w:id="101"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101"/>
    <w:bookmarkStart w:id="103"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102">
        <w:r>
          <w:rPr>
            <w:rStyle w:val="Hyperlink"/>
          </w:rPr>
          <w:t xml:space="preserve">10.1037/11282-004</w:t>
        </w:r>
      </w:hyperlink>
    </w:p>
    <w:bookmarkEnd w:id="103"/>
    <w:bookmarkStart w:id="105"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104">
        <w:r>
          <w:rPr>
            <w:rStyle w:val="Hyperlink"/>
          </w:rPr>
          <w:t xml:space="preserve">https://doi.org/10.1007/s13524-018-0719-y</w:t>
        </w:r>
      </w:hyperlink>
      <w:r>
        <w:t xml:space="preserve">. doi:</w:t>
      </w:r>
      <w:hyperlink r:id="rId104">
        <w:r>
          <w:rPr>
            <w:rStyle w:val="Hyperlink"/>
          </w:rPr>
          <w:t xml:space="preserve">10.1007/s13524-018-0719-y</w:t>
        </w:r>
      </w:hyperlink>
    </w:p>
    <w:bookmarkEnd w:id="105"/>
    <w:bookmarkStart w:id="107"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106">
        <w:r>
          <w:rPr>
            <w:rStyle w:val="Hyperlink"/>
          </w:rPr>
          <w:t xml:space="preserve">https://doi.org/10.1007/s13524-011-0014-7</w:t>
        </w:r>
      </w:hyperlink>
      <w:r>
        <w:t xml:space="preserve">. doi:</w:t>
      </w:r>
      <w:hyperlink r:id="rId106">
        <w:r>
          <w:rPr>
            <w:rStyle w:val="Hyperlink"/>
          </w:rPr>
          <w:t xml:space="preserve">10.1007/s13524-011-0014-7</w:t>
        </w:r>
      </w:hyperlink>
    </w:p>
    <w:bookmarkEnd w:id="107"/>
    <w:bookmarkStart w:id="109"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108">
        <w:r>
          <w:rPr>
            <w:rStyle w:val="Hyperlink"/>
          </w:rPr>
          <w:t xml:space="preserve">https://doi.org/10.1093/ser/mwad033</w:t>
        </w:r>
      </w:hyperlink>
      <w:r>
        <w:t xml:space="preserve">. doi:</w:t>
      </w:r>
      <w:hyperlink r:id="rId108">
        <w:r>
          <w:rPr>
            <w:rStyle w:val="Hyperlink"/>
          </w:rPr>
          <w:t xml:space="preserve">10.1093/ser/mwad033</w:t>
        </w:r>
      </w:hyperlink>
    </w:p>
    <w:bookmarkEnd w:id="109"/>
    <w:bookmarkStart w:id="111"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110">
        <w:r>
          <w:rPr>
            <w:rStyle w:val="Hyperlink"/>
          </w:rPr>
          <w:t xml:space="preserve">https://doi.org/10.1177/00031224251319001</w:t>
        </w:r>
      </w:hyperlink>
      <w:r>
        <w:t xml:space="preserve">. doi:</w:t>
      </w:r>
      <w:hyperlink r:id="rId110">
        <w:r>
          <w:rPr>
            <w:rStyle w:val="Hyperlink"/>
          </w:rPr>
          <w:t xml:space="preserve">10.1177/00031224251319001</w:t>
        </w:r>
      </w:hyperlink>
    </w:p>
    <w:bookmarkEnd w:id="111"/>
    <w:bookmarkStart w:id="114"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112">
        <w:r>
          <w:rPr>
            <w:rStyle w:val="Hyperlink"/>
          </w:rPr>
          <w:t xml:space="preserve">https://pubs.aeaweb.org/doi/10.1257/aer.20190553</w:t>
        </w:r>
      </w:hyperlink>
      <w:r>
        <w:t xml:space="preserve">. doi:</w:t>
      </w:r>
      <w:hyperlink r:id="rId113">
        <w:r>
          <w:rPr>
            <w:rStyle w:val="Hyperlink"/>
          </w:rPr>
          <w:t xml:space="preserve">10.1257/aer.20190553</w:t>
        </w:r>
      </w:hyperlink>
    </w:p>
    <w:bookmarkEnd w:id="114"/>
    <w:bookmarkStart w:id="117"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115">
        <w:r>
          <w:rPr>
            <w:rStyle w:val="Hyperlink"/>
          </w:rPr>
          <w:t xml:space="preserve">https://www-journals-uchicago-edu.turing.library.northwestern.edu/doi/full/10.1086/724835</w:t>
        </w:r>
      </w:hyperlink>
      <w:r>
        <w:t xml:space="preserve">. doi:</w:t>
      </w:r>
      <w:hyperlink r:id="rId116">
        <w:r>
          <w:rPr>
            <w:rStyle w:val="Hyperlink"/>
          </w:rPr>
          <w:t xml:space="preserve">https://doi.org/10.1086/724835</w:t>
        </w:r>
      </w:hyperlink>
    </w:p>
    <w:bookmarkEnd w:id="117"/>
    <w:bookmarkStart w:id="119"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18">
        <w:r>
          <w:rPr>
            <w:rStyle w:val="Hyperlink"/>
          </w:rPr>
          <w:t xml:space="preserve">10.1007/s13524-019-00772-8</w:t>
        </w:r>
      </w:hyperlink>
    </w:p>
    <w:bookmarkEnd w:id="119"/>
    <w:bookmarkStart w:id="120" w:name="ref-shiffer-sebba_concentration_2022"/>
    <w:p>
      <w:pPr>
        <w:pStyle w:val="Bibliography"/>
      </w:pPr>
      <w:r>
        <w:t xml:space="preserve">[16]</w:t>
      </w:r>
      <w:r>
        <w:t xml:space="preserve"> </w:t>
      </w:r>
      <w:r>
        <w:t xml:space="preserve">	</w:t>
      </w:r>
      <w:r>
        <w:t xml:space="preserve">Shiffer-Sebba D, Gabay-Egozi L. The</w:t>
      </w:r>
      <w:r>
        <w:t xml:space="preserve"> </w:t>
      </w:r>
      <w:r>
        <w:t xml:space="preserve">Concentration</w:t>
      </w:r>
      <w:r>
        <w:t xml:space="preserve"> </w:t>
      </w:r>
      <w:r>
        <w:t xml:space="preserve">of</w:t>
      </w:r>
      <w:r>
        <w:t xml:space="preserve"> </w:t>
      </w:r>
      <w:r>
        <w:t xml:space="preserve">Wealth</w:t>
      </w:r>
      <w:r>
        <w:t xml:space="preserve"> </w:t>
      </w:r>
      <w:r>
        <w:t xml:space="preserve">Within</w:t>
      </w:r>
      <w:r>
        <w:t xml:space="preserve"> </w:t>
      </w:r>
      <w:r>
        <w:t xml:space="preserve">Family</w:t>
      </w:r>
      <w:r>
        <w:t xml:space="preserve"> </w:t>
      </w:r>
      <w:r>
        <w:t xml:space="preserve">Lineages</w:t>
      </w:r>
      <w:r>
        <w:t xml:space="preserve">:</w:t>
      </w:r>
      <w:r>
        <w:t xml:space="preserve"> </w:t>
      </w:r>
      <w:r>
        <w:t xml:space="preserve">Clans</w:t>
      </w:r>
      <w:r>
        <w:t xml:space="preserve"> </w:t>
      </w:r>
      <w:r>
        <w:t xml:space="preserve">as</w:t>
      </w:r>
      <w:r>
        <w:t xml:space="preserve"> </w:t>
      </w:r>
      <w:r>
        <w:t xml:space="preserve">Units</w:t>
      </w:r>
      <w:r>
        <w:t xml:space="preserve"> </w:t>
      </w:r>
      <w:r>
        <w:t xml:space="preserve">of</w:t>
      </w:r>
      <w:r>
        <w:t xml:space="preserve"> </w:t>
      </w:r>
      <w:r>
        <w:t xml:space="preserve">Analysis</w:t>
      </w:r>
      <w:r>
        <w:t xml:space="preserve">. 2022.</w:t>
      </w:r>
    </w:p>
    <w:bookmarkEnd w:id="120"/>
    <w:bookmarkStart w:id="122" w:name="ref-hallsten_grand_2017"/>
    <w:p>
      <w:pPr>
        <w:pStyle w:val="Bibliography"/>
      </w:pPr>
      <w:r>
        <w:t xml:space="preserve">[17]</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21">
        <w:r>
          <w:rPr>
            <w:rStyle w:val="Hyperlink"/>
          </w:rPr>
          <w:t xml:space="preserve">10.1177/0003122417695791</w:t>
        </w:r>
      </w:hyperlink>
    </w:p>
    <w:bookmarkEnd w:id="122"/>
    <w:bookmarkStart w:id="123" w:name="ref-insolera_overview_2021"/>
    <w:p>
      <w:pPr>
        <w:pStyle w:val="Bibliography"/>
      </w:pPr>
      <w:r>
        <w:t xml:space="preserve">[18]</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23"/>
    <w:bookmarkStart w:id="125" w:name="ref-pfeffer_measuring_2016"/>
    <w:p>
      <w:pPr>
        <w:pStyle w:val="Bibliography"/>
      </w:pPr>
      <w:r>
        <w:t xml:space="preserve">[19]</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24">
        <w:r>
          <w:rPr>
            <w:rStyle w:val="Hyperlink"/>
          </w:rPr>
          <w:t xml:space="preserve">10.3233/JEM-160421</w:t>
        </w:r>
      </w:hyperlink>
    </w:p>
    <w:bookmarkEnd w:id="125"/>
    <w:bookmarkStart w:id="127" w:name="ref-oliver_black_2013"/>
    <w:p>
      <w:pPr>
        <w:pStyle w:val="Bibliography"/>
      </w:pPr>
      <w:r>
        <w:t xml:space="preserve">[20]</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126">
        <w:r>
          <w:rPr>
            <w:rStyle w:val="Hyperlink"/>
          </w:rPr>
          <w:t xml:space="preserve">10.4324/9780203707425</w:t>
        </w:r>
      </w:hyperlink>
    </w:p>
    <w:bookmarkEnd w:id="127"/>
    <w:bookmarkStart w:id="130" w:name="ref-beckert_durable_2022"/>
    <w:p>
      <w:pPr>
        <w:pStyle w:val="Bibliography"/>
      </w:pPr>
      <w:r>
        <w:t xml:space="preserve">[21]</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128">
        <w:r>
          <w:rPr>
            <w:rStyle w:val="Hyperlink"/>
          </w:rPr>
          <w:t xml:space="preserve">https://www-annualreviews-org.turing.library.northwestern.edu/content/journals/10.1146/annurev-soc-030320-115024</w:t>
        </w:r>
      </w:hyperlink>
      <w:r>
        <w:t xml:space="preserve">. doi:</w:t>
      </w:r>
      <w:hyperlink r:id="rId129">
        <w:r>
          <w:rPr>
            <w:rStyle w:val="Hyperlink"/>
          </w:rPr>
          <w:t xml:space="preserve">doi.org/10.1146/annurev-soc-030320-115024</w:t>
        </w:r>
      </w:hyperlink>
    </w:p>
    <w:bookmarkEnd w:id="130"/>
    <w:bookmarkStart w:id="133" w:name="ref-obrien_structural_2020"/>
    <w:p>
      <w:pPr>
        <w:pStyle w:val="Bibliography"/>
      </w:pPr>
      <w:r>
        <w:t xml:space="preserve">[22]</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131">
        <w:r>
          <w:rPr>
            <w:rStyle w:val="Hyperlink"/>
          </w:rPr>
          <w:t xml:space="preserve">https://www.sciencedirect.com/science/article/pii/S2352827319303623</w:t>
        </w:r>
      </w:hyperlink>
      <w:r>
        <w:t xml:space="preserve">. doi:</w:t>
      </w:r>
      <w:hyperlink r:id="rId132">
        <w:r>
          <w:rPr>
            <w:rStyle w:val="Hyperlink"/>
          </w:rPr>
          <w:t xml:space="preserve">10.1016/j.ssmph.2020.100564</w:t>
        </w:r>
      </w:hyperlink>
    </w:p>
    <w:bookmarkEnd w:id="133"/>
    <w:bookmarkStart w:id="134" w:name="ref-pfeffer_determinants_2017"/>
    <w:p>
      <w:pPr>
        <w:pStyle w:val="Bibliography"/>
      </w:pPr>
      <w:r>
        <w:t xml:space="preserve">[23]</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34"/>
    <w:bookmarkStart w:id="137" w:name="ref-corak_income_2013"/>
    <w:p>
      <w:pPr>
        <w:pStyle w:val="Bibliography"/>
      </w:pPr>
      <w:r>
        <w:t xml:space="preserve">[24]</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35">
        <w:r>
          <w:rPr>
            <w:rStyle w:val="Hyperlink"/>
          </w:rPr>
          <w:t xml:space="preserve">https://www.aeaweb.org/articles?id=10.1257/jep.27.3.79</w:t>
        </w:r>
      </w:hyperlink>
      <w:r>
        <w:t xml:space="preserve">. doi:</w:t>
      </w:r>
      <w:hyperlink r:id="rId136">
        <w:r>
          <w:rPr>
            <w:rStyle w:val="Hyperlink"/>
          </w:rPr>
          <w:t xml:space="preserve">10.1257/jep.27.3.79</w:t>
        </w:r>
      </w:hyperlink>
    </w:p>
    <w:bookmarkEnd w:id="137"/>
    <w:bookmarkStart w:id="139" w:name="ref-ermisch_parents_2012"/>
    <w:p>
      <w:pPr>
        <w:pStyle w:val="Bibliography"/>
      </w:pPr>
      <w:r>
        <w:t xml:space="preserve">[25]</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38">
        <w:r>
          <w:rPr>
            <w:rStyle w:val="Hyperlink"/>
          </w:rPr>
          <w:t xml:space="preserve">https://www.jstor.org/stable/10.7758/9781610447805</w:t>
        </w:r>
      </w:hyperlink>
    </w:p>
    <w:bookmarkEnd w:id="139"/>
    <w:bookmarkStart w:id="141" w:name="ref-jerrim_income_2015"/>
    <w:p>
      <w:pPr>
        <w:pStyle w:val="Bibliography"/>
      </w:pPr>
      <w:r>
        <w:t xml:space="preserve">[26]</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40">
        <w:r>
          <w:rPr>
            <w:rStyle w:val="Hyperlink"/>
          </w:rPr>
          <w:t xml:space="preserve">10.1093/sf/sov075</w:t>
        </w:r>
      </w:hyperlink>
    </w:p>
    <w:bookmarkEnd w:id="141"/>
    <w:bookmarkStart w:id="144" w:name="ref-si_multiple_2021"/>
    <w:p>
      <w:pPr>
        <w:pStyle w:val="Bibliography"/>
      </w:pPr>
      <w:r>
        <w:t xml:space="preserve">[27]</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42">
        <w:r>
          <w:rPr>
            <w:rStyle w:val="Hyperlink"/>
          </w:rPr>
          <w:t xml:space="preserve">https://www.ncbi.nlm.nih.gov/pmc/articles/PMC9874997/</w:t>
        </w:r>
      </w:hyperlink>
      <w:r>
        <w:t xml:space="preserve">. doi:</w:t>
      </w:r>
      <w:hyperlink r:id="rId143">
        <w:r>
          <w:rPr>
            <w:rStyle w:val="Hyperlink"/>
          </w:rPr>
          <w:t xml:space="preserve">10.1093/jssam/smab038</w:t>
        </w:r>
      </w:hyperlink>
    </w:p>
    <w:bookmarkEnd w:id="144"/>
    <w:bookmarkStart w:id="145" w:name="ref-sayer_women_2004"/>
    <w:p>
      <w:pPr>
        <w:pStyle w:val="Bibliography"/>
      </w:pPr>
      <w:r>
        <w:t xml:space="preserve">[28]</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45"/>
    <w:bookmarkStart w:id="148" w:name="ref-atkinson_measurement_1970"/>
    <w:p>
      <w:pPr>
        <w:pStyle w:val="Bibliography"/>
      </w:pPr>
      <w:r>
        <w:t xml:space="preserve">[29]</w:t>
      </w:r>
      <w:r>
        <w:t xml:space="preserve"> </w:t>
      </w:r>
      <w:r>
        <w:t xml:space="preserve">	</w:t>
      </w:r>
      <w:r>
        <w:t xml:space="preserve">Atkinson AB. On the measurement of inequality. Journal of Economic Theory. 1970 [accessed 2025 July 18];2(3):244–263.</w:t>
      </w:r>
      <w:r>
        <w:t xml:space="preserve"> </w:t>
      </w:r>
      <w:hyperlink r:id="rId146">
        <w:r>
          <w:rPr>
            <w:rStyle w:val="Hyperlink"/>
          </w:rPr>
          <w:t xml:space="preserve">https://www.sciencedirect.com/science/article/pii/0022053170900396</w:t>
        </w:r>
      </w:hyperlink>
      <w:r>
        <w:t xml:space="preserve">. doi:</w:t>
      </w:r>
      <w:hyperlink r:id="rId147">
        <w:r>
          <w:rPr>
            <w:rStyle w:val="Hyperlink"/>
          </w:rPr>
          <w:t xml:space="preserve">10.1016/0022-0531(70)90039-6</w:t>
        </w:r>
      </w:hyperlink>
    </w:p>
    <w:bookmarkEnd w:id="148"/>
    <w:bookmarkStart w:id="151" w:name="ref-de_maio_income_2007"/>
    <w:p>
      <w:pPr>
        <w:pStyle w:val="Bibliography"/>
      </w:pPr>
      <w:r>
        <w:t xml:space="preserve">[30]</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49">
        <w:r>
          <w:rPr>
            <w:rStyle w:val="Hyperlink"/>
          </w:rPr>
          <w:t xml:space="preserve">https://www.ncbi.nlm.nih.gov/pmc/articles/PMC2652960/</w:t>
        </w:r>
      </w:hyperlink>
      <w:r>
        <w:t xml:space="preserve">. doi:</w:t>
      </w:r>
      <w:hyperlink r:id="rId150">
        <w:r>
          <w:rPr>
            <w:rStyle w:val="Hyperlink"/>
          </w:rPr>
          <w:t xml:space="preserve">10.1136/jech.2006.052969</w:t>
        </w:r>
      </w:hyperlink>
    </w:p>
    <w:bookmarkEnd w:id="151"/>
    <w:bookmarkStart w:id="154" w:name="ref-kawachi_relationship_1997"/>
    <w:p>
      <w:pPr>
        <w:pStyle w:val="Bibliography"/>
      </w:pPr>
      <w:r>
        <w:t xml:space="preserve">[31]</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52">
        <w:r>
          <w:rPr>
            <w:rStyle w:val="Hyperlink"/>
          </w:rPr>
          <w:t xml:space="preserve">https://www.sciencedirect.com/science/article/pii/S0277953697000440</w:t>
        </w:r>
      </w:hyperlink>
      <w:r>
        <w:t xml:space="preserve">. doi:</w:t>
      </w:r>
      <w:hyperlink r:id="rId153">
        <w:r>
          <w:rPr>
            <w:rStyle w:val="Hyperlink"/>
          </w:rPr>
          <w:t xml:space="preserve">10.1016/S0277-9536(97)00044-0</w:t>
        </w:r>
      </w:hyperlink>
    </w:p>
    <w:bookmarkEnd w:id="154"/>
    <w:bookmarkStart w:id="157" w:name="ref-aaberge_ginis_2007"/>
    <w:p>
      <w:pPr>
        <w:pStyle w:val="Bibliography"/>
      </w:pPr>
      <w:r>
        <w:t xml:space="preserve">[32]</w:t>
      </w:r>
      <w:r>
        <w:t xml:space="preserve"> </w:t>
      </w:r>
      <w:r>
        <w:t xml:space="preserve">	</w:t>
      </w:r>
      <w:r>
        <w:t xml:space="preserve">Aaberge R. Gini’s nuclear family. Journal of Economic Inequality. 2007 [accessed 2025 Dec 16];5(3):305–322.</w:t>
      </w:r>
      <w:r>
        <w:t xml:space="preserve"> </w:t>
      </w:r>
      <w:hyperlink r:id="rId155">
        <w:r>
          <w:rPr>
            <w:rStyle w:val="Hyperlink"/>
          </w:rPr>
          <w:t xml:space="preserve">https://research.ebsco.com/linkprocessor/plink?id=183a0f60-6b65-3238-9faf-59d099fff528</w:t>
        </w:r>
      </w:hyperlink>
      <w:r>
        <w:t xml:space="preserve">. doi:</w:t>
      </w:r>
      <w:hyperlink r:id="rId156">
        <w:r>
          <w:rPr>
            <w:rStyle w:val="Hyperlink"/>
          </w:rPr>
          <w:t xml:space="preserve">10.1007/s10888-006-9050-8</w:t>
        </w:r>
      </w:hyperlink>
    </w:p>
    <w:bookmarkEnd w:id="157"/>
    <w:bookmarkStart w:id="159" w:name="ref-noauthor_table_nodate"/>
    <w:p>
      <w:pPr>
        <w:pStyle w:val="Bibliography"/>
      </w:pPr>
      <w:r>
        <w:t xml:space="preserve">[33]</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58">
        <w:r>
          <w:rPr>
            <w:rStyle w:val="Hyperlink"/>
          </w:rPr>
          <w:t xml:space="preserve">https://www.census.gov/data/tables/time-series/demo/income-poverty/historical-income-inequality.html</w:t>
        </w:r>
      </w:hyperlink>
    </w:p>
    <w:bookmarkEnd w:id="159"/>
    <w:bookmarkStart w:id="160" w:name="ref-wolff_size_209"/>
    <w:p>
      <w:pPr>
        <w:pStyle w:val="Bibliography"/>
      </w:pPr>
      <w:r>
        <w:t xml:space="preserve">[34]</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60"/>
    <w:bookmarkStart w:id="162" w:name="ref-pfeffer_wealth_2013"/>
    <w:p>
      <w:pPr>
        <w:pStyle w:val="Bibliography"/>
      </w:pPr>
      <w:r>
        <w:t xml:space="preserve">[35]</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61">
        <w:r>
          <w:rPr>
            <w:rStyle w:val="Hyperlink"/>
          </w:rPr>
          <w:t xml:space="preserve">10.1177/0002716213497452</w:t>
        </w:r>
      </w:hyperlink>
    </w:p>
    <w:bookmarkEnd w:id="162"/>
    <w:bookmarkEnd w:id="163"/>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24">
    <w:p>
      <w:pPr>
        <w:pStyle w:val="FootnoteText"/>
      </w:pPr>
      <w:r>
        <w:rPr>
          <w:rStyle w:val="FootnoteReference"/>
        </w:rPr>
        <w:footnoteRef/>
      </w:r>
      <w:r>
        <w:t xml:space="preserve"> </w:t>
      </w:r>
      <w:r>
        <w:t xml:space="preserve">The prevalence of single-household clans dropped by 75% between 1969 and 1980. However, overall trends remain similar regardless of whether this earlier period is excluded.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156" Target="https://doi.org/10.1007/s10888-006-9050-8" TargetMode="External" /><Relationship Type="http://schemas.openxmlformats.org/officeDocument/2006/relationships/hyperlink" Id="rId106" Target="https://doi.org/10.1007/s13524-011-0014-7" TargetMode="External" /><Relationship Type="http://schemas.openxmlformats.org/officeDocument/2006/relationships/hyperlink" Id="rId104" Target="https://doi.org/10.1007/s13524-018-0719-y" TargetMode="External" /><Relationship Type="http://schemas.openxmlformats.org/officeDocument/2006/relationships/hyperlink" Id="rId118" Target="https://doi.org/10.1007/s13524-019-00772-8" TargetMode="External" /><Relationship Type="http://schemas.openxmlformats.org/officeDocument/2006/relationships/hyperlink" Id="rId147" Target="https://doi.org/10.1016/0022-0531(70)90039-6" TargetMode="External" /><Relationship Type="http://schemas.openxmlformats.org/officeDocument/2006/relationships/hyperlink" Id="rId153" Target="https://doi.org/10.1016/S0277-9536(97)00044-0" TargetMode="External" /><Relationship Type="http://schemas.openxmlformats.org/officeDocument/2006/relationships/hyperlink" Id="rId132" Target="https://doi.org/10.1016/j.ssmph.2020.100564" TargetMode="External" /><Relationship Type="http://schemas.openxmlformats.org/officeDocument/2006/relationships/hyperlink" Id="rId102" Target="https://doi.org/10.1037/11282-004" TargetMode="External" /><Relationship Type="http://schemas.openxmlformats.org/officeDocument/2006/relationships/hyperlink" Id="rId116" Target="https://doi.org/10.1086/724835" TargetMode="External" /><Relationship Type="http://schemas.openxmlformats.org/officeDocument/2006/relationships/hyperlink" Id="rId94" Target="https://doi.org/10.1086/728741" TargetMode="External" /><Relationship Type="http://schemas.openxmlformats.org/officeDocument/2006/relationships/hyperlink" Id="rId143" Target="https://doi.org/10.1093/jssam/smab038" TargetMode="External" /><Relationship Type="http://schemas.openxmlformats.org/officeDocument/2006/relationships/hyperlink" Id="rId99" Target="https://doi.org/10.1093/qje/qjw004" TargetMode="External" /><Relationship Type="http://schemas.openxmlformats.org/officeDocument/2006/relationships/hyperlink" Id="rId108" Target="https://doi.org/10.1093/ser/mwad033" TargetMode="External" /><Relationship Type="http://schemas.openxmlformats.org/officeDocument/2006/relationships/hyperlink" Id="rId140" Target="https://doi.org/10.1093/sf/sov075" TargetMode="External" /><Relationship Type="http://schemas.openxmlformats.org/officeDocument/2006/relationships/hyperlink" Id="rId150" Target="https://doi.org/10.1136/jech.2006.052969" TargetMode="External" /><Relationship Type="http://schemas.openxmlformats.org/officeDocument/2006/relationships/hyperlink" Id="rId97" Target="https://doi.org/10.1146/annurev-soc-060116-053331" TargetMode="External" /><Relationship Type="http://schemas.openxmlformats.org/officeDocument/2006/relationships/hyperlink" Id="rId161" Target="https://doi.org/10.1177/0002716213497452" TargetMode="External" /><Relationship Type="http://schemas.openxmlformats.org/officeDocument/2006/relationships/hyperlink" Id="rId121" Target="https://doi.org/10.1177/0003122417695791" TargetMode="External" /><Relationship Type="http://schemas.openxmlformats.org/officeDocument/2006/relationships/hyperlink" Id="rId110" Target="https://doi.org/10.1177/00031224251319001" TargetMode="External" /><Relationship Type="http://schemas.openxmlformats.org/officeDocument/2006/relationships/hyperlink" Id="rId113" Target="https://doi.org/10.1257/aer.20190553" TargetMode="External" /><Relationship Type="http://schemas.openxmlformats.org/officeDocument/2006/relationships/hyperlink" Id="rId136" Target="https://doi.org/10.1257/jep.27.3.79" TargetMode="External" /><Relationship Type="http://schemas.openxmlformats.org/officeDocument/2006/relationships/hyperlink" Id="rId124" Target="https://doi.org/10.3233/JEM-160421" TargetMode="External" /><Relationship Type="http://schemas.openxmlformats.org/officeDocument/2006/relationships/hyperlink" Id="rId91" Target="https://doi.org/10.3386/w33823" TargetMode="External" /><Relationship Type="http://schemas.openxmlformats.org/officeDocument/2006/relationships/hyperlink" Id="rId126" Target="https://doi.org/10.4324/9780203707425" TargetMode="External" /><Relationship Type="http://schemas.openxmlformats.org/officeDocument/2006/relationships/hyperlink" Id="rId129" Target="https://doi.org/doi.org/10.1146/annurev-soc-030320-115024" TargetMode="External" /><Relationship Type="http://schemas.openxmlformats.org/officeDocument/2006/relationships/hyperlink" Id="rId86" Target="https://fred.stlouisfed.org/series/SIPOVGINIUSA" TargetMode="External" /><Relationship Type="http://schemas.openxmlformats.org/officeDocument/2006/relationships/hyperlink" Id="rId112" Target="https://pubs.aeaweb.org/doi/10.1257/aer.20190553" TargetMode="External" /><Relationship Type="http://schemas.openxmlformats.org/officeDocument/2006/relationships/hyperlink" Id="rId155" Target="https://research.ebsco.com/linkprocessor/plink?id=183a0f60-6b65-3238-9faf-59d099fff528" TargetMode="External" /><Relationship Type="http://schemas.openxmlformats.org/officeDocument/2006/relationships/hyperlink" Id="rId128" Target="https://www-annualreviews-org.turing.library.northwestern.edu/content/journals/10.1146/annurev-soc-030320-115024" TargetMode="External" /><Relationship Type="http://schemas.openxmlformats.org/officeDocument/2006/relationships/hyperlink" Id="rId115" Target="https://www-journals-uchicago-edu.turing.library.northwestern.edu/doi/full/10.1086/724835" TargetMode="External" /><Relationship Type="http://schemas.openxmlformats.org/officeDocument/2006/relationships/hyperlink" Id="rId135" Target="https://www.aeaweb.org/articles?id=10.1257/jep.27.3.79" TargetMode="External" /><Relationship Type="http://schemas.openxmlformats.org/officeDocument/2006/relationships/hyperlink" Id="rId96" Target="https://www.annualreviews.org/doi/10.1146/annurev-soc-060116-053331" TargetMode="External" /><Relationship Type="http://schemas.openxmlformats.org/officeDocument/2006/relationships/hyperlink" Id="rId88" Target="https://www.bakerinstitute.org/research/decline-us-wealth-and-income-inequality" TargetMode="External" /><Relationship Type="http://schemas.openxmlformats.org/officeDocument/2006/relationships/hyperlink" Id="rId158" Target="https://www.census.gov/data/tables/time-series/demo/income-poverty/historical-income-inequality.html" TargetMode="External" /><Relationship Type="http://schemas.openxmlformats.org/officeDocument/2006/relationships/hyperlink" Id="rId93" Target="https://www.journals.uchicago.edu/doi/10.1086/728741" TargetMode="External" /><Relationship Type="http://schemas.openxmlformats.org/officeDocument/2006/relationships/hyperlink" Id="rId138" Target="https://www.jstor.org/stable/10.7758/9781610447805" TargetMode="External" /><Relationship Type="http://schemas.openxmlformats.org/officeDocument/2006/relationships/hyperlink" Id="rId90" Target="https://www.nber.org/papers/w33823" TargetMode="External" /><Relationship Type="http://schemas.openxmlformats.org/officeDocument/2006/relationships/hyperlink" Id="rId149" Target="https://www.ncbi.nlm.nih.gov/pmc/articles/PMC2652960/" TargetMode="External" /><Relationship Type="http://schemas.openxmlformats.org/officeDocument/2006/relationships/hyperlink" Id="rId142" Target="https://www.ncbi.nlm.nih.gov/pmc/articles/PMC9874997/" TargetMode="External" /><Relationship Type="http://schemas.openxmlformats.org/officeDocument/2006/relationships/hyperlink" Id="rId146" Target="https://www.sciencedirect.com/science/article/pii/0022053170900396" TargetMode="External" /><Relationship Type="http://schemas.openxmlformats.org/officeDocument/2006/relationships/hyperlink" Id="rId152" Target="https://www.sciencedirect.com/science/article/pii/S0277953697000440" TargetMode="External" /><Relationship Type="http://schemas.openxmlformats.org/officeDocument/2006/relationships/hyperlink" Id="rId131"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56" Target="https://doi.org/10.1007/s10888-006-9050-8" TargetMode="External" /><Relationship Type="http://schemas.openxmlformats.org/officeDocument/2006/relationships/hyperlink" Id="rId106" Target="https://doi.org/10.1007/s13524-011-0014-7" TargetMode="External" /><Relationship Type="http://schemas.openxmlformats.org/officeDocument/2006/relationships/hyperlink" Id="rId104" Target="https://doi.org/10.1007/s13524-018-0719-y" TargetMode="External" /><Relationship Type="http://schemas.openxmlformats.org/officeDocument/2006/relationships/hyperlink" Id="rId118" Target="https://doi.org/10.1007/s13524-019-00772-8" TargetMode="External" /><Relationship Type="http://schemas.openxmlformats.org/officeDocument/2006/relationships/hyperlink" Id="rId147" Target="https://doi.org/10.1016/0022-0531(70)90039-6" TargetMode="External" /><Relationship Type="http://schemas.openxmlformats.org/officeDocument/2006/relationships/hyperlink" Id="rId153" Target="https://doi.org/10.1016/S0277-9536(97)00044-0" TargetMode="External" /><Relationship Type="http://schemas.openxmlformats.org/officeDocument/2006/relationships/hyperlink" Id="rId132" Target="https://doi.org/10.1016/j.ssmph.2020.100564" TargetMode="External" /><Relationship Type="http://schemas.openxmlformats.org/officeDocument/2006/relationships/hyperlink" Id="rId102" Target="https://doi.org/10.1037/11282-004" TargetMode="External" /><Relationship Type="http://schemas.openxmlformats.org/officeDocument/2006/relationships/hyperlink" Id="rId116" Target="https://doi.org/10.1086/724835" TargetMode="External" /><Relationship Type="http://schemas.openxmlformats.org/officeDocument/2006/relationships/hyperlink" Id="rId94" Target="https://doi.org/10.1086/728741" TargetMode="External" /><Relationship Type="http://schemas.openxmlformats.org/officeDocument/2006/relationships/hyperlink" Id="rId143" Target="https://doi.org/10.1093/jssam/smab038" TargetMode="External" /><Relationship Type="http://schemas.openxmlformats.org/officeDocument/2006/relationships/hyperlink" Id="rId99" Target="https://doi.org/10.1093/qje/qjw004" TargetMode="External" /><Relationship Type="http://schemas.openxmlformats.org/officeDocument/2006/relationships/hyperlink" Id="rId108" Target="https://doi.org/10.1093/ser/mwad033" TargetMode="External" /><Relationship Type="http://schemas.openxmlformats.org/officeDocument/2006/relationships/hyperlink" Id="rId140" Target="https://doi.org/10.1093/sf/sov075" TargetMode="External" /><Relationship Type="http://schemas.openxmlformats.org/officeDocument/2006/relationships/hyperlink" Id="rId150" Target="https://doi.org/10.1136/jech.2006.052969" TargetMode="External" /><Relationship Type="http://schemas.openxmlformats.org/officeDocument/2006/relationships/hyperlink" Id="rId97" Target="https://doi.org/10.1146/annurev-soc-060116-053331" TargetMode="External" /><Relationship Type="http://schemas.openxmlformats.org/officeDocument/2006/relationships/hyperlink" Id="rId161" Target="https://doi.org/10.1177/0002716213497452" TargetMode="External" /><Relationship Type="http://schemas.openxmlformats.org/officeDocument/2006/relationships/hyperlink" Id="rId121" Target="https://doi.org/10.1177/0003122417695791" TargetMode="External" /><Relationship Type="http://schemas.openxmlformats.org/officeDocument/2006/relationships/hyperlink" Id="rId110" Target="https://doi.org/10.1177/00031224251319001" TargetMode="External" /><Relationship Type="http://schemas.openxmlformats.org/officeDocument/2006/relationships/hyperlink" Id="rId113" Target="https://doi.org/10.1257/aer.20190553" TargetMode="External" /><Relationship Type="http://schemas.openxmlformats.org/officeDocument/2006/relationships/hyperlink" Id="rId136" Target="https://doi.org/10.1257/jep.27.3.79" TargetMode="External" /><Relationship Type="http://schemas.openxmlformats.org/officeDocument/2006/relationships/hyperlink" Id="rId124" Target="https://doi.org/10.3233/JEM-160421" TargetMode="External" /><Relationship Type="http://schemas.openxmlformats.org/officeDocument/2006/relationships/hyperlink" Id="rId91" Target="https://doi.org/10.3386/w33823" TargetMode="External" /><Relationship Type="http://schemas.openxmlformats.org/officeDocument/2006/relationships/hyperlink" Id="rId126" Target="https://doi.org/10.4324/9780203707425" TargetMode="External" /><Relationship Type="http://schemas.openxmlformats.org/officeDocument/2006/relationships/hyperlink" Id="rId129" Target="https://doi.org/doi.org/10.1146/annurev-soc-030320-115024" TargetMode="External" /><Relationship Type="http://schemas.openxmlformats.org/officeDocument/2006/relationships/hyperlink" Id="rId86" Target="https://fred.stlouisfed.org/series/SIPOVGINIUSA" TargetMode="External" /><Relationship Type="http://schemas.openxmlformats.org/officeDocument/2006/relationships/hyperlink" Id="rId112" Target="https://pubs.aeaweb.org/doi/10.1257/aer.20190553" TargetMode="External" /><Relationship Type="http://schemas.openxmlformats.org/officeDocument/2006/relationships/hyperlink" Id="rId155" Target="https://research.ebsco.com/linkprocessor/plink?id=183a0f60-6b65-3238-9faf-59d099fff528" TargetMode="External" /><Relationship Type="http://schemas.openxmlformats.org/officeDocument/2006/relationships/hyperlink" Id="rId128" Target="https://www-annualreviews-org.turing.library.northwestern.edu/content/journals/10.1146/annurev-soc-030320-115024" TargetMode="External" /><Relationship Type="http://schemas.openxmlformats.org/officeDocument/2006/relationships/hyperlink" Id="rId115" Target="https://www-journals-uchicago-edu.turing.library.northwestern.edu/doi/full/10.1086/724835" TargetMode="External" /><Relationship Type="http://schemas.openxmlformats.org/officeDocument/2006/relationships/hyperlink" Id="rId135" Target="https://www.aeaweb.org/articles?id=10.1257/jep.27.3.79" TargetMode="External" /><Relationship Type="http://schemas.openxmlformats.org/officeDocument/2006/relationships/hyperlink" Id="rId96" Target="https://www.annualreviews.org/doi/10.1146/annurev-soc-060116-053331" TargetMode="External" /><Relationship Type="http://schemas.openxmlformats.org/officeDocument/2006/relationships/hyperlink" Id="rId88" Target="https://www.bakerinstitute.org/research/decline-us-wealth-and-income-inequality" TargetMode="External" /><Relationship Type="http://schemas.openxmlformats.org/officeDocument/2006/relationships/hyperlink" Id="rId158" Target="https://www.census.gov/data/tables/time-series/demo/income-poverty/historical-income-inequality.html" TargetMode="External" /><Relationship Type="http://schemas.openxmlformats.org/officeDocument/2006/relationships/hyperlink" Id="rId93" Target="https://www.journals.uchicago.edu/doi/10.1086/728741" TargetMode="External" /><Relationship Type="http://schemas.openxmlformats.org/officeDocument/2006/relationships/hyperlink" Id="rId138" Target="https://www.jstor.org/stable/10.7758/9781610447805" TargetMode="External" /><Relationship Type="http://schemas.openxmlformats.org/officeDocument/2006/relationships/hyperlink" Id="rId90" Target="https://www.nber.org/papers/w33823" TargetMode="External" /><Relationship Type="http://schemas.openxmlformats.org/officeDocument/2006/relationships/hyperlink" Id="rId149" Target="https://www.ncbi.nlm.nih.gov/pmc/articles/PMC2652960/" TargetMode="External" /><Relationship Type="http://schemas.openxmlformats.org/officeDocument/2006/relationships/hyperlink" Id="rId142" Target="https://www.ncbi.nlm.nih.gov/pmc/articles/PMC9874997/" TargetMode="External" /><Relationship Type="http://schemas.openxmlformats.org/officeDocument/2006/relationships/hyperlink" Id="rId146" Target="https://www.sciencedirect.com/science/article/pii/0022053170900396" TargetMode="External" /><Relationship Type="http://schemas.openxmlformats.org/officeDocument/2006/relationships/hyperlink" Id="rId152" Target="https://www.sciencedirect.com/science/article/pii/S0277953697000440" TargetMode="External" /><Relationship Type="http://schemas.openxmlformats.org/officeDocument/2006/relationships/hyperlink" Id="rId131"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Names</dc:creator>
  <cp:keywords>put keywords here</cp:keywords>
  <dcterms:created xsi:type="dcterms:W3CDTF">2026-04-02T14:07:24Z</dcterms:created>
  <dcterms:modified xsi:type="dcterms:W3CDTF">2026-04-02T14:07:24Z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April 02,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