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2.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bookmarkStart w:id="9" w:name="X34f2f1a281be98a5373d8245507174c2cbae101"/>
    <w:p>
      <w:pPr>
        <w:pStyle w:val="Heading1"/>
      </w:pPr>
      <w:r>
        <w:t xml:space="preserve">Appendix A: Comparison with External Estimates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A1.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A2.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0.801</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0.833</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0.811</w:t>
            </w:r>
          </w:p>
        </w:tc>
      </w:tr>
    </w:tbl>
    <w:p>
      <w:pPr>
        <w:pStyle w:val="FirstParagraph"/>
      </w:pPr>
      <w:r>
        <w:t xml:space="preserve">Appendix A compares Gini coefficients at the household level calculated for income and wealth with Gini coefficients from other researchers. Gini coefficients in Appendix A are calculated using the full sample of households in the PSID, rather than just the households who belong to a kin group with at least one other household (which are the results presented in the main paper).</w:t>
      </w:r>
    </w:p>
    <w:p>
      <w:pPr>
        <w:pStyle w:val="BodyText"/>
      </w:pPr>
      <w:r>
        <w:t xml:space="preserve">Gini coefficients are not available for all years in other sources, so only years available are presented. Gini benchmarks for income rely on estimates from the Federal Reserve Bank of St. Louis (FRED) and the U.S. Census</w:t>
      </w:r>
      <w:r>
        <w:t xml:space="preserve"> </w:t>
      </w:r>
      <w:r>
        <w:t xml:space="preserve">[1, 2]</w:t>
      </w:r>
      <w:r>
        <w:t xml:space="preserve">. FRED uses data from the World Bank on U.S. households and the Census uses data from the Current Population Survey (CPS). Gini benchmarks for wealth rely on estimates from research papers based on data from the PSID or Survey of Consumer Finances (SCF)</w:t>
      </w:r>
      <w:r>
        <w:t xml:space="preserve"> </w:t>
      </w:r>
      <w:r>
        <w:t xml:space="preserve">[3, 4]</w:t>
      </w:r>
      <w:r>
        <w:t xml:space="preserve">.</w:t>
      </w:r>
    </w:p>
    <w:p>
      <w:r>
        <w:br w:type="page"/>
      </w:r>
    </w:p>
    <w:bookmarkEnd w:id="9"/>
    <w:bookmarkStart w:id="13" w:name="Xd5a437866a0500690d5801a6d42866ccf468d0e"/>
    <w:p>
      <w:pPr>
        <w:pStyle w:val="Heading1"/>
      </w:pPr>
      <w:r>
        <w:t xml:space="preserve">Appendix B: Alternative Inequality Measures</w:t>
      </w:r>
    </w:p>
    <w:p>
      <w:pPr>
        <w:pStyle w:val="FirstParagraph"/>
      </w:pPr>
      <w:r>
        <w:drawing>
          <wp:inline>
            <wp:extent cx="5334000" cy="4953000"/>
            <wp:effectExtent b="0" l="0" r="0" t="0"/>
            <wp:docPr descr="" title="" id="11" name="Picture"/>
            <a:graphic>
              <a:graphicData uri="http://schemas.openxmlformats.org/drawingml/2006/picture">
                <pic:pic>
                  <pic:nvPicPr>
                    <pic:cNvPr descr="/Users/amanda/Desktop/clan_project/10_draft/output/supplemental_files/figure-docx/fig-b-1.png" id="12" name="Picture"/>
                    <pic:cNvPicPr>
                      <a:picLocks noChangeArrowheads="1" noChangeAspect="1"/>
                    </pic:cNvPicPr>
                  </pic:nvPicPr>
                  <pic:blipFill>
                    <a:blip r:embed="rId10"/>
                    <a:stretch>
                      <a:fillRect/>
                    </a:stretch>
                  </pic:blipFill>
                  <pic:spPr bwMode="auto">
                    <a:xfrm>
                      <a:off x="0" y="0"/>
                      <a:ext cx="5334000" cy="4953000"/>
                    </a:xfrm>
                    <a:prstGeom prst="rect">
                      <a:avLst/>
                    </a:prstGeom>
                    <a:noFill/>
                    <a:ln w="9525">
                      <a:noFill/>
                      <a:headEnd/>
                      <a:tailEnd/>
                    </a:ln>
                  </pic:spPr>
                </pic:pic>
              </a:graphicData>
            </a:graphic>
          </wp:inline>
        </w:drawing>
      </w:r>
    </w:p>
    <w:p>
      <w:pPr>
        <w:pStyle w:val="BodyText"/>
      </w:pPr>
      <w:r>
        <w:t xml:space="preserve">Appendix B shows three alternative measures of inequality proposed by Aaberge</w:t>
      </w:r>
      <w:r>
        <w:t xml:space="preserve"> </w:t>
      </w:r>
      <w:r>
        <w:t xml:space="preserve">[5]</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kin group level using any measure of inequality.</w:t>
      </w:r>
    </w:p>
    <w:p>
      <w:r>
        <w:br w:type="page"/>
      </w:r>
    </w:p>
    <w:bookmarkEnd w:id="13"/>
    <w:bookmarkStart w:id="26" w:name="appendix-c-simulating-gini-coefficients"/>
    <w:p>
      <w:pPr>
        <w:pStyle w:val="Heading1"/>
      </w:pPr>
      <w:r>
        <w:t xml:space="preserve">Appendix C: Simulating Gini Coefficients</w:t>
      </w:r>
    </w:p>
    <w:p>
      <w:pPr>
        <w:pStyle w:val="FirstParagraph"/>
      </w:pPr>
      <w:r>
        <w:t xml:space="preserve">Appendix C illustrates extreme cases from simulated household and kin group data. The simulation demonstrates that kin group-level Gini coefficients are not necessarily lower than household-level Gini coefficients. The direction of the difference depends on the relationship between kin group size, the overall distribution of resources, and the selection of households into kin groups. C1 and C2 plot the minimum and maximum simulated differences between kin groups and households, respectively, while C3 plots the full range of possible values.</w:t>
      </w:r>
    </w:p>
    <w:bookmarkStart w:id="17" w:name="Xb960616af75b75f4feedf89a5303d8651753da9"/>
    <w:p>
      <w:pPr>
        <w:pStyle w:val="Heading2"/>
      </w:pPr>
      <w:r>
        <w:t xml:space="preserve">Appendix C1: Case with lowest simulated kin group-household Gini difference</w:t>
      </w:r>
    </w:p>
    <w:p>
      <w:pPr>
        <w:pStyle w:val="FirstParagraph"/>
      </w:pPr>
      <w:r>
        <w:drawing>
          <wp:inline>
            <wp:extent cx="5334000" cy="4000500"/>
            <wp:effectExtent b="0" l="0" r="0" t="0"/>
            <wp:docPr descr="" title="" id="15" name="Picture"/>
            <a:graphic>
              <a:graphicData uri="http://schemas.openxmlformats.org/drawingml/2006/picture">
                <pic:pic>
                  <pic:nvPicPr>
                    <pic:cNvPr descr="/Users/amanda/Desktop/clan_project/10_draft/output/supplemental_files/figure-docx/fig-c1-1.png" id="16" name="Picture"/>
                    <pic:cNvPicPr>
                      <a:picLocks noChangeArrowheads="1" noChangeAspect="1"/>
                    </pic:cNvPicPr>
                  </pic:nvPicPr>
                  <pic:blipFill>
                    <a:blip r:embed="rId1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Appendix C1 illustrates the minimum possible difference between kin group and household Gini coefficients in the simulated data. The area between the Lorenz curve and the 45-degree line of perfect equality is larger for kin groups than for households. This case demonstrates that Gini coefficients at the kin group level can exceed those of households.</w:t>
      </w:r>
    </w:p>
    <w:p>
      <w:r>
        <w:br w:type="page"/>
      </w:r>
    </w:p>
    <w:bookmarkEnd w:id="17"/>
    <w:bookmarkStart w:id="21" w:name="Xadf8be98073f7f97a3e63f55e1af86d801b3b8c"/>
    <w:p>
      <w:pPr>
        <w:pStyle w:val="Heading2"/>
      </w:pPr>
      <w:r>
        <w:t xml:space="preserve">Appendix C2: Case with highest simulated kin group-household Gini difference</w:t>
      </w:r>
    </w:p>
    <w:p>
      <w:pPr>
        <w:pStyle w:val="FirstParagraph"/>
      </w:pPr>
      <w:r>
        <w:drawing>
          <wp:inline>
            <wp:extent cx="5334000" cy="4000500"/>
            <wp:effectExtent b="0" l="0" r="0" t="0"/>
            <wp:docPr descr="" title="" id="19" name="Picture"/>
            <a:graphic>
              <a:graphicData uri="http://schemas.openxmlformats.org/drawingml/2006/picture">
                <pic:pic>
                  <pic:nvPicPr>
                    <pic:cNvPr descr="/Users/amanda/Desktop/clan_project/10_draft/output/supplemental_files/figure-docx/fig-c2-1.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Appendix C2 shows the maximum possible difference between kin group and household Gini coefficients in the simulated data. In this case, the area between the Lorenz curve and the 45-degree line of perfect equality is larger for households than kin groups.</w:t>
      </w:r>
    </w:p>
    <w:p>
      <w:r>
        <w:br w:type="page"/>
      </w:r>
    </w:p>
    <w:bookmarkEnd w:id="21"/>
    <w:bookmarkStart w:id="25" w:name="appendix-c3-summary-of-extreme-cases"/>
    <w:p>
      <w:pPr>
        <w:pStyle w:val="Heading2"/>
      </w:pPr>
      <w:r>
        <w:t xml:space="preserve">Appendix C3: Summary of extreme cases</w:t>
      </w:r>
    </w:p>
    <w:p>
      <w:pPr>
        <w:pStyle w:val="FirstParagraph"/>
      </w:pPr>
      <w:r>
        <w:drawing>
          <wp:inline>
            <wp:extent cx="5334000" cy="4103076"/>
            <wp:effectExtent b="0" l="0" r="0" t="0"/>
            <wp:docPr descr="" title="" id="23" name="Picture"/>
            <a:graphic>
              <a:graphicData uri="http://schemas.openxmlformats.org/drawingml/2006/picture">
                <pic:pic>
                  <pic:nvPicPr>
                    <pic:cNvPr descr="/Users/amanda/Desktop/clan_project/10_draft/output/supplemental_files/figure-docx/fig-c3-1.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t xml:space="preserve">Appendix C3 plots the difference between household and kin group Gini coefficients based on simulated data. Appendix C1 shows the minimum possible difference between kin group and household Gini coefficients (right side of C3) in the simulated data, while Appendix C2 shows the maximum possible difference (left side of C3). Curves show that Gini coefficients at the kin group level can exceed those of households. While it is more likely for Gini coefficients at the household level to exceed Gini coefficients at the kin group level, Appendix C3 illustrates that, whether this effect is observed depends on the combination of kin group size and the income or wealth distribution.</w:t>
      </w:r>
    </w:p>
    <w:p>
      <w:r>
        <w:br w:type="page"/>
      </w:r>
    </w:p>
    <w:bookmarkEnd w:id="25"/>
    <w:bookmarkEnd w:id="26"/>
    <w:bookmarkStart w:id="55" w:name="X7b2761adcc4484949cbbe0e9778d9cdd3f9695c"/>
    <w:p>
      <w:pPr>
        <w:pStyle w:val="Heading1"/>
      </w:pPr>
      <w:r>
        <w:t xml:space="preserve">Appendix D: Sensitivity Analyses — Gini Coefficients</w:t>
      </w:r>
    </w:p>
    <w:p>
      <w:pPr>
        <w:pStyle w:val="FirstParagraph"/>
      </w:pPr>
      <w:r>
        <w:t xml:space="preserve">Across a range of specifications, estimated inequality using the Gini is lower when kin groups are used as the unit of analysis instead of households. This pattern is not driven by race, nor does it disappear when expanding the sample, excluding home equity in measures of wealth, including negative wealth values, standardizing by household size, or applying weights. For each specification, results are recalculated and displayed alongside the main results.</w:t>
      </w:r>
    </w:p>
    <w:p>
      <w:r>
        <w:br w:type="page"/>
      </w:r>
    </w:p>
    <w:bookmarkStart w:id="30" w:name="Xc27e47834c53023574bd40bc3022e779a887e02"/>
    <w:p>
      <w:pPr>
        <w:pStyle w:val="Heading2"/>
      </w:pPr>
      <w:r>
        <w:t xml:space="preserve">Appendix D1: Sensitivity — Wealth With and Without Home Equity</w:t>
      </w:r>
    </w:p>
    <w:p>
      <w:pPr>
        <w:pStyle w:val="FirstParagraph"/>
      </w:pPr>
      <w:r>
        <w:drawing>
          <wp:inline>
            <wp:extent cx="5334000" cy="2667000"/>
            <wp:effectExtent b="0" l="0" r="0" t="0"/>
            <wp:docPr descr="" title="" id="28" name="Picture"/>
            <a:graphic>
              <a:graphicData uri="http://schemas.openxmlformats.org/drawingml/2006/picture">
                <pic:pic>
                  <pic:nvPicPr>
                    <pic:cNvPr descr="/Users/amanda/Desktop/clan_project/10_draft/output/supplemental_files/figure-docx/fig-d1-1.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Results presented in the main text include home equity for measures of wealth. Appendix D1 shows Gini coefficients when home equity is excluded (middle graphs), and reports the difference between Gini coefficients at the household and kin group levels (graphs on the right). Excluding home equity makes estimated inequality lower and minimizes the observed difference between household and kin group Gini coefficients.</w:t>
      </w:r>
    </w:p>
    <w:p>
      <w:r>
        <w:br w:type="page"/>
      </w:r>
    </w:p>
    <w:bookmarkEnd w:id="30"/>
    <w:bookmarkStart w:id="34" w:name="appendix-d2-sensitivity-negative-values"/>
    <w:p>
      <w:pPr>
        <w:pStyle w:val="Heading2"/>
      </w:pPr>
      <w:r>
        <w:t xml:space="preserve">Appendix D2: Sensitivity — Negative Values</w:t>
      </w:r>
    </w:p>
    <w:p>
      <w:pPr>
        <w:pStyle w:val="FirstParagraph"/>
      </w:pPr>
      <w:r>
        <w:drawing>
          <wp:inline>
            <wp:extent cx="5334000" cy="4191000"/>
            <wp:effectExtent b="0" l="0" r="0" t="0"/>
            <wp:docPr descr="" title="" id="32" name="Picture"/>
            <a:graphic>
              <a:graphicData uri="http://schemas.openxmlformats.org/drawingml/2006/picture">
                <pic:pic>
                  <pic:nvPicPr>
                    <pic:cNvPr descr="/Users/amanda/Desktop/clan_project/10_draft/output/supplemental_files/figure-docx/fig-d2-1.png" id="33" name="Picture"/>
                    <pic:cNvPicPr>
                      <a:picLocks noChangeArrowheads="1" noChangeAspect="1"/>
                    </pic:cNvPicPr>
                  </pic:nvPicPr>
                  <pic:blipFill>
                    <a:blip r:embed="rId31"/>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Results presented in the main text set negative values for household or kin group income and wealth to zero. Appendix D2 shows Gini coefficients when negative values are retained (middle graphs), and reports the difference between Gini coefficients at the household and kin group levels (graphs on the right). Including negative values does not change estimated Gini coefficients at the household or kin group levels.</w:t>
      </w:r>
    </w:p>
    <w:p>
      <w:r>
        <w:br w:type="page"/>
      </w:r>
    </w:p>
    <w:bookmarkEnd w:id="34"/>
    <w:bookmarkStart w:id="38" w:name="appendix-d3-sensitivity-weighting"/>
    <w:p>
      <w:pPr>
        <w:pStyle w:val="Heading2"/>
      </w:pPr>
      <w:r>
        <w:t xml:space="preserve">Appendix D3: Sensitivity — Weighting</w:t>
      </w:r>
    </w:p>
    <w:p>
      <w:pPr>
        <w:pStyle w:val="FirstParagraph"/>
      </w:pPr>
      <w:r>
        <w:drawing>
          <wp:inline>
            <wp:extent cx="5334000" cy="4191000"/>
            <wp:effectExtent b="0" l="0" r="0" t="0"/>
            <wp:docPr descr="" title="" id="36" name="Picture"/>
            <a:graphic>
              <a:graphicData uri="http://schemas.openxmlformats.org/drawingml/2006/picture">
                <pic:pic>
                  <pic:nvPicPr>
                    <pic:cNvPr descr="/Users/amanda/Desktop/clan_project/10_draft/output/supplemental_files/figure-docx/fig-d3-1.png" id="37" name="Picture"/>
                    <pic:cNvPicPr>
                      <a:picLocks noChangeArrowheads="1" noChangeAspect="1"/>
                    </pic:cNvPicPr>
                  </pic:nvPicPr>
                  <pic:blipFill>
                    <a:blip r:embed="rId35"/>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All results presented in the main paper are weighted. Household-level Gini coefficients are weighted using PSID-provided family weights, while kin group-level Gini coefficients are weighted using a constructed kin group weight based on the PSID family weight. Weighting does not substantially change the results.</w:t>
      </w:r>
    </w:p>
    <w:p>
      <w:r>
        <w:br w:type="page"/>
      </w:r>
    </w:p>
    <w:bookmarkEnd w:id="38"/>
    <w:bookmarkStart w:id="42" w:name="X40d182564b7686535daeb236ff5e1df0779661b"/>
    <w:p>
      <w:pPr>
        <w:pStyle w:val="Heading2"/>
      </w:pPr>
      <w:r>
        <w:t xml:space="preserve">Appendix D4: Sensitivity — Size Standardization</w:t>
      </w:r>
    </w:p>
    <w:p>
      <w:pPr>
        <w:pStyle w:val="FirstParagraph"/>
      </w:pPr>
      <w:r>
        <w:drawing>
          <wp:inline>
            <wp:extent cx="5334000" cy="4191000"/>
            <wp:effectExtent b="0" l="0" r="0" t="0"/>
            <wp:docPr descr="" title="" id="40" name="Picture"/>
            <a:graphic>
              <a:graphicData uri="http://schemas.openxmlformats.org/drawingml/2006/picture">
                <pic:pic>
                  <pic:nvPicPr>
                    <pic:cNvPr descr="/Users/amanda/Desktop/clan_project/10_draft/output/supplemental_files/figure-docx/fig-d4-1.png" id="41" name="Picture"/>
                    <pic:cNvPicPr>
                      <a:picLocks noChangeArrowheads="1" noChangeAspect="1"/>
                    </pic:cNvPicPr>
                  </pic:nvPicPr>
                  <pic:blipFill>
                    <a:blip r:embed="rId3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Results in the main text standardize income, wealth, and resulting Gini coefficients by household and kin group size. Estimated inequality is higher when results are not standardized by size and the gap between household and kin group Gini coefficients is smaller. However, Gini coefficients are higher at the household versus kin group level irrespective of whether measurements are adjusted by size.</w:t>
      </w:r>
    </w:p>
    <w:p>
      <w:r>
        <w:br w:type="page"/>
      </w:r>
    </w:p>
    <w:bookmarkEnd w:id="42"/>
    <w:bookmarkStart w:id="46" w:name="X610920f062f953a057edb0109663db3aa1ede69"/>
    <w:p>
      <w:pPr>
        <w:pStyle w:val="Heading2"/>
      </w:pPr>
      <w:r>
        <w:t xml:space="preserve">Appendix D5: Sensitivity — Single-Household Kin Groups</w:t>
      </w:r>
    </w:p>
    <w:p>
      <w:pPr>
        <w:pStyle w:val="FirstParagraph"/>
      </w:pPr>
      <w:r>
        <w:drawing>
          <wp:inline>
            <wp:extent cx="5334000" cy="4191000"/>
            <wp:effectExtent b="0" l="0" r="0" t="0"/>
            <wp:docPr descr="" title="" id="44" name="Picture"/>
            <a:graphic>
              <a:graphicData uri="http://schemas.openxmlformats.org/drawingml/2006/picture">
                <pic:pic>
                  <pic:nvPicPr>
                    <pic:cNvPr descr="/Users/amanda/Desktop/clan_project/10_draft/output/supplemental_files/figure-docx/fig-d5-1.png" id="45" name="Picture"/>
                    <pic:cNvPicPr>
                      <a:picLocks noChangeArrowheads="1" noChangeAspect="1"/>
                    </pic:cNvPicPr>
                  </pic:nvPicPr>
                  <pic:blipFill>
                    <a:blip r:embed="rId4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In reality, all households belong to kin groups that consist of multiple households. However, some households in the PSID do not have kin groups due to survey design and attrition. The survey is genealogical, meaning that initial households only have measurable kin groups once their descendants respond to the survey. Attrition also might limit responses from some households, thereby erasing kin groups for the households they are connected to.</w:t>
      </w:r>
    </w:p>
    <w:p>
      <w:pPr>
        <w:pStyle w:val="BodyText"/>
      </w:pPr>
      <w:r>
        <w:t xml:space="preserve">Because these limitations are imposed by the survey design, not social reality, we exclude household-years where households are alone in their kin group from both household and kin group measurements. The graphs on the left side show this. When including these single-household kin groups, or</w:t>
      </w:r>
      <w:r>
        <w:t xml:space="preserve"> </w:t>
      </w:r>
      <w:r>
        <w:t xml:space="preserve">“kin groupless”</w:t>
      </w:r>
      <w:r>
        <w:t xml:space="preserve"> </w:t>
      </w:r>
      <w:r>
        <w:t xml:space="preserve">households, the difference in Gini coefficients at the household and kin groups levels is minimized but not eliminated. The graphs in the middle show Gini coefficients when single-household kin groups are included. The graphs on the right side show the difference between household and kin group (HH - kin group) Gini coefficients for each group. Differences in estimated inequality at the kin group and household levels are smaller when including kin groupless households, however, they still exist and are increasing over time.</w:t>
      </w:r>
    </w:p>
    <w:p>
      <w:r>
        <w:br w:type="page"/>
      </w:r>
    </w:p>
    <w:bookmarkEnd w:id="46"/>
    <w:bookmarkStart w:id="50" w:name="appendix-d6-sensitivity-age-weighting"/>
    <w:p>
      <w:pPr>
        <w:pStyle w:val="Heading2"/>
      </w:pPr>
      <w:r>
        <w:t xml:space="preserve">Appendix D6: Sensitivity — Age Weighting</w:t>
      </w:r>
    </w:p>
    <w:p>
      <w:pPr>
        <w:pStyle w:val="FirstParagraph"/>
      </w:pPr>
      <w:r>
        <w:drawing>
          <wp:inline>
            <wp:extent cx="5334000" cy="4191000"/>
            <wp:effectExtent b="0" l="0" r="0" t="0"/>
            <wp:docPr descr="" title="" id="48" name="Picture"/>
            <a:graphic>
              <a:graphicData uri="http://schemas.openxmlformats.org/drawingml/2006/picture">
                <pic:pic>
                  <pic:nvPicPr>
                    <pic:cNvPr descr="/Users/amanda/Desktop/clan_project/10_draft/output/supplemental_files/figure-docx/fig-d6-1.png" id="49" name="Picture"/>
                    <pic:cNvPicPr>
                      <a:picLocks noChangeArrowheads="1" noChangeAspect="1"/>
                    </pic:cNvPicPr>
                  </pic:nvPicPr>
                  <pic:blipFill>
                    <a:blip r:embed="rId4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Results in the main text use standard PSID family and kin group weights. Appendix D6 shows Gini coefficients when these weights are downweighted for older households and kin groups (middle graphs): each weight is multiplied by the sample mean age divided by the unit’s mean age. Gini coefficients remain higher at the household level than at the kin group level under age weighting.</w:t>
      </w:r>
    </w:p>
    <w:p>
      <w:r>
        <w:br w:type="page"/>
      </w:r>
    </w:p>
    <w:bookmarkEnd w:id="50"/>
    <w:bookmarkStart w:id="54" w:name="X5b6f19aab31633082ecd773467819a3fffde486"/>
    <w:p>
      <w:pPr>
        <w:pStyle w:val="Heading2"/>
      </w:pPr>
      <w:r>
        <w:t xml:space="preserve">Appendix D7: Gini Coefficients by Race Subgroup</w:t>
      </w:r>
    </w:p>
    <w:p>
      <w:pPr>
        <w:pStyle w:val="FirstParagraph"/>
      </w:pPr>
      <w:r>
        <w:drawing>
          <wp:inline>
            <wp:extent cx="5334000" cy="4191000"/>
            <wp:effectExtent b="0" l="0" r="0" t="0"/>
            <wp:docPr descr="" title="" id="52" name="Picture"/>
            <a:graphic>
              <a:graphicData uri="http://schemas.openxmlformats.org/drawingml/2006/picture">
                <pic:pic>
                  <pic:nvPicPr>
                    <pic:cNvPr descr="/Users/amanda/Desktop/clan_project/10_draft/output/supplemental_files/figure-docx/fig-d7-1.png" id="53" name="Picture"/>
                    <pic:cNvPicPr>
                      <a:picLocks noChangeArrowheads="1" noChangeAspect="1"/>
                    </pic:cNvPicPr>
                  </pic:nvPicPr>
                  <pic:blipFill>
                    <a:blip r:embed="rId51"/>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Appendix D7 shows that the differences between Gini coefficients at the household and kin group level are not driven by racial subgroups. Graphs on the left side show Gini coefficients for Black households and kin groups. Graphs in the middle show Gini coefficients for non-Black households and kin groups. The graphs on the right side show the difference between household and kin group (HH - kin group) Gini coefficients for each group. Gini coefficients for income (Panel A) and wealth (Panel B) are higher at the kin group level for both Black and non-Black kin groups, indicating that inequality is lower when estimated at the kin group level across racial groups.</w:t>
      </w:r>
    </w:p>
    <w:p>
      <w:r>
        <w:br w:type="page"/>
      </w:r>
    </w:p>
    <w:bookmarkEnd w:id="54"/>
    <w:bookmarkEnd w:id="55"/>
    <w:bookmarkStart w:id="88" w:name="X5f622d6d803146b163d9253c739d30f2df1566c"/>
    <w:p>
      <w:pPr>
        <w:pStyle w:val="Heading1"/>
      </w:pPr>
      <w:r>
        <w:t xml:space="preserve">Appendix E: Sensitivity Analyses — Race Ratios</w:t>
      </w:r>
    </w:p>
    <w:p>
      <w:pPr>
        <w:pStyle w:val="FirstParagraph"/>
      </w:pPr>
      <w:r>
        <w:t xml:space="preserve">Racial wealth gaps estimated using mean, rather than median, wealth are about the same at the household and kin group levels. Appendix E1 plots the difference between the mean and median wealth ratios and explains why median racial wealth gaps are presented.</w:t>
      </w:r>
    </w:p>
    <w:p>
      <w:pPr>
        <w:pStyle w:val="BodyText"/>
      </w:pPr>
      <w:r>
        <w:t xml:space="preserve">Across a range of specifications, estimated median racial wealth gaps are lower when kin groups are used as the unit of analysis instead of households. This pattern does not disappear when expanding the sample, excluding home equity in measures of wealth, including negative wealth values, standardizing by household size, or applying weights. For each specification, results are recalculated and displayed alongside the main results.</w:t>
      </w:r>
    </w:p>
    <w:p>
      <w:r>
        <w:br w:type="page"/>
      </w:r>
    </w:p>
    <w:bookmarkStart w:id="59" w:name="Xaf4b4e30a82a5efc110f75affa781b311e02b22"/>
    <w:p>
      <w:pPr>
        <w:pStyle w:val="Heading2"/>
      </w:pPr>
      <w:r>
        <w:t xml:space="preserve">Appendix E1: Mean and Median Wealth Ratios</w:t>
      </w:r>
    </w:p>
    <w:p>
      <w:pPr>
        <w:pStyle w:val="FirstParagraph"/>
      </w:pPr>
      <w:r>
        <w:drawing>
          <wp:inline>
            <wp:extent cx="5334000" cy="4191000"/>
            <wp:effectExtent b="0" l="0" r="0" t="0"/>
            <wp:docPr descr="" title="" id="57" name="Picture"/>
            <a:graphic>
              <a:graphicData uri="http://schemas.openxmlformats.org/drawingml/2006/picture">
                <pic:pic>
                  <pic:nvPicPr>
                    <pic:cNvPr descr="/Users/amanda/Desktop/clan_project/10_draft/output/supplemental_files/figure-docx/fig-e1-1.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Appendix E1 reports Black / non-Black wealth ratios for both households and kin groups. Panel A reproduces the median wealth ratios (as in Figure 3 of the main paper), while Panel B presents mean wealth ratios. Using medians, the racial wealth gap differs between households and kin groups (Panel A), whereas using means, the two are about the same (Panel B).</w:t>
      </w:r>
    </w:p>
    <w:p>
      <w:pPr>
        <w:pStyle w:val="BodyText"/>
      </w:pPr>
      <w:r>
        <w:t xml:space="preserve">Race ratios using mean wealth, when pooled across all years, show that Black households hold 19 cents for every dollar of wealth held by non-Black households, while Black kin groups hold 18 cents for every dollar held by non-Black kin groups. The convergence in mean-based estimates is driven by a small number of high-wealth Black households in the PSID, particularly in 2004–2005, which skew household-level averages. These results highlight the sensitivity of mean-based measures to outliers, which is why we present race ratios based on median wealth in the main text and in Appendices E2–E7.</w:t>
      </w:r>
    </w:p>
    <w:p>
      <w:r>
        <w:br w:type="page"/>
      </w:r>
    </w:p>
    <w:bookmarkEnd w:id="59"/>
    <w:bookmarkStart w:id="63" w:name="X44cd73c19ec5053c9965e5c699439a9e1cd6656"/>
    <w:p>
      <w:pPr>
        <w:pStyle w:val="Heading2"/>
      </w:pPr>
      <w:r>
        <w:t xml:space="preserve">Appendix E2: Race Ratios — Wealth With and Without Home Equity</w:t>
      </w:r>
    </w:p>
    <w:p>
      <w:pPr>
        <w:pStyle w:val="FirstParagraph"/>
      </w:pPr>
      <w:r>
        <w:drawing>
          <wp:inline>
            <wp:extent cx="5334000" cy="2667000"/>
            <wp:effectExtent b="0" l="0" r="0" t="0"/>
            <wp:docPr descr="" title="" id="61" name="Picture"/>
            <a:graphic>
              <a:graphicData uri="http://schemas.openxmlformats.org/drawingml/2006/picture">
                <pic:pic>
                  <pic:nvPicPr>
                    <pic:cNvPr descr="/Users/amanda/Desktop/clan_project/10_draft/output/supplemental_files/figure-docx/fig-e2-1.png" id="62" name="Picture"/>
                    <pic:cNvPicPr>
                      <a:picLocks noChangeArrowheads="1" noChangeAspect="1"/>
                    </pic:cNvPicPr>
                  </pic:nvPicPr>
                  <pic:blipFill>
                    <a:blip r:embed="rId6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Appendix E2 compares median Black / Non-Black wealth ratios when home equity is included (main specification, left panel) versus excluded (middle panel). The median racial wealth gap between kin groups, versus households, shows less inequality irrespective of whether wealth measures include home equity.</w:t>
      </w:r>
    </w:p>
    <w:p>
      <w:r>
        <w:br w:type="page"/>
      </w:r>
    </w:p>
    <w:bookmarkEnd w:id="63"/>
    <w:bookmarkStart w:id="67" w:name="appendix-e3-race-ratios-negative-values"/>
    <w:p>
      <w:pPr>
        <w:pStyle w:val="Heading2"/>
      </w:pPr>
      <w:r>
        <w:t xml:space="preserve">Appendix E3: Race Ratios — Negative Values</w:t>
      </w:r>
    </w:p>
    <w:p>
      <w:pPr>
        <w:pStyle w:val="FirstParagraph"/>
      </w:pPr>
      <w:r>
        <w:drawing>
          <wp:inline>
            <wp:extent cx="5334000" cy="2667000"/>
            <wp:effectExtent b="0" l="0" r="0" t="0"/>
            <wp:docPr descr="" title="" id="65" name="Picture"/>
            <a:graphic>
              <a:graphicData uri="http://schemas.openxmlformats.org/drawingml/2006/picture">
                <pic:pic>
                  <pic:nvPicPr>
                    <pic:cNvPr descr="/Users/amanda/Desktop/clan_project/10_draft/output/supplemental_files/figure-docx/fig-e3-1.png" id="66" name="Picture"/>
                    <pic:cNvPicPr>
                      <a:picLocks noChangeArrowheads="1" noChangeAspect="1"/>
                    </pic:cNvPicPr>
                  </pic:nvPicPr>
                  <pic:blipFill>
                    <a:blip r:embed="rId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Appendix E3 shows median Black / Non-Black wealth ratios when negative wealth values are excluded (main specification, left panel) versus included (middle panel). Including negative values does not change the estimated race ratios.</w:t>
      </w:r>
    </w:p>
    <w:p>
      <w:r>
        <w:br w:type="page"/>
      </w:r>
    </w:p>
    <w:bookmarkEnd w:id="67"/>
    <w:bookmarkStart w:id="71" w:name="appendix-e4-race-ratios-weighting"/>
    <w:p>
      <w:pPr>
        <w:pStyle w:val="Heading2"/>
      </w:pPr>
      <w:r>
        <w:t xml:space="preserve">Appendix E4: Race Ratios — Weighting</w:t>
      </w:r>
    </w:p>
    <w:p>
      <w:pPr>
        <w:pStyle w:val="FirstParagraph"/>
      </w:pPr>
      <w:r>
        <w:drawing>
          <wp:inline>
            <wp:extent cx="5334000" cy="2667000"/>
            <wp:effectExtent b="0" l="0" r="0" t="0"/>
            <wp:docPr descr="" title="" id="69" name="Picture"/>
            <a:graphic>
              <a:graphicData uri="http://schemas.openxmlformats.org/drawingml/2006/picture">
                <pic:pic>
                  <pic:nvPicPr>
                    <pic:cNvPr descr="/Users/amanda/Desktop/clan_project/10_draft/output/supplemental_files/figure-docx/fig-e4-1.png" id="70" name="Picture"/>
                    <pic:cNvPicPr>
                      <a:picLocks noChangeArrowheads="1" noChangeAspect="1"/>
                    </pic:cNvPicPr>
                  </pic:nvPicPr>
                  <pic:blipFill>
                    <a:blip r:embed="rId6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Appendix E4 shows median Black / Non-Black wealth ratios using weighted estimates (main specification, left panel) versus unweighted estimates (middle panel). Weighting does not substantially change the estimated race ratios.</w:t>
      </w:r>
    </w:p>
    <w:p>
      <w:r>
        <w:br w:type="page"/>
      </w:r>
    </w:p>
    <w:bookmarkEnd w:id="71"/>
    <w:bookmarkStart w:id="75" w:name="Xd6511b1b6585925de2919b20c244f05b533908a"/>
    <w:p>
      <w:pPr>
        <w:pStyle w:val="Heading2"/>
      </w:pPr>
      <w:r>
        <w:t xml:space="preserve">Appendix E5: Race Ratios — Size Standardization</w:t>
      </w:r>
    </w:p>
    <w:p>
      <w:pPr>
        <w:pStyle w:val="FirstParagraph"/>
      </w:pPr>
      <w:r>
        <w:drawing>
          <wp:inline>
            <wp:extent cx="5334000" cy="2667000"/>
            <wp:effectExtent b="0" l="0" r="0" t="0"/>
            <wp:docPr descr="" title="" id="73" name="Picture"/>
            <a:graphic>
              <a:graphicData uri="http://schemas.openxmlformats.org/drawingml/2006/picture">
                <pic:pic>
                  <pic:nvPicPr>
                    <pic:cNvPr descr="/Users/amanda/Desktop/clan_project/10_draft/output/supplemental_files/figure-docx/fig-e5-1.png" id="74"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Appendix E5 compares median Black / Non-Black wealth ratios when wealth is size-standardized by household and kin group size (main specification, left panel) versus unadjusted (middle panel). Standardizing by size does not substantially change the estimated median wealth race ratios from 1984–2015. From 2015–2023, the difference between median wealth gaps at the kin group versus household level widens.</w:t>
      </w:r>
    </w:p>
    <w:p>
      <w:r>
        <w:br w:type="page"/>
      </w:r>
    </w:p>
    <w:bookmarkEnd w:id="75"/>
    <w:bookmarkStart w:id="79" w:name="Xd0c722685833cff9723e46897b724a2aa0af049"/>
    <w:p>
      <w:pPr>
        <w:pStyle w:val="Heading2"/>
      </w:pPr>
      <w:r>
        <w:t xml:space="preserve">Appendix E6: Race Ratios — Single-Household Kin Groups</w:t>
      </w:r>
    </w:p>
    <w:p>
      <w:pPr>
        <w:pStyle w:val="FirstParagraph"/>
      </w:pPr>
      <w:r>
        <w:drawing>
          <wp:inline>
            <wp:extent cx="5334000" cy="2667000"/>
            <wp:effectExtent b="0" l="0" r="0" t="0"/>
            <wp:docPr descr="" title="" id="77" name="Picture"/>
            <a:graphic>
              <a:graphicData uri="http://schemas.openxmlformats.org/drawingml/2006/picture">
                <pic:pic>
                  <pic:nvPicPr>
                    <pic:cNvPr descr="/Users/amanda/Desktop/clan_project/10_draft/output/supplemental_files/figure-docx/fig-e6-1.png" id="78"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Appendix E6 shows median Black / Non-Black wealth ratios when single-household kin groups are excluded (main specification, left panel) versus included (middle panel). Including single-household kin groups does little to change median racial wealth gaps (right panel). In particular, the median racial wealth gap between kin groups, versus households, shows less inequality irrespective of whether single-household kin groups are included.</w:t>
      </w:r>
    </w:p>
    <w:p>
      <w:r>
        <w:br w:type="page"/>
      </w:r>
    </w:p>
    <w:bookmarkEnd w:id="79"/>
    <w:bookmarkStart w:id="83" w:name="appendix-e7-race-ratios-age-weighting"/>
    <w:p>
      <w:pPr>
        <w:pStyle w:val="Heading2"/>
      </w:pPr>
      <w:r>
        <w:t xml:space="preserve">Appendix E7: Race Ratios — Age Weighting</w:t>
      </w:r>
    </w:p>
    <w:p>
      <w:pPr>
        <w:pStyle w:val="FirstParagraph"/>
      </w:pPr>
      <w:r>
        <w:drawing>
          <wp:inline>
            <wp:extent cx="5334000" cy="2667000"/>
            <wp:effectExtent b="0" l="0" r="0" t="0"/>
            <wp:docPr descr="" title="" id="81" name="Picture"/>
            <a:graphic>
              <a:graphicData uri="http://schemas.openxmlformats.org/drawingml/2006/picture">
                <pic:pic>
                  <pic:nvPicPr>
                    <pic:cNvPr descr="/Users/amanda/Desktop/clan_project/10_draft/output/supplemental_files/figure-docx/fig-e7-1.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Appendix E7 shows median Black / Non-Black wealth ratios using standard weights (main specification, left panel) versus weights that downweight older households and kin groups (middle panel). Each weight is multiplied by the sample mean age divided by the unit’s mean age.</w:t>
      </w:r>
    </w:p>
    <w:p>
      <w:r>
        <w:br w:type="page"/>
      </w:r>
    </w:p>
    <w:bookmarkEnd w:id="83"/>
    <w:bookmarkStart w:id="87" w:name="X86f648e22926d8856f3600be35be25697e035a7"/>
    <w:p>
      <w:pPr>
        <w:pStyle w:val="Heading2"/>
      </w:pPr>
      <w:r>
        <w:t xml:space="preserve">Appendix E8: Racial Composition of Black Households and Kin Groups</w:t>
      </w:r>
    </w:p>
    <w:p>
      <w:pPr>
        <w:pStyle w:val="FirstParagraph"/>
      </w:pPr>
      <w:r>
        <w:drawing>
          <wp:inline>
            <wp:extent cx="5334000" cy="4741333"/>
            <wp:effectExtent b="0" l="0" r="0" t="0"/>
            <wp:docPr descr="" title="" id="85" name="Picture"/>
            <a:graphic>
              <a:graphicData uri="http://schemas.openxmlformats.org/drawingml/2006/picture">
                <pic:pic>
                  <pic:nvPicPr>
                    <pic:cNvPr descr="/Users/amanda/Desktop/clan_project/10_draft/output/supplemental_files/figure-docx/fig-e8-1.png" id="86" name="Picture"/>
                    <pic:cNvPicPr>
                      <a:picLocks noChangeArrowheads="1" noChangeAspect="1"/>
                    </pic:cNvPicPr>
                  </pic:nvPicPr>
                  <pic:blipFill>
                    <a:blip r:embed="rId84"/>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t xml:space="preserve">Appendix E8 describes the racial composition of Black households and kin groups. Race is measured for heads and spouses only. Panel A shows the weighted share of Black households with a non-Black spouse and the weighted share of Black kin groups with at least one non-Black head or spouse. Panel B divides the number of non-Black heads and spouses in each kin group by the number of households within the kin group. All panels use the wealth sample (1984–2023). Panels A and B include 46,262 Black household-years and 8,608 Black kin group-years from 827 unique Black kin groups. Panel C reproduces Figure 3 under four definitions of a Black kin group. The number of Black kin group-years (7,789 to 9,397) and unique Black kin groups (814 to 972) does not vary substantially across definitions.</w:t>
      </w:r>
    </w:p>
    <w:p>
      <w:pPr>
        <w:pStyle w:val="BodyText"/>
      </w:pPr>
      <w:r>
        <w:t xml:space="preserve">Because kin groups span several households, they are more likely than households to include non-Black individuals. In 2023, 22.3% of Black kin groups included at least one non-Black head or spouse, compared with 4.6% of Black households with a non-Black spouse (Panel A). Per household, however, the two are similar (0.050 vs. 0.046 non-Black heads and spouses per household; Panel B): the difference reflects the size of kin groups rather than higher rates of interracial partnership within them. Panel C shows that the median racial wealth gap is smaller for kin groups than for households whether a Black kin group is defined as having any, half or more, more than half (main specification), or all Black-headed households.</w:t>
      </w:r>
    </w:p>
    <w:p>
      <w:r>
        <w:br w:type="page"/>
      </w:r>
    </w:p>
    <w:bookmarkEnd w:id="87"/>
    <w:bookmarkEnd w:id="88"/>
    <w:bookmarkStart w:id="113" w:name="X85945ad519476855d1ce2d58754ea3382099884"/>
    <w:p>
      <w:pPr>
        <w:pStyle w:val="Heading1"/>
      </w:pPr>
      <w:r>
        <w:t xml:space="preserve">Appendix F: Household and Kin Group Size and Age</w:t>
      </w:r>
    </w:p>
    <w:bookmarkStart w:id="89" w:name="X7c777177b739af50dde4acb792a7dbbff3da9fe"/>
    <w:p>
      <w:pPr>
        <w:pStyle w:val="Heading2"/>
      </w:pPr>
      <w:r>
        <w:t xml:space="preserve">Appendix F1: Characteristics of Households and Kin Group Sample Members, 1984 and 2023</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F1. Characteristics of Households and Kin Groups, 1984 and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05"/>
        <w:gridCol w:w="1355"/>
        <w:gridCol w:w="1350"/>
        <w:gridCol w:w="1355"/>
        <w:gridCol w:w="1350"/>
      </w:tblGrid>
      <w:tr>
        <w:trPr>
          <w:trHeight w:val="54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1984</w:t>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2023</w:t>
            </w:r>
          </w:p>
        </w:tc>
      </w:tr>
      <w:tr>
        <w:trPr>
          <w:trHeight w:val="592"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Households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Kin Groups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Households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Kin Groups</w:t>
            </w:r>
          </w:p>
        </w:tc>
      </w:tr>
      <w:tr>
        <w:trPr>
          <w:trHeight w:val="59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37.3</w:t>
            </w:r>
          </w:p>
        </w:tc>
      </w:tr>
      <w:tr>
        <w:trPr>
          <w:trHeight w:val="59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 of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11.28</w:t>
            </w:r>
          </w:p>
        </w:tc>
      </w:tr>
      <w:tr>
        <w:trPr>
          <w:trHeight w:val="59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 of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4.54</w:t>
            </w:r>
          </w:p>
        </w:tc>
      </w:tr>
      <w:tr>
        <w:trPr>
          <w:trHeight w:val="58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$67,610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$215,901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$68,280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$366,368</w:t>
            </w:r>
          </w:p>
        </w:tc>
      </w:tr>
      <w:tr>
        <w:trPr>
          <w:trHeight w:val="588"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 wealth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$67,451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$337,166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$131,000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$976,000</w:t>
            </w:r>
          </w:p>
        </w:tc>
      </w:tr>
      <w:tr>
        <w:trPr>
          <w:trHeight w:val="593" w:hRule="auto"/>
        </w:trPr>
        body6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 (unit-years)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5,496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8,490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1,610</w:t>
            </w:r>
          </w:p>
        </w:tc>
      </w:tr>
      <w:tr>
        <w:trPr>
          <w:trHeight w:val="593"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 Black (unit-years)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3,550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513</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Note: Average age, number of people, and number of households are based on the income sample (1969-2023), which contains 2,906 unique kin groups. Median wealth is based on the wealth sample (1984-2023) and includes home equity. Size and median values are weighted using PSID family and constructed kin group weights (see Methods). Pooled across all years, the wealth sample contains 122,069 household-years and 26,655 kin group-years (46,287 and 8,470 Black, respectively) from 2,636 unique kin groups, with an average size of 2.27 individuals per household and 10.56 individuals (4.18 households) per kin group, and an average age of 36.3 for households and 34.1 for kin groups. Median income and wealth include households and kin groups with negative income or wealth. Estimates are weighted, adjusted for inflation, and expressed in 2023 dollars.</w:t>
            </w:r>
          </w:p>
        </w:tc>
      </w:tr>
    </w:tbl>
    <w:p>
      <w:r>
        <w:br w:type="page"/>
      </w:r>
    </w:p>
    <w:bookmarkEnd w:id="89"/>
    <w:bookmarkStart w:id="93" w:name="X2687ce8e479bb4535fda47053de558a18942c71"/>
    <w:p>
      <w:pPr>
        <w:pStyle w:val="Heading2"/>
      </w:pPr>
      <w:r>
        <w:t xml:space="preserve">Appendix F2: Household and Kin Group Size Over Time</w:t>
      </w:r>
    </w:p>
    <w:p>
      <w:pPr>
        <w:pStyle w:val="FirstParagraph"/>
      </w:pPr>
      <w:r>
        <w:drawing>
          <wp:inline>
            <wp:extent cx="5334000" cy="3429000"/>
            <wp:effectExtent b="0" l="0" r="0" t="0"/>
            <wp:docPr descr="" title="" id="91" name="Picture"/>
            <a:graphic>
              <a:graphicData uri="http://schemas.openxmlformats.org/drawingml/2006/picture">
                <pic:pic>
                  <pic:nvPicPr>
                    <pic:cNvPr descr="/Users/amanda/Desktop/clan_project/10_draft/output/supplemental_files/figure-docx/fig-f2-1.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t xml:space="preserve">Appendix F2 plots the weighted average number of people per household and per kin group (blue), and the weighted average number of households per kin group (orange), in each year of the income sample.</w:t>
      </w:r>
    </w:p>
    <w:p>
      <w:r>
        <w:br w:type="page"/>
      </w:r>
    </w:p>
    <w:bookmarkEnd w:id="93"/>
    <w:bookmarkStart w:id="97" w:name="Xc882d3be0ade6f996f63d3c421e8e5d7c403477"/>
    <w:p>
      <w:pPr>
        <w:pStyle w:val="Heading2"/>
      </w:pPr>
      <w:r>
        <w:t xml:space="preserve">Appendix F3: Average Age of Households and Kin Groups Over Time</w:t>
      </w:r>
    </w:p>
    <w:p>
      <w:pPr>
        <w:pStyle w:val="FirstParagraph"/>
      </w:pPr>
      <w:r>
        <w:drawing>
          <wp:inline>
            <wp:extent cx="5334000" cy="3429000"/>
            <wp:effectExtent b="0" l="0" r="0" t="0"/>
            <wp:docPr descr="" title="" id="95" name="Picture"/>
            <a:graphic>
              <a:graphicData uri="http://schemas.openxmlformats.org/drawingml/2006/picture">
                <pic:pic>
                  <pic:nvPicPr>
                    <pic:cNvPr descr="/Users/amanda/Desktop/clan_project/10_draft/output/supplemental_files/figure-docx/fig-f3-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t xml:space="preserve">Appendix F3 plots the average age of households and kin groups in each year of the income sample.</w:t>
      </w:r>
    </w:p>
    <w:p>
      <w:r>
        <w:br w:type="page"/>
      </w:r>
    </w:p>
    <w:bookmarkEnd w:id="97"/>
    <w:bookmarkStart w:id="112" w:name="X0fbc865d58f1338ef2ed9df10ba1180f2287001"/>
    <w:p>
      <w:pPr>
        <w:pStyle w:val="Heading2"/>
      </w:pPr>
      <w:r>
        <w:t xml:space="preserve">Appendix F4: Sample Size With and Without Single-Household Kin Groups</w:t>
      </w:r>
    </w:p>
    <w:p>
      <w:pPr>
        <w:pStyle w:val="FirstParagraph"/>
      </w:pPr>
      <w:r>
        <w:drawing>
          <wp:inline>
            <wp:extent cx="5334000" cy="3048000"/>
            <wp:effectExtent b="0" l="0" r="0" t="0"/>
            <wp:docPr descr="" title="" id="99" name="Picture"/>
            <a:graphic>
              <a:graphicData uri="http://schemas.openxmlformats.org/drawingml/2006/picture">
                <pic:pic>
                  <pic:nvPicPr>
                    <pic:cNvPr descr="/Users/amanda/Desktop/clan_project/10_draft/output/supplemental_files/figure-docx/fig-f4-1.png" id="100" name="Picture"/>
                    <pic:cNvPicPr>
                      <a:picLocks noChangeArrowheads="1" noChangeAspect="1"/>
                    </pic:cNvPicPr>
                  </pic:nvPicPr>
                  <pic:blipFill>
                    <a:blip r:embed="rId98"/>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Appendix F4 plots the number of households and kin groups in each year when single-household kin groups are excluded (main specification, left panel) versus included (right panel).</w:t>
      </w:r>
    </w:p>
    <w:bookmarkStart w:id="111" w:name="refs"/>
    <w:bookmarkStart w:id="102"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101">
        <w:r>
          <w:rPr>
            <w:rStyle w:val="Hyperlink"/>
          </w:rPr>
          <w:t xml:space="preserve">https://fred.stlouisfed.org/series/SIPOVGINIUSA</w:t>
        </w:r>
      </w:hyperlink>
    </w:p>
    <w:bookmarkEnd w:id="102"/>
    <w:bookmarkStart w:id="104" w:name="ref-census_table_2025"/>
    <w:p>
      <w:pPr>
        <w:pStyle w:val="Bibliography"/>
      </w:pPr>
      <w:r>
        <w:t xml:space="preserve">[2]</w:t>
      </w:r>
      <w:r>
        <w:t xml:space="preserve"> </w:t>
      </w:r>
      <w:r>
        <w:t xml:space="preserve">	</w:t>
      </w:r>
      <w:r>
        <w:t xml:space="preserve">Census. 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 2025.</w:t>
      </w:r>
      <w:r>
        <w:t xml:space="preserve"> </w:t>
      </w:r>
      <w:hyperlink r:id="rId103">
        <w:r>
          <w:rPr>
            <w:rStyle w:val="Hyperlink"/>
          </w:rPr>
          <w:t xml:space="preserve">https://www.census.gov/data/tables/time-series/demo/income-poverty/historical-income-inequality.html</w:t>
        </w:r>
      </w:hyperlink>
    </w:p>
    <w:bookmarkEnd w:id="104"/>
    <w:bookmarkStart w:id="105" w:name="ref-wolff_size_209"/>
    <w:p>
      <w:pPr>
        <w:pStyle w:val="Bibliography"/>
      </w:pPr>
      <w:r>
        <w:t xml:space="preserve">[3]</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05"/>
    <w:bookmarkStart w:id="107" w:name="ref-pfeffer_wealth_2013"/>
    <w:p>
      <w:pPr>
        <w:pStyle w:val="Bibliography"/>
      </w:pPr>
      <w:r>
        <w:t xml:space="preserve">[4]</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06">
        <w:r>
          <w:rPr>
            <w:rStyle w:val="Hyperlink"/>
          </w:rPr>
          <w:t xml:space="preserve">10.1177/0002716213497452</w:t>
        </w:r>
      </w:hyperlink>
    </w:p>
    <w:bookmarkEnd w:id="107"/>
    <w:bookmarkStart w:id="110" w:name="ref-aaberge_ginis_2007"/>
    <w:p>
      <w:pPr>
        <w:pStyle w:val="Bibliography"/>
      </w:pPr>
      <w:r>
        <w:t xml:space="preserve">[5]</w:t>
      </w:r>
      <w:r>
        <w:t xml:space="preserve"> </w:t>
      </w:r>
      <w:r>
        <w:t xml:space="preserve">	</w:t>
      </w:r>
      <w:r>
        <w:t xml:space="preserve">Aaberge R. Gini’s nuclear family. Journal of Economic Inequality. 2007 [accessed 2025 Dec 16];5(3):305–322.</w:t>
      </w:r>
      <w:r>
        <w:t xml:space="preserve"> </w:t>
      </w:r>
      <w:hyperlink r:id="rId108">
        <w:r>
          <w:rPr>
            <w:rStyle w:val="Hyperlink"/>
          </w:rPr>
          <w:t xml:space="preserve">https://research.ebsco.com/linkprocessor/plink?id=183a0f60-6b65-3238-9faf-59d099fff528</w:t>
        </w:r>
      </w:hyperlink>
      <w:r>
        <w:t xml:space="preserve">. doi:</w:t>
      </w:r>
      <w:hyperlink r:id="rId109">
        <w:r>
          <w:rPr>
            <w:rStyle w:val="Hyperlink"/>
          </w:rPr>
          <w:t xml:space="preserve">10.1007/s10888-006-9050-8</w:t>
        </w:r>
      </w:hyperlink>
    </w:p>
    <w:bookmarkEnd w:id="110"/>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109" Target="https://doi.org/10.1007/s10888-006-9050-8" TargetMode="External" /><Relationship Type="http://schemas.openxmlformats.org/officeDocument/2006/relationships/hyperlink" Id="rId106" Target="https://doi.org/10.1177/0002716213497452" TargetMode="External" /><Relationship Type="http://schemas.openxmlformats.org/officeDocument/2006/relationships/hyperlink" Id="rId101" Target="https://fred.stlouisfed.org/series/SIPOVGINIUSA" TargetMode="External" /><Relationship Type="http://schemas.openxmlformats.org/officeDocument/2006/relationships/hyperlink" Id="rId108" Target="https://research.ebsco.com/linkprocessor/plink?id=183a0f60-6b65-3238-9faf-59d099fff528" TargetMode="External" /><Relationship Type="http://schemas.openxmlformats.org/officeDocument/2006/relationships/hyperlink" Id="rId103" Target="https://www.census.gov/data/tables/time-series/demo/income-poverty/historical-income-inequality.html"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007/s10888-006-9050-8" TargetMode="External" /><Relationship Type="http://schemas.openxmlformats.org/officeDocument/2006/relationships/hyperlink" Id="rId106" Target="https://doi.org/10.1177/0002716213497452" TargetMode="External" /><Relationship Type="http://schemas.openxmlformats.org/officeDocument/2006/relationships/hyperlink" Id="rId101" Target="https://fred.stlouisfed.org/series/SIPOVGINIUSA" TargetMode="External" /><Relationship Type="http://schemas.openxmlformats.org/officeDocument/2006/relationships/hyperlink" Id="rId108" Target="https://research.ebsco.com/linkprocessor/plink?id=183a0f60-6b65-3238-9faf-59d099fff528" TargetMode="External" /><Relationship Type="http://schemas.openxmlformats.org/officeDocument/2006/relationships/hyperlink" Id="rId103" Target="https://www.census.gov/data/tables/time-series/demo/income-poverty/historical-income-inequalit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2026-10-29T16:59:59Z</dcterms:created>
  <dcterms:modified xsi:type="dcterms:W3CDTF">2026-10-29T16:59:59Z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header-includes">
    <vt:lpwstr/>
  </property>
  <property fmtid="{D5CDD505-2E9C-101B-9397-08002B2CF9AE}" pid="6" name="knit">
    <vt:lpwstr>(function(input, …) { rmarkdown::render(input, …, output_format = “pdf_document”, output_file = here::here(“10_draft”, “output”, “supplemental.pdf”)); rmarkdown::render(input, …, output_format = “word_document”, output_file = here::here(“10_draft”, “output”, “supplemental.docx”)) })</vt:lpwstr>
  </property>
  <property fmtid="{D5CDD505-2E9C-101B-9397-08002B2CF9AE}" pid="7" name="output">
    <vt:lpwstr/>
  </property>
</Properties>
</file>