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October 29,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acknowledgment of the importance of extended family ties, far less is known about inequality between extended families. We examine income and wealth inequality in the United States using both households and intergenerational extended families—hereafter referred to as</w:t>
      </w:r>
      <w:r>
        <w:t xml:space="preserve"> </w:t>
      </w:r>
      <w:r>
        <w:t xml:space="preserve">“kin groups.”</w:t>
      </w:r>
      <w:r>
        <w:t xml:space="preserve"> </w:t>
      </w:r>
      <w:r>
        <w:t xml:space="preserve">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 </w:t>
      </w:r>
      <w:r>
        <w:t xml:space="preserve">[4, 5]</w:t>
      </w:r>
      <w:r>
        <w:t xml:space="preserve">. As a result, research on inequality tends to focus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the extended family in studies of inequality</w:t>
      </w:r>
      <w:r>
        <w:t xml:space="preserve"> </w:t>
      </w:r>
      <w:r>
        <w:t xml:space="preserve">[5, 10–12]</w:t>
      </w:r>
      <w:r>
        <w:t xml:space="preserve">. Research on elites similarly highlights the importance of extended family networks in maintaining wealth across generations</w:t>
      </w:r>
      <w:r>
        <w:t xml:space="preserve"> </w:t>
      </w:r>
      <w:r>
        <w:t xml:space="preserve">[11]</w:t>
      </w:r>
      <w:r>
        <w:t xml:space="preserve">.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impacting individuals’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w:t>
      </w:r>
      <w:r>
        <w:t xml:space="preserve"> </w:t>
      </w:r>
      <w:r>
        <w:t xml:space="preserve">“kin groups.”</w:t>
      </w:r>
      <w:r>
        <w:t xml:space="preserve"> </w:t>
      </w:r>
      <w:r>
        <w:t xml:space="preserve">To ease interpretation, we compare kin group estimates to the dominant unit of analysis, households. In our empirical analyses, we use data from the Panel Study of Income Dynamics (PSID), a longitudinal survey that has followed a nationally representative sample of American households and their descendants since 1968.</w:t>
      </w:r>
    </w:p>
    <w:p>
      <w:pPr>
        <w:pStyle w:val="BodyText"/>
      </w:pPr>
      <w:r>
        <w:t xml:space="preserve">We calculate household and kin-group Gini coefficients for both income and wealth, as well as the racial wealth gap, using all available PSID years up to 2023. The relationship between households and kin groups can be understood as an extension of the relationship between individuals and households. Individuals tend to form households with others who have similar socioeconomic characteristics through marital homogamy</w:t>
      </w:r>
      <w:r>
        <w:t xml:space="preserve"> </w:t>
      </w:r>
      <w:r>
        <w:t xml:space="preserve">[17]</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2"/>
    <w:bookmarkStart w:id="22" w:name="results"/>
    <w:p>
      <w:pPr>
        <w:pStyle w:val="Heading1"/>
      </w:pPr>
      <w:r>
        <w:t xml:space="preserve">Results</w:t>
      </w:r>
    </w:p>
    <w:p>
      <w:pPr>
        <w:pStyle w:val="FirstParagraph"/>
      </w:pPr>
      <w:r>
        <w:rPr>
          <w:b/>
          <w:bCs/>
        </w:rPr>
        <w:t xml:space="preserve">Sample characteristics.</w:t>
      </w:r>
      <w:r>
        <w:t xml:space="preserve"> </w:t>
      </w:r>
      <w:r>
        <w:t xml:space="preserve">Table 1 reports descriptive characteristics of households and kin groups across the study period, providing context on relative unit size and composition before we turn to inequality estimates.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Households and Kin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4"/>
        <w:gridCol w:w="2808"/>
        <w:gridCol w:w="2808"/>
      </w:tblGrid>
      <w:tr>
        <w:trPr>
          <w:trHeight w:val="593"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All years (1969–2023)</w:t>
            </w:r>
          </w:p>
        </w:tc>
      </w:tr>
      <w:tr>
        <w:trPr>
          <w:trHeight w:val="592"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Kin Groups</w:t>
            </w:r>
          </w:p>
        </w:tc>
      </w:tr>
      <w:tr>
        <w:trPr>
          <w:trHeight w:val="59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31.4</w:t>
            </w:r>
          </w:p>
        </w:tc>
      </w:tr>
      <w:tr>
        <w:trPr>
          <w:trHeight w:val="59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 of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9.31</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Average # of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3.61</w:t>
            </w:r>
          </w:p>
        </w:tc>
      </w:tr>
      <w:tr>
        <w:trPr>
          <w:trHeight w:val="58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$71,434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$266,143</w:t>
            </w:r>
          </w:p>
        </w:tc>
      </w:tr>
      <w:tr>
        <w:trPr>
          <w:trHeight w:val="588"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 wealth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$93,100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$697,312</w:t>
            </w:r>
          </w:p>
        </w:tc>
      </w:tr>
      <w:tr>
        <w:trPr>
          <w:trHeight w:val="593" w:hRule="auto"/>
        </w:trPr>
        body6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 (unit-years)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242,200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64,292</w:t>
            </w:r>
          </w:p>
        </w:tc>
      </w:tr>
      <w:tr>
        <w:trPr>
          <w:trHeight w:val="593"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 Black (unit-years)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92,286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22,028</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Note: Average age, number of people, and number of households are based on the income sample (1969-2023), which contains 2,906 unique kin groups. Median wealth is based on the wealth sample (1984-2023) and includes home equity. Size and median values are weighted using PSID family and constructed kin group weights (see Methods). Pooled across all years, the wealth sample contains 122,069 household-years and 26,655 kin group-years (46,287 and 8,470 Black, respectively) from 2,636 unique kin groups, with an average size of 2.27 individuals per household and 10.56 individuals (4.18 households) per kin group, and an average age of 36.3 for households and 34.1 for kin groups. Median income and wealth include households and kin groups with negative income or wealth. Estimates are weighted, adjusted for inflation, and expressed in 2023 dollars.</w:t>
            </w:r>
          </w:p>
        </w:tc>
      </w:tr>
    </w:tbl>
    <w:p>
      <w:pPr>
        <w:pStyle w:val="BodyText"/>
      </w:pPr>
      <w:r>
        <w:rPr>
          <w:b/>
          <w:bCs/>
        </w:rPr>
        <w:t xml:space="preserve">Gini coefficients at the household and kin group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inequality levels depend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0.79 at the household level versus 0.65 at the kin group level.</w:t>
      </w:r>
    </w:p>
    <w:p>
      <w:pPr>
        <w:pStyle w:val="BodyText"/>
      </w:pPr>
      <w:r>
        <w:t xml:space="preserve">Placing kin group estimates alongside historical household benchmarks helps contextualize contemporary inequality. The most recent kin group income Gini (0.36 in 2023) is only slightly lower than the household income Gini of the early 1970s (0.39 on avg. from 1971-1973)—a level long considered a local minimum. Relatively high kin group inequality has similar Gini values to relatively low household inequality. Kin group</w:t>
      </w:r>
      <w:r>
        <w:t xml:space="preserve"> </w:t>
      </w:r>
      <w:r>
        <w:rPr>
          <w:i/>
          <w:iCs/>
        </w:rPr>
        <w:t xml:space="preserve">wealth</w:t>
      </w:r>
      <w:r>
        <w:t xml:space="preserve"> </w:t>
      </w:r>
      <w:r>
        <w:t xml:space="preserve">inequality, by contrast, has not approached historically observed household-level wealth inequality over the period we examine.</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Across all years, median (mean) income is $71,434 ($96,668) for households and $266,143 ($367,492) for kin groups. Median (mean) wealth is $93,100 ($449,298) for households and $697,312 ($1,750,406) for kin groups, including home equity. Negative income and wealth values are set to zero for calculating Gini coefficients, but are retained in the median and mean estimates reported here. Estimates are weighted, adjusted for inflation, and expressed in 2023 dollars. Income Ginis changed by 16.0% for households (0.41 in 1969 to 0.48 in 2023) and by 20.6% for kin groups (0.30 to 0.36). Wealth Ginis changed by 4.3% for households (0.76 in 1984 to 0.79 in 2023) and by 4.8% for kin groups (0.60 to 0.63). On average across all years, the income Gini is 0.123 higher for households than kin groups; the wealth Gini is 0.147 higher.</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18]</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 Unlike income inequality, household and kin group wealth inequality increased at similarly modest rates over the study period.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[19, 20]</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Appendix F reports household and kin group characteristics for both years.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differences between inequality measured across the two units are driven by different parts of the income and wealth distributions.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using PSID family and kin group weights. In 1984, median (mean) income was $67,610 ($83,003) for households and $215,901 ($256,202) for kin groups; in 2023, it was $68,280 ($103,519) for households and $366,368 ($517,649) for kin groups. Median (mean) wealth was $67,451 ($234,246) for households and $337,166 ($669,994) for kin groups in 1984, compared with $131,000 ($570,104) and $976,000 ($2,450,278), respectively, in 2023. Wealth measures include home equity. Negative income and wealth values are set to zero when constructing Lorenz curves but retained when calculating the reported medians and means. All estimates are weighted, adjusted for inflation, and expressed in 2023 dollars.</w:t>
      </w:r>
    </w:p>
    <w:p>
      <w:pPr>
        <w:pStyle w:val="BodyText"/>
      </w:pPr>
      <w:r>
        <w:rPr>
          <w:b/>
          <w:bCs/>
        </w:rPr>
        <w:t xml:space="preserve">The racial wealth gap at the household and kin group levels.</w:t>
      </w:r>
      <w:r>
        <w:t xml:space="preserve"> </w:t>
      </w:r>
      <w:r>
        <w:t xml:space="preserve">Figure 3 depicts the racial wealth gap using both households and kin groups. 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22 cents for every dollar held by the typical non-Black kin group (ranging from 26 cents in 2023 to 17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1984-2023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0" name="Picture"/>
            <a:graphic>
              <a:graphicData uri="http://schemas.openxmlformats.org/drawingml/2006/picture">
                <pic:pic>
                  <pic:nvPicPr>
                    <pic:cNvPr descr="/Users/amanda/Desktop/clan_project/10_draft/output/write_files/figure-docx/figure3-1.png"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Wealth measures include home equity and use weighted medians. Across all years, weighted median (mean) wealth is $4,968 ($53,696) for Black households and $59,056 ($278,217) for Non-Black households. For kin groups, the weighted median (mean) wealth is $45,578 ($93,124) for Black kin groups and $228,740 ($501,352) for Non-Black kin groups. Negative wealth values are set to zero for calculating race ratios, but are retained in the mean and median estimates reported here. Estimates are weighted, adjusted for inflation, and expressed in 2023 dollars. The median ratio changed by -4.6% for households (0.074 in 1984 to 0.071 in 2023) and 20.3% for kin groups (0.215 to 0.258). On average across all years, the median wealth ratio for kin groups is 0.128 higher than for households. See Appendix E1 for mean wealth ratios.</w:t>
      </w:r>
    </w:p>
    <w:bookmarkEnd w:id="22"/>
    <w:bookmarkStart w:id="23"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21]</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[22]</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important for upward mobility, high inequality across kin groups means that lower-resourced households have less access to higher-resourced households within their kin group. In other words, the prevalent concern that high inequality undermines intergenerational mobility</w:t>
      </w:r>
      <w:r>
        <w:t xml:space="preserve"> </w:t>
      </w:r>
      <w:r>
        <w:t xml:space="preserve">[23–25]</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Our findings demonstrate that understanding economic inequality requires moving beyond a sole focus on households to also account for the extended family structures through which resources, advantage, and disadvantage are transmitted across generations.</w:t>
      </w:r>
    </w:p>
    <w:bookmarkEnd w:id="23"/>
    <w:bookmarkStart w:id="26" w:name="methods"/>
    <w:p>
      <w:pPr>
        <w:pStyle w:val="Heading1"/>
      </w:pPr>
      <w:r>
        <w:t xml:space="preserve">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a nationally representative sample of individuals and households. PSID data produce estimates that mostly align with other national surveys</w:t>
      </w:r>
      <w:r>
        <w:t xml:space="preserve"> </w:t>
      </w:r>
      <w:r>
        <w:t xml:space="preserve">[19]</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income and wealth data for all members. Household membership changes over time with transitions such as divorce or childbirth. The PSID does not uniquely identify households across years. Households can only be linked over time using the individuals within them. We refer to household observations as household-years.</w:t>
      </w:r>
    </w:p>
    <w:p>
      <w:pPr>
        <w:pStyle w:val="BodyText"/>
      </w:pPr>
      <w:r>
        <w:t xml:space="preserve">In contrast, PSID kin groups can be identified over time. Kin groups include all descendants of households sampled in 1968, linked through a PSID-generated identifier, which we call a kin group identifier. Households added after 1968 receive their own kin group identifier upon entry, which uniquely identifies them and their future descendants. Once an individual in the PSID is assigned a kin group identifier through birth, marriage, or adoption, the individual belongs to the same kin group for all years they remain in the PSID sample. In practice, this means that kin groups are comprised of households linked by birth, marriage, and adoption spanning multiple generations and extended kin ties (grandparents, aunts, uncles, and cousins, and in some cases great-grandparents, great-uncles, second cousins, and so on). A small number of households (134 household-years) contain couples from different kin groups, meaning two descendants of the original PSID sample married each other. These household-years were assigned to both kin groups.</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w:t>
      </w:r>
    </w:p>
    <w:p>
      <w:pPr>
        <w:pStyle w:val="BodyText"/>
      </w:pPr>
      <w:r>
        <w:rPr>
          <w:b/>
          <w:bCs/>
        </w:rPr>
        <w:t xml:space="preserve">Measures of income and wealth.</w:t>
      </w:r>
      <w:r>
        <w:t xml:space="preserve"> </w:t>
      </w:r>
      <w:r>
        <w:t xml:space="preserve">We measure both income and wealth to capture distinct dimensions of economic inequality. This choice follows research identifying divergent patterns depending on the economic indicator used because the mechanisms driving wealth inequality are distinct from those driving income inequality</w:t>
      </w:r>
      <w:r>
        <w:t xml:space="preserve"> </w:t>
      </w:r>
      <w:r>
        <w:t xml:space="preserve">[5, 18, 21]</w:t>
      </w:r>
      <w:r>
        <w:t xml:space="preserve">. Aggregate measures for income and wealth are provided by the PSID. Income includes earnings, asset income, transfers, and income from farming. Wealth includes non-primary real estate, business equity, stocks, bonds, vehicles, retirement accounts, and bank accounts, and includes home equity.</w:t>
      </w:r>
    </w:p>
    <w:p>
      <w:pPr>
        <w:pStyle w:val="BodyText"/>
      </w:pPr>
      <w:r>
        <w:t xml:space="preserve">The PSID imputes missing income and wealth components. Concerns about measurement error, especially for wealth, are minimal, as the PSID imputation methods explain little variation in wealth over time</w:t>
      </w:r>
      <w:r>
        <w:t xml:space="preserve"> </w:t>
      </w:r>
      <w:r>
        <w:t xml:space="preserve">[21, 26]</w:t>
      </w:r>
      <w:r>
        <w:t xml:space="preserve">. All income and wealth values are adjusted for inflation.</w:t>
      </w:r>
    </w:p>
    <w:p>
      <w:pPr>
        <w:pStyle w:val="BodyText"/>
      </w:pPr>
      <w:r>
        <w:t xml:space="preserve">To construct kin group-level measures, we aggregate household income and wealth for all households in a kin group within each kin group-year. We divide measures by the number of people in a household or the number of households within a kin group to standardize by household and kin group size, respectively.</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[27]</w:t>
      </w:r>
      <w:r>
        <w:t xml:space="preserve">. Black households are all households with a Black head of household. Black kin groups are kin groups in which more than half of the households within it identify as Black.</w:t>
      </w:r>
    </w:p>
    <w:p>
      <w:pPr>
        <w:pStyle w:val="BodyText"/>
      </w:pPr>
      <w:r>
        <w:t xml:space="preserve">Analyses by race and ethnicity are limited to Black and non-Black categories because the PSID has relatively few kin groups (2,906 for income and 2,636 for wealth). The PSID’s genealogical design means survey respondents reflect the demographics of the United States at the time the survey began in 1968, which constrains analyses of kin groups for demographic groups that were not prominent then, namely Asians and Latinos. Although the PSID incorporated additional samples over time to reflect changing U.S. demographics, ethnicity analyses remain limited because Hispanic/Latino households do not form consistent multigenerational lineages across the full panel and therefore have fewer kin groups. Thus, our findings are generalizable to descendants of Black and White Americans in 1968.</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Conceptually, the Gini can be understood as the average difference between any two units in a population. Arithmetically, it is the average absolute difference between all pairs of observations, normalized by the mean.</w:t>
      </w:r>
    </w:p>
    <w:p>
      <w:pPr>
        <w:pStyle w:val="BodyText"/>
      </w:pPr>
      <w:r>
        <w:t xml:space="preserve">Gini coefficients are calculated separately for income and wealth to reflect their distinct dimensions of inequality. Gini estimates in our data are comparable to estimates from other studies, though wealth coefficients vary more, likely because the PSID excludes the wealthiest households (see Appendix A).</w:t>
      </w:r>
    </w:p>
    <w:p>
      <w:pPr>
        <w:pStyle w:val="BodyText"/>
      </w:pPr>
      <w:r>
        <w:rPr>
          <w:b/>
          <w:bCs/>
        </w:rPr>
        <w:t xml:space="preserve">The racial wealth gap.</w:t>
      </w:r>
      <w:r>
        <w:t xml:space="preserve"> </w:t>
      </w:r>
      <w:r>
        <w:t xml:space="preserve">Scholars have also documented a persistent racial wealth gap between Black and non-Black households</w:t>
      </w:r>
      <w:r>
        <w:t xml:space="preserve"> </w:t>
      </w:r>
      <w:r>
        <w:t xml:space="preserve">[5, 28]</w:t>
      </w:r>
      <w:r>
        <w:t xml:space="preserve"> </w:t>
      </w:r>
      <w:r>
        <w:t xml:space="preserve">that is not captured by the Gini coefficient, as well as the unique role of kinship networks in shaping economic outcomes by race</w:t>
      </w:r>
      <w:r>
        <w:t xml:space="preserve"> </w:t>
      </w:r>
      <w:r>
        <w:t xml:space="preserve">[29, 30]</w:t>
      </w:r>
      <w:r>
        <w:t xml:space="preserve">. Because aggregate inequality measures can obscure these group-based differences, we supplement household and kin group Gini coefficients with ratios of median wealth by race</w:t>
      </w:r>
      <w:r>
        <w:t xml:space="preserve"> </w:t>
      </w:r>
      <w:r>
        <w:t xml:space="preserve">[28, 31, 32]</w:t>
      </w:r>
      <w:r>
        <w:t xml:space="preserve">, the most common measurement for the racial wealth gap in the United States. Similar to the Gini, we juxtapose median wealth ratios based on kin group-level values with those based on household-level values.</w:t>
      </w:r>
    </w:p>
    <w:p>
      <w:pPr>
        <w:pStyle w:val="BodyText"/>
      </w:pPr>
      <w:r>
        <w:t xml:space="preserve">We report racial wealth gaps using medians to account for wealth’s right-skew</w:t>
      </w:r>
      <w:r>
        <w:t xml:space="preserve"> </w:t>
      </w:r>
      <w:r>
        <w:t xml:space="preserve">[5, 33, 34]</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rPr>
          <w:b/>
          <w:bCs/>
        </w:rPr>
        <w:t xml:space="preserve">Weighting strategy.</w:t>
      </w:r>
      <w:r>
        <w:t xml:space="preserve"> </w:t>
      </w:r>
      <w:r>
        <w:t xml:space="preserve">All results are weighted using household-level weights provided by the PSID, and kin group weights that we construct. Unweighted measures produce substantively similar results to those presented in the main findings (see Appendix D3 and E3).</w:t>
      </w:r>
    </w:p>
    <w:p>
      <w:pPr>
        <w:pStyle w:val="BodyText"/>
      </w:pPr>
      <w:r>
        <w:t xml:space="preserve">PSID-provided household weights are constructed from individual weights using the fair shares method, which assumes the probability of observing any individual within a family equals the probability of observing the family itself.</w:t>
      </w:r>
      <w:r>
        <w:rPr>
          <w:rStyle w:val="FootnoteReference"/>
        </w:rPr>
        <w:footnoteReference w:id="24"/>
      </w:r>
      <w:r>
        <w:t xml:space="preserve"> </w:t>
      </w:r>
      <w:r>
        <w:t xml:space="preserve">We apply the same logic to create kin group weights. Using a fair shares method, we use household weights to create kin group weights in which the probability of observing a household within a kin group equals the probability of observing the kin group itself. As a result, each kin group’s influence reflects the average household within that kin group, rather than scaling mechanically with the kin group’s total number of households. Because household weights are constructed first from individual weights, they carry forward PSID adjustments for attrition and nonresponse into kin group measures.</w:t>
      </w:r>
    </w:p>
    <w:p>
      <w:pPr>
        <w:pStyle w:val="BodyText"/>
      </w:pPr>
      <w:r>
        <w:t xml:space="preserve">Kin group weights address challenges with comparing measures of inequality at the kin group level. The PSID began with a nationally representative sample of households and measured kin groups by following their descendants as they formed new households. Kin groups in the PSID are not necessarily nationally representative of kin groups in the United States. Instead, they are the extended families of a nationally representative sample of households in 1968.</w:t>
      </w:r>
    </w:p>
    <w:p>
      <w:pPr>
        <w:pStyle w:val="BodyText"/>
      </w:pPr>
      <w:r>
        <w:t xml:space="preserve">Formally, let person</w:t>
      </w:r>
      <w:r>
        <w:t xml:space="preserve"> </w:t>
      </w:r>
      <m:oMath>
        <m:r>
          <m:t>i</m:t>
        </m:r>
      </m:oMath>
      <w:r>
        <w:t xml:space="preserve"> </w:t>
      </w:r>
      <w:r>
        <w:t xml:space="preserve">live in household</w:t>
      </w:r>
      <w:r>
        <w:t xml:space="preserve"> </w:t>
      </w:r>
      <m:oMath>
        <m:r>
          <m:t>h</m:t>
        </m:r>
      </m:oMath>
      <w:r>
        <w:t xml:space="preserve">, which belongs to kin group</w:t>
      </w:r>
      <w:r>
        <w:t xml:space="preserve"> </w:t>
      </w:r>
      <m:oMath>
        <m:r>
          <m:t>c</m:t>
        </m:r>
      </m:oMath>
      <w:r>
        <w:t xml:space="preserve">. With</w:t>
      </w:r>
      <w:r>
        <w:t xml:space="preserve"> </w:t>
      </w:r>
      <m:oMath>
        <m:sSub>
          <m:e>
            <m:r>
              <m:t>w</m:t>
            </m:r>
          </m:e>
          <m:sub>
            <m:r>
              <m:t>i</m:t>
            </m:r>
          </m:sub>
        </m:sSub>
      </m:oMath>
      <w:r>
        <w:t xml:space="preserve"> </w:t>
      </w:r>
      <w:r>
        <w:t xml:space="preserve">the PSID individual weight,</w:t>
      </w:r>
      <w:r>
        <w:t xml:space="preserve"> </w:t>
      </w:r>
      <m:oMath>
        <m:sSub>
          <m:e>
            <m:r>
              <m:t>n</m:t>
            </m:r>
          </m:e>
          <m:sub>
            <m:r>
              <m:t>h</m:t>
            </m:r>
          </m:sub>
        </m:sSub>
      </m:oMath>
      <w:r>
        <w:t xml:space="preserve"> </w:t>
      </w:r>
      <w:r>
        <w:t xml:space="preserve">the number of individuals in household</w:t>
      </w:r>
      <w:r>
        <w:t xml:space="preserve"> </w:t>
      </w:r>
      <m:oMath>
        <m:r>
          <m:t>h</m:t>
        </m:r>
      </m:oMath>
      <w:r>
        <w:t xml:space="preserve">, and</w:t>
      </w:r>
      <w:r>
        <w:t xml:space="preserve"> </w:t>
      </w:r>
      <m:oMath>
        <m:sSub>
          <m:e>
            <m:r>
              <m:t>m</m:t>
            </m:r>
          </m:e>
          <m:sub>
            <m:r>
              <m:t>c</m:t>
            </m:r>
          </m:sub>
        </m:sSub>
      </m:oMath>
      <w:r>
        <w:t xml:space="preserve"> </w:t>
      </w:r>
      <w:r>
        <w:t xml:space="preserve">the number of households in kin group</w:t>
      </w:r>
      <w:r>
        <w:t xml:space="preserve"> </w:t>
      </w:r>
      <m:oMath>
        <m:r>
          <m:t>c</m:t>
        </m:r>
      </m:oMath>
      <w:r>
        <w:t xml:space="preserve">, household and kin group weights are respectively calculated as:</w:t>
      </w:r>
    </w:p>
    <w:p>
      <w:pPr>
        <w:pStyle w:val="BodyText"/>
      </w:pPr>
      <m:oMathPara>
        <m:oMathParaPr>
          <m:jc m:val="center"/>
        </m:oMathParaPr>
        <m:oMath>
          <m:sSub>
            <m:e>
              <m:r>
                <m:t>W</m:t>
              </m:r>
            </m:e>
            <m:sub>
              <m:r>
                <m:t>h</m:t>
              </m:r>
            </m:sub>
          </m:sSub>
          <m:r>
            <m:rPr>
              <m:sty m:val="p"/>
            </m:rPr>
            <m:t>=</m:t>
          </m:r>
          <m:f>
            <m:fPr>
              <m:type m:val="bar"/>
            </m:fPr>
            <m:num>
              <m:r>
                <m:t>1</m:t>
              </m:r>
            </m:num>
            <m:den>
              <m:sSub>
                <m:e>
                  <m:r>
                    <m:t>n</m:t>
                  </m:r>
                </m:e>
                <m:sub>
                  <m:r>
                    <m:t>h</m:t>
                  </m:r>
                </m:sub>
              </m:sSub>
            </m:den>
          </m:f>
          <m:nary>
            <m:naryPr>
              <m:chr m:val="∑"/>
              <m:limLoc m:val="undOvr"/>
              <m:subHide m:val="off"/>
              <m:supHide m:val="on"/>
            </m:naryPr>
            <m:sub>
              <m:r>
                <m:t>i</m:t>
              </m:r>
              <m:r>
                <m:rPr>
                  <m:sty m:val="p"/>
                </m:rPr>
                <m:t>∈</m:t>
              </m:r>
              <m:r>
                <m:t>h</m:t>
              </m:r>
            </m:sub>
            <m:sup>
              <m:r>
                <m:t>​</m:t>
              </m:r>
            </m:sup>
            <m:e>
              <m:sSub>
                <m:e>
                  <m:r>
                    <m:t>w</m:t>
                  </m:r>
                </m:e>
                <m:sub>
                  <m:r>
                    <m:t>i</m:t>
                  </m:r>
                </m:sub>
              </m:sSub>
            </m:e>
          </m:nary>
          <m:r>
            <m:rPr>
              <m:sty m:val="p"/>
            </m:rPr>
            <m:t>,</m:t>
          </m:r>
          <m:r>
            <m:t>  </m:t>
          </m:r>
          <m:sSub>
            <m:e>
              <m:r>
                <m:t>W</m:t>
              </m:r>
            </m:e>
            <m:sub>
              <m:r>
                <m:t>c</m:t>
              </m:r>
            </m:sub>
          </m:sSub>
          <m:r>
            <m:rPr>
              <m:sty m:val="p"/>
            </m:rPr>
            <m:t>=</m:t>
          </m:r>
          <m:f>
            <m:fPr>
              <m:type m:val="bar"/>
            </m:fPr>
            <m:num>
              <m:r>
                <m:t>1</m:t>
              </m:r>
            </m:num>
            <m:den>
              <m:sSub>
                <m:e>
                  <m:r>
                    <m:t>m</m:t>
                  </m:r>
                </m:e>
                <m:sub>
                  <m:r>
                    <m:t>c</m:t>
                  </m:r>
                </m:sub>
              </m:sSub>
            </m:den>
          </m:f>
          <m:nary>
            <m:naryPr>
              <m:chr m:val="∑"/>
              <m:limLoc m:val="undOvr"/>
              <m:subHide m:val="off"/>
              <m:supHide m:val="on"/>
            </m:naryPr>
            <m:sub>
              <m:r>
                <m:t>h</m:t>
              </m:r>
              <m:r>
                <m:rPr>
                  <m:sty m:val="p"/>
                </m:rPr>
                <m:t>∈</m:t>
              </m:r>
              <m:r>
                <m:t>c</m:t>
              </m:r>
            </m:sub>
            <m:sup>
              <m:r>
                <m:t>​</m:t>
              </m:r>
            </m:sup>
            <m:e>
              <m:sSub>
                <m:e>
                  <m:r>
                    <m:t>W</m:t>
                  </m:r>
                </m:e>
                <m:sub>
                  <m:r>
                    <m:t>h</m:t>
                  </m:r>
                </m:sub>
              </m:sSub>
            </m:e>
          </m:nary>
          <m:r>
            <m:rPr>
              <m:sty m:val="p"/>
            </m:rPr>
            <m:t>.</m:t>
          </m:r>
        </m:oMath>
      </m:oMathPara>
    </w:p>
    <w:p>
      <w:pPr>
        <w:pStyle w:val="FirstParagraph"/>
      </w:pPr>
      <w:r>
        <w:rPr>
          <w:b/>
          <w:bCs/>
        </w:rPr>
        <w:t xml:space="preserve">Sensitivity analyses.</w:t>
      </w:r>
      <w:r>
        <w:t xml:space="preserve"> </w:t>
      </w:r>
      <w:r>
        <w:t xml:space="preserve">We assess the robustness of our results through a series of sensitivity analyses.</w:t>
      </w:r>
    </w:p>
    <w:p>
      <w:pPr>
        <w:pStyle w:val="BodyText"/>
      </w:pPr>
      <w:r>
        <w:rPr>
          <w:i/>
          <w:iCs/>
        </w:rPr>
        <w:t xml:space="preserve">Does Aggregation Mechanically Reduce Inequality? Evidence from Simulated Data.</w:t>
      </w:r>
      <w:r>
        <w:t xml:space="preserve"> </w:t>
      </w: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might think that aggregating households mechanically smooths variation and therefore lowers the Gini coefficient at the kin group level. However, this is not the case: using simulated data, Appendix C shows that kin-group-level Gini coefficients can equal or even exceed household-level Gini coefficients. Aggregating households into kin groups more often decreases than increases observed inequality, but the direction and magnitude of the change depends on the relationship between the distribution of resources across households, kin group size, and the selection of households into kin groups.</w:t>
      </w:r>
    </w:p>
    <w:p>
      <w:pPr>
        <w:pStyle w:val="BodyText"/>
      </w:pPr>
      <w:r>
        <w:rPr>
          <w:i/>
          <w:iCs/>
        </w:rPr>
        <w:t xml:space="preserve">Robustness to measurement choices.</w:t>
      </w:r>
      <w:r>
        <w:t xml:space="preserve"> </w:t>
      </w:r>
      <w:r>
        <w:t xml:space="preserve">The gap between household- and kin-group-level inequality is not an artifact of specific measurement decisions. Excluding home equity from wealth lowers estimated inequality at both levels but leaves the household–kin group difference largely unchanged (Appendix D1, E1). Including rather than zeroing out negative income and wealth values leaves Gini coefficients essentially unchanged (Appendix D2, E2). Applying versus omitting survey weights does not substantially change results (Appendix D3, E3). The pattern also holds under alternative inequality measures that place greater or lesser weight on the tails of the distribution rather than the middle, as the standard Gini does (Appendix B).</w:t>
      </w:r>
    </w:p>
    <w:p>
      <w:pPr>
        <w:pStyle w:val="BodyText"/>
      </w:pPr>
      <w:r>
        <w:rPr>
          <w:i/>
          <w:iCs/>
        </w:rPr>
        <w:t xml:space="preserve">Robustness of racial disparities.</w:t>
      </w:r>
      <w:r>
        <w:t xml:space="preserve"> </w:t>
      </w:r>
      <w:r>
        <w:t xml:space="preserve">The household–kin group gap in inequality holds separately for Black and non-Black families (Appendix D7). For the racial wealth gap itself, results are robust across the same measurement and composition checks described above, with one exception: using mean rather than median wealth makes the household- and kin-group-level racial wealth gaps converge, because a small number of high-wealth Black households pull the household-level mean upward (Appendix E7). We report medians for this reason.</w:t>
      </w:r>
    </w:p>
    <w:p>
      <w:pPr>
        <w:pStyle w:val="BodyText"/>
      </w:pPr>
      <w:r>
        <w:t xml:space="preserve">How Black kin groups are defined could drive differences in observed racial wealth gaps at the kin group and household levels. Because kin groups span multiple households, they are more likely than individual households to include non-Black individuals. In 2023, 22.3% of Black kin groups included at least one non-Black head or spouse, compared with 4.6% of Black households with a non-Black spouse. However, accounting for the number of households within each kin group, the prevalence of non-Black heads or spouses is approximately 0.050 per household, similar to the rate observed among Black households. Thus, the greater prevalence of non-Black individuals in Black kin groups largely reflects their larger size rather than higher rates of interracial partnership within select kin groups.</w:t>
      </w:r>
    </w:p>
    <w:p>
      <w:pPr>
        <w:pStyle w:val="BodyText"/>
      </w:pPr>
      <w:r>
        <w:t xml:space="preserve">The racial wealth gap is also robust to alternative definitions of Black kin groups. In our main analyses, we classify kin groups as Black if more than half of the households within them are Black. However, the racial wealth gap remains about the same when using alternative thresholds (Appendix E8).</w:t>
      </w:r>
    </w:p>
    <w:p>
      <w:pPr>
        <w:pStyle w:val="BodyText"/>
      </w:pPr>
      <w:r>
        <w:rPr>
          <w:i/>
          <w:iCs/>
        </w:rPr>
        <w:t xml:space="preserve">Robustness to kin group size and age.</w:t>
      </w:r>
      <w:r>
        <w:t xml:space="preserve"> </w:t>
      </w:r>
      <w:r>
        <w:t xml:space="preserve">Kin groups grow larger and older over the study period. This partly reflects the PSID’s genealogical design: because descendants only enter a kin group once they respond to the survey independently, kin groups are mechanically smaller and younger in the survey’s early years, before descendants had left home or begun independent households. It also partly reflects genuine demographic change in American society — later home-leaving, declining fertility, and increasing longevity — which independently reduces household size and increases kin group size over time (Appendix F1, F2). We cannot fully disentangle survey design from demographic change as the source of these shifts, but we assess robustness to both.</w:t>
      </w:r>
    </w:p>
    <w:p>
      <w:pPr>
        <w:pStyle w:val="BodyText"/>
      </w:pPr>
      <w:r>
        <w:t xml:space="preserve">First, our main analyses standardize income and wealth by household and kin group size before calculating Gini coefficients. As a robustness check, we also estimate unstandardized results: inequality is higher without size standardization, and the household–kin group gap is smaller, but household-level Gini coefficients remain higher than kin-group-level Gini coefficients regardless of whether measures are size-adjusted (Appendix D4, E4).</w:t>
      </w:r>
    </w:p>
    <w:p>
      <w:pPr>
        <w:pStyle w:val="BodyText"/>
      </w:pPr>
      <w:r>
        <w:t xml:space="preserve">Second, because the U.S. population is aging generally, we apply an additional age weight — downweighting older households and kin groups relative to their share of the sample — to test whether the changing age structure of the United States drives our results. EEstimates when weighting to correct age differences are substantively similar to our main results (Appendix D6, E6). It is likely that findings with and without age weights are consistent because the average age of households and kin groups has increased at roughly the same rate since 1990 (Appendix F3). Together, these checks indicate that differences in observed inequality between households and kin groups are not an artifact of changes in kin group size or age, whether those changes stem from survey design or broader demographic trends.</w:t>
      </w:r>
    </w:p>
    <w:p>
      <w:pPr>
        <w:pStyle w:val="BodyText"/>
      </w:pPr>
      <w:r>
        <w:t xml:space="preserve">In our main analyses, household and kin group income and wealth (</w:t>
      </w:r>
      <m:oMath>
        <m:sSub>
          <m:e>
            <m:r>
              <m:t>x</m:t>
            </m:r>
          </m:e>
          <m:sub>
            <m:r>
              <m:t>h</m:t>
            </m:r>
          </m:sub>
        </m:sSub>
      </m:oMath>
      <w:r>
        <w:t xml:space="preserve"> </w:t>
      </w:r>
      <w:r>
        <w:t xml:space="preserve">and</w:t>
      </w:r>
      <w:r>
        <w:t xml:space="preserve"> </w:t>
      </w:r>
      <m:oMath>
        <m:sSub>
          <m:e>
            <m:r>
              <m:t>x</m:t>
            </m:r>
          </m:e>
          <m:sub>
            <m:r>
              <m:t>c</m:t>
            </m:r>
          </m:sub>
        </m:sSub>
      </m:oMath>
      <w:r>
        <w:t xml:space="preserve">) are standardized by family size, and in the age-weighted sensitivity analysis each weight is further scaled by the ratio of the sample’s mean age to the unit’s mean age:</w:t>
      </w:r>
    </w:p>
    <w:p>
      <w:pPr>
        <w:pStyle w:val="BodyText"/>
      </w:pPr>
      <m:oMathPara>
        <m:oMathParaPr>
          <m:jc m:val="center"/>
        </m:oMathParaPr>
        <m:oMath>
          <m:sSub>
            <m:e>
              <m:acc>
                <m:accPr>
                  <m:chr m:val="̃"/>
                </m:accPr>
                <m:e>
                  <m:r>
                    <m:t>x</m:t>
                  </m:r>
                </m:e>
              </m:acc>
            </m:e>
            <m:sub>
              <m:r>
                <m:t>h</m:t>
              </m:r>
            </m:sub>
          </m:sSub>
          <m:r>
            <m:rPr>
              <m:sty m:val="p"/>
            </m:rPr>
            <m:t>=</m:t>
          </m:r>
          <m:f>
            <m:fPr>
              <m:type m:val="bar"/>
            </m:fPr>
            <m:num>
              <m:sSub>
                <m:e>
                  <m:r>
                    <m:t>x</m:t>
                  </m:r>
                </m:e>
                <m:sub>
                  <m:r>
                    <m:t>h</m:t>
                  </m:r>
                </m:sub>
              </m:sSub>
            </m:num>
            <m:den>
              <m:sSub>
                <m:e>
                  <m:r>
                    <m:t>n</m:t>
                  </m:r>
                </m:e>
                <m:sub>
                  <m:r>
                    <m:t>h</m:t>
                  </m:r>
                </m:sub>
              </m:sSub>
            </m:den>
          </m:f>
          <m:r>
            <m:rPr>
              <m:sty m:val="p"/>
            </m:rPr>
            <m:t>,</m:t>
          </m:r>
          <m:r>
            <m:t>  </m:t>
          </m:r>
          <m:sSub>
            <m:e>
              <m:acc>
                <m:accPr>
                  <m:chr m:val="̃"/>
                </m:accPr>
                <m:e>
                  <m:r>
                    <m:t>x</m:t>
                  </m:r>
                </m:e>
              </m:acc>
            </m:e>
            <m:sub>
              <m:r>
                <m:t>c</m:t>
              </m:r>
            </m:sub>
          </m:sSub>
          <m:r>
            <m:rPr>
              <m:sty m:val="p"/>
            </m:rPr>
            <m:t>=</m:t>
          </m:r>
          <m:f>
            <m:fPr>
              <m:type m:val="bar"/>
            </m:fPr>
            <m:num>
              <m:r>
                <m:t>1</m:t>
              </m:r>
            </m:num>
            <m:den>
              <m:sSub>
                <m:e>
                  <m:r>
                    <m:t>m</m:t>
                  </m:r>
                </m:e>
                <m:sub>
                  <m:r>
                    <m:t>c</m:t>
                  </m:r>
                </m:sub>
              </m:sSub>
            </m:den>
          </m:f>
          <m:nary>
            <m:naryPr>
              <m:chr m:val="∑"/>
              <m:limLoc m:val="undOvr"/>
              <m:subHide m:val="off"/>
              <m:supHide m:val="on"/>
            </m:naryPr>
            <m:sub>
              <m:r>
                <m:t>h</m:t>
              </m:r>
              <m:r>
                <m:rPr>
                  <m:sty m:val="p"/>
                </m:rPr>
                <m:t>∈</m:t>
              </m:r>
              <m:r>
                <m:t>c</m:t>
              </m:r>
            </m:sub>
            <m:sup>
              <m:r>
                <m:t>​</m:t>
              </m:r>
            </m:sup>
            <m:e>
              <m:sSub>
                <m:e>
                  <m:r>
                    <m:t>x</m:t>
                  </m:r>
                </m:e>
                <m:sub>
                  <m:r>
                    <m:t>h</m:t>
                  </m:r>
                </m:sub>
              </m:sSub>
            </m:e>
          </m:nary>
          <m:r>
            <m:rPr>
              <m:sty m:val="p"/>
            </m:rPr>
            <m:t>,</m:t>
          </m:r>
          <m:r>
            <m:t>  </m:t>
          </m:r>
          <m:sSubSup>
            <m:e>
              <m:r>
                <m:t>W</m:t>
              </m:r>
            </m:e>
            <m:sub>
              <m:r>
                <m:t>h</m:t>
              </m:r>
            </m:sub>
            <m:sup>
              <m:r>
                <m:rPr>
                  <m:nor/>
                  <m:sty m:val="p"/>
                </m:rPr>
                <m:t>age</m:t>
              </m:r>
            </m:sup>
          </m:sSubSup>
          <m:r>
            <m:rPr>
              <m:sty m:val="p"/>
            </m:rPr>
            <m:t>=</m:t>
          </m:r>
          <m:sSub>
            <m:e>
              <m:r>
                <m:t>W</m:t>
              </m:r>
            </m:e>
            <m:sub>
              <m:r>
                <m:t>h</m:t>
              </m:r>
            </m:sub>
          </m:sSub>
          <m:r>
            <m:rPr>
              <m:sty m:val="p"/>
            </m:rPr>
            <m:t>⋅</m:t>
          </m:r>
          <m:f>
            <m:fPr>
              <m:type m:val="bar"/>
            </m:fPr>
            <m:num>
              <m:sSub>
                <m:e>
                  <m:acc>
                    <m:accPr>
                      <m:chr m:val="‾"/>
                    </m:accPr>
                    <m:e>
                      <m:r>
                        <m:t>a</m:t>
                      </m:r>
                    </m:e>
                  </m:acc>
                </m:e>
                <m:sub>
                  <m:r>
                    <m:t>H</m:t>
                  </m:r>
                </m:sub>
              </m:sSub>
            </m:num>
            <m:den>
              <m:sSub>
                <m:e>
                  <m:r>
                    <m:t>a</m:t>
                  </m:r>
                </m:e>
                <m:sub>
                  <m:r>
                    <m:t>h</m:t>
                  </m:r>
                </m:sub>
              </m:sSub>
            </m:den>
          </m:f>
          <m:r>
            <m:rPr>
              <m:sty m:val="p"/>
            </m:rPr>
            <m:t>,</m:t>
          </m:r>
          <m:r>
            <m:t>  </m:t>
          </m:r>
          <m:sSubSup>
            <m:e>
              <m:r>
                <m:t>W</m:t>
              </m:r>
            </m:e>
            <m:sub>
              <m:r>
                <m:t>c</m:t>
              </m:r>
            </m:sub>
            <m:sup>
              <m:r>
                <m:rPr>
                  <m:nor/>
                  <m:sty m:val="p"/>
                </m:rPr>
                <m:t>age</m:t>
              </m:r>
            </m:sup>
          </m:sSubSup>
          <m:r>
            <m:rPr>
              <m:sty m:val="p"/>
            </m:rPr>
            <m:t>=</m:t>
          </m:r>
          <m:sSub>
            <m:e>
              <m:r>
                <m:t>W</m:t>
              </m:r>
            </m:e>
            <m:sub>
              <m:r>
                <m:t>c</m:t>
              </m:r>
            </m:sub>
          </m:sSub>
          <m:r>
            <m:rPr>
              <m:sty m:val="p"/>
            </m:rPr>
            <m:t>⋅</m:t>
          </m:r>
          <m:f>
            <m:fPr>
              <m:type m:val="bar"/>
            </m:fPr>
            <m:num>
              <m:sSub>
                <m:e>
                  <m:acc>
                    <m:accPr>
                      <m:chr m:val="‾"/>
                    </m:accPr>
                    <m:e>
                      <m:r>
                        <m:t>a</m:t>
                      </m:r>
                    </m:e>
                  </m:acc>
                </m:e>
                <m:sub>
                  <m:r>
                    <m:t>C</m:t>
                  </m:r>
                </m:sub>
              </m:sSub>
            </m:num>
            <m:den>
              <m:sSub>
                <m:e>
                  <m:r>
                    <m:t>a</m:t>
                  </m:r>
                </m:e>
                <m:sub>
                  <m:r>
                    <m:t>c</m:t>
                  </m:r>
                </m:sub>
              </m:sSub>
            </m:den>
          </m:f>
          <m:r>
            <m:rPr>
              <m:sty m:val="p"/>
            </m:rPr>
            <m:t>,</m:t>
          </m:r>
        </m:oMath>
      </m:oMathPara>
    </w:p>
    <w:p>
      <w:pPr>
        <w:pStyle w:val="FirstParagraph"/>
      </w:pPr>
      <w:r>
        <w:t xml:space="preserve">where</w:t>
      </w:r>
      <w:r>
        <w:t xml:space="preserve"> </w:t>
      </w:r>
      <m:oMath>
        <m:sSub>
          <m:e>
            <m:r>
              <m:t>a</m:t>
            </m:r>
          </m:e>
          <m:sub>
            <m:r>
              <m:t>h</m:t>
            </m:r>
          </m:sub>
        </m:sSub>
      </m:oMath>
      <w:r>
        <w:t xml:space="preserve"> </w:t>
      </w:r>
      <w:r>
        <w:t xml:space="preserve">is the average age of members of household</w:t>
      </w:r>
      <w:r>
        <w:t xml:space="preserve"> </w:t>
      </w:r>
      <m:oMath>
        <m:r>
          <m:t>h</m:t>
        </m:r>
      </m:oMath>
      <w:r>
        <w:t xml:space="preserve">,</w:t>
      </w:r>
      <w:r>
        <w:t xml:space="preserve"> </w:t>
      </w:r>
      <m:oMath>
        <m:sSub>
          <m:e>
            <m:r>
              <m:t>a</m:t>
            </m:r>
          </m:e>
          <m:sub>
            <m:r>
              <m:t>c</m:t>
            </m:r>
          </m:sub>
        </m:sSub>
      </m:oMath>
      <w:r>
        <w:t xml:space="preserve"> </w:t>
      </w:r>
      <w:r>
        <w:t xml:space="preserve">is the average age of kin group</w:t>
      </w:r>
      <w:r>
        <w:t xml:space="preserve"> </w:t>
      </w:r>
      <m:oMath>
        <m:r>
          <m:t>c</m:t>
        </m:r>
      </m:oMath>
      <w:r>
        <w:t xml:space="preserve">, and</w:t>
      </w:r>
      <w:r>
        <w:t xml:space="preserve"> </w:t>
      </w:r>
      <m:oMath>
        <m:sSub>
          <m:e>
            <m:acc>
              <m:accPr>
                <m:chr m:val="‾"/>
              </m:accPr>
              <m:e>
                <m:r>
                  <m:t>a</m:t>
                </m:r>
              </m:e>
            </m:acc>
          </m:e>
          <m:sub>
            <m:r>
              <m:t>H</m:t>
            </m:r>
          </m:sub>
        </m:sSub>
      </m:oMath>
      <w:r>
        <w:t xml:space="preserve"> </w:t>
      </w:r>
      <w:r>
        <w:t xml:space="preserve">and</w:t>
      </w:r>
      <w:r>
        <w:t xml:space="preserve"> </w:t>
      </w:r>
      <m:oMath>
        <m:sSub>
          <m:e>
            <m:acc>
              <m:accPr>
                <m:chr m:val="‾"/>
              </m:accPr>
              <m:e>
                <m:r>
                  <m:t>a</m:t>
                </m:r>
              </m:e>
            </m:acc>
          </m:e>
          <m:sub>
            <m:r>
              <m:t>C</m:t>
            </m:r>
          </m:sub>
        </m:sSub>
      </m:oMath>
      <w:r>
        <w:t xml:space="preserve"> </w:t>
      </w:r>
      <w:r>
        <w:t xml:space="preserve">are their respective sample means.</w:t>
      </w:r>
    </w:p>
    <w:p>
      <w:pPr>
        <w:pStyle w:val="BodyText"/>
      </w:pPr>
      <w:r>
        <w:rPr>
          <w:i/>
          <w:iCs/>
        </w:rPr>
        <w:t xml:space="preserve">Robustness to single-household kin groups.</w:t>
      </w:r>
      <w:r>
        <w:t xml:space="preserve"> </w:t>
      </w:r>
      <w:r>
        <w:t xml:space="preserve">A related consequence of the PSID’s genealogical design is that kin groups in the early survey years are more likely to consist of a single household, since descendants had not yet formed independent households of their own; the prevalence of single-household kin groups fell 75% between 1969 and 1980. Single-household kin groups can also arise later in the survey through nonresponse or attrition. However, we find that the number of kin groups including or excluding single-household kin groups remains stable after 1980 (see Appendix F4).</w:t>
      </w:r>
    </w:p>
    <w:p>
      <w:pPr>
        <w:pStyle w:val="BodyText"/>
      </w:pPr>
      <w:r>
        <w:t xml:space="preserve">Because household- and kin-group-level measures are identical by construction for single-household kin groups, including them in the analysis mechanically shrinks the household–kin group gap — not because inequality is genuinely more similar across units, but because a share of</w:t>
      </w:r>
      <w:r>
        <w:t xml:space="preserve"> </w:t>
      </w:r>
      <w:r>
        <w:t xml:space="preserve">“kin groups”</w:t>
      </w:r>
      <w:r>
        <w:t xml:space="preserve"> </w:t>
      </w:r>
      <w:r>
        <w:t xml:space="preserve">are, by definition, households. For this reason, our main analyses exclude single-household kin groups.</w:t>
      </w:r>
    </w:p>
    <w:p>
      <w:pPr>
        <w:pStyle w:val="BodyText"/>
      </w:pPr>
      <w:r>
        <w:t xml:space="preserve">As a robustness check, we report results with single-household kin groups included: the household–kin group gap narrows for both income and wealth, but is not eliminated (Appendix D5, E5). Single-household kin groups are most prevalent from 1969 to 1980. Because the PSID did not begin collecting wealth data until 1984, the prevalence of single-household kin groups during this period could affect only measures of income inequality, not wealth inequality. However, Figure 1 shows that the income-inequality gap between households and kin groups remains consistent from 1981–2023. We also re-estimate results excluding 1969–1980, the period in which single-household kin groups are most prevalent; overall trends remain similar regardless of whether this period is excluded.</w:t>
      </w:r>
    </w:p>
    <w:p>
      <w:pPr>
        <w:pStyle w:val="BodyText"/>
      </w:pPr>
      <w:r>
        <w:rPr>
          <w:b/>
          <w:bCs/>
        </w:rPr>
        <w:t xml:space="preserve">Limitations.</w:t>
      </w:r>
      <w:r>
        <w:t xml:space="preserve"> </w:t>
      </w:r>
      <w:r>
        <w:t xml:space="preserve">The finding that inequality is 20-30% lower at the kin group level than at the household level is robust across racial groups and alternative measurement choices, and does not appear to be driven by demographic changes in family size or age composition. Nevertheless, our analysis has several limitations.</w:t>
      </w:r>
    </w:p>
    <w:p>
      <w:pPr>
        <w:pStyle w:val="BodyText"/>
      </w:pPr>
      <w:r>
        <w:t xml:space="preserve">First, our estimates are not representative of all kin groups in the United States. Rather, they are based on kin groups constructed from a sample of Black and white households that was nationally representative in 1968. Hispanic and Asian Americans, as well as recent immigrants, constitute substantial segments of the American population. Patterns of inequality at the kin group level may differ for these groups.</w:t>
      </w:r>
    </w:p>
    <w:p>
      <w:pPr>
        <w:pStyle w:val="BodyText"/>
      </w:pPr>
      <w:r>
        <w:t xml:space="preserve">Second, other factors may influence which kin groups are observable in the PSID. The PSID constructs kin groups by following descendants of households originally included in the survey. PSID-provided weights adjust for attrition at the individual level to account for individuals who leave the study or do not respond to survey outreach. To minimize attrition, the PSID sometimes provides incentives to kin group members who encourage other family members to participate in the survey. Consequently, attrition may not occur independently across members of the same kin group. It remains unclear whether individuals who attrit differ systematically from those who remain in the study in ways that affect the composition and characteristics of observable kin groups. Although individual-level weights form the basis for household and kin group weights, these may not fully account for potential selection into which kin groups are observable. Despite these limitations, our findings underscore the importance of considering kin groups as a unit of analysis when studying economic inequality.</w:t>
      </w:r>
    </w:p>
    <w:bookmarkEnd w:id="26"/>
    <w:bookmarkStart w:id="102" w:name="references"/>
    <w:p>
      <w:pPr>
        <w:pStyle w:val="Heading1"/>
      </w:pPr>
      <w:r>
        <w:t xml:space="preserve">References</w:t>
      </w:r>
    </w:p>
    <w:bookmarkStart w:id="101" w:name="refs"/>
    <w:bookmarkStart w:id="28"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27">
        <w:r>
          <w:rPr>
            <w:rStyle w:val="Hyperlink"/>
          </w:rPr>
          <w:t xml:space="preserve">https://fred.stlouisfed.org/series/SIPOVGINIUSA</w:t>
        </w:r>
      </w:hyperlink>
    </w:p>
    <w:bookmarkEnd w:id="28"/>
    <w:bookmarkStart w:id="30"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29">
        <w:r>
          <w:rPr>
            <w:rStyle w:val="Hyperlink"/>
          </w:rPr>
          <w:t xml:space="preserve">https://www.bakerinstitute.org/research/decline-us-wealth-and-income-inequality</w:t>
        </w:r>
      </w:hyperlink>
    </w:p>
    <w:bookmarkEnd w:id="30"/>
    <w:bookmarkStart w:id="33"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31">
        <w:r>
          <w:rPr>
            <w:rStyle w:val="Hyperlink"/>
          </w:rPr>
          <w:t xml:space="preserve">https://www.nber.org/papers/w33823</w:t>
        </w:r>
      </w:hyperlink>
      <w:r>
        <w:t xml:space="preserve">. doi:</w:t>
      </w:r>
      <w:hyperlink r:id="rId32">
        <w:r>
          <w:rPr>
            <w:rStyle w:val="Hyperlink"/>
          </w:rPr>
          <w:t xml:space="preserve">10.3386/w33823</w:t>
        </w:r>
      </w:hyperlink>
    </w:p>
    <w:bookmarkEnd w:id="33"/>
    <w:bookmarkStart w:id="36"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34">
        <w:r>
          <w:rPr>
            <w:rStyle w:val="Hyperlink"/>
          </w:rPr>
          <w:t xml:space="preserve">https://www.journals.uchicago.edu/doi/10.1086/728741</w:t>
        </w:r>
      </w:hyperlink>
      <w:r>
        <w:t xml:space="preserve">. doi:</w:t>
      </w:r>
      <w:hyperlink r:id="rId35">
        <w:r>
          <w:rPr>
            <w:rStyle w:val="Hyperlink"/>
          </w:rPr>
          <w:t xml:space="preserve">10.1086/728741</w:t>
        </w:r>
      </w:hyperlink>
    </w:p>
    <w:bookmarkEnd w:id="36"/>
    <w:bookmarkStart w:id="39"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37">
        <w:r>
          <w:rPr>
            <w:rStyle w:val="Hyperlink"/>
          </w:rPr>
          <w:t xml:space="preserve">https://www.annualreviews.org/doi/10.1146/annurev-soc-060116-053331</w:t>
        </w:r>
      </w:hyperlink>
      <w:r>
        <w:t xml:space="preserve">. doi:</w:t>
      </w:r>
      <w:hyperlink r:id="rId38">
        <w:r>
          <w:rPr>
            <w:rStyle w:val="Hyperlink"/>
          </w:rPr>
          <w:t xml:space="preserve">10.1146/annurev-soc-060116-053331</w:t>
        </w:r>
      </w:hyperlink>
    </w:p>
    <w:bookmarkEnd w:id="39"/>
    <w:bookmarkStart w:id="41"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40">
        <w:r>
          <w:rPr>
            <w:rStyle w:val="Hyperlink"/>
          </w:rPr>
          <w:t xml:space="preserve">https://doi.org/10.1093/qje/qjw004</w:t>
        </w:r>
      </w:hyperlink>
      <w:r>
        <w:t xml:space="preserve">. doi:</w:t>
      </w:r>
      <w:hyperlink r:id="rId40">
        <w:r>
          <w:rPr>
            <w:rStyle w:val="Hyperlink"/>
          </w:rPr>
          <w:t xml:space="preserve">10.1093/qje/qjw004</w:t>
        </w:r>
      </w:hyperlink>
    </w:p>
    <w:bookmarkEnd w:id="41"/>
    <w:bookmarkStart w:id="42"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42"/>
    <w:bookmarkStart w:id="44"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43">
        <w:r>
          <w:rPr>
            <w:rStyle w:val="Hyperlink"/>
          </w:rPr>
          <w:t xml:space="preserve">10.1037/11282-004</w:t>
        </w:r>
      </w:hyperlink>
    </w:p>
    <w:bookmarkEnd w:id="44"/>
    <w:bookmarkStart w:id="46"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45">
        <w:r>
          <w:rPr>
            <w:rStyle w:val="Hyperlink"/>
          </w:rPr>
          <w:t xml:space="preserve">https://doi.org/10.1007/s13524-018-0719-y</w:t>
        </w:r>
      </w:hyperlink>
      <w:r>
        <w:t xml:space="preserve">. doi:</w:t>
      </w:r>
      <w:hyperlink r:id="rId45">
        <w:r>
          <w:rPr>
            <w:rStyle w:val="Hyperlink"/>
          </w:rPr>
          <w:t xml:space="preserve">10.1007/s13524-018-0719-y</w:t>
        </w:r>
      </w:hyperlink>
    </w:p>
    <w:bookmarkEnd w:id="46"/>
    <w:bookmarkStart w:id="48"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47">
        <w:r>
          <w:rPr>
            <w:rStyle w:val="Hyperlink"/>
          </w:rPr>
          <w:t xml:space="preserve">https://doi.org/10.1007/s13524-011-0014-7</w:t>
        </w:r>
      </w:hyperlink>
      <w:r>
        <w:t xml:space="preserve">. doi:</w:t>
      </w:r>
      <w:hyperlink r:id="rId47">
        <w:r>
          <w:rPr>
            <w:rStyle w:val="Hyperlink"/>
          </w:rPr>
          <w:t xml:space="preserve">10.1007/s13524-011-0014-7</w:t>
        </w:r>
      </w:hyperlink>
    </w:p>
    <w:bookmarkEnd w:id="48"/>
    <w:bookmarkStart w:id="50"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49">
        <w:r>
          <w:rPr>
            <w:rStyle w:val="Hyperlink"/>
          </w:rPr>
          <w:t xml:space="preserve">https://doi.org/10.1093/ser/mwad033</w:t>
        </w:r>
      </w:hyperlink>
      <w:r>
        <w:t xml:space="preserve">. doi:</w:t>
      </w:r>
      <w:hyperlink r:id="rId49">
        <w:r>
          <w:rPr>
            <w:rStyle w:val="Hyperlink"/>
          </w:rPr>
          <w:t xml:space="preserve">10.1093/ser/mwad033</w:t>
        </w:r>
      </w:hyperlink>
    </w:p>
    <w:bookmarkEnd w:id="50"/>
    <w:bookmarkStart w:id="52"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51">
        <w:r>
          <w:rPr>
            <w:rStyle w:val="Hyperlink"/>
          </w:rPr>
          <w:t xml:space="preserve">https://doi.org/10.1177/00031224251319001</w:t>
        </w:r>
      </w:hyperlink>
      <w:r>
        <w:t xml:space="preserve">. doi:</w:t>
      </w:r>
      <w:hyperlink r:id="rId51">
        <w:r>
          <w:rPr>
            <w:rStyle w:val="Hyperlink"/>
          </w:rPr>
          <w:t xml:space="preserve">10.1177/00031224251319001</w:t>
        </w:r>
      </w:hyperlink>
    </w:p>
    <w:bookmarkEnd w:id="52"/>
    <w:bookmarkStart w:id="55"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53">
        <w:r>
          <w:rPr>
            <w:rStyle w:val="Hyperlink"/>
          </w:rPr>
          <w:t xml:space="preserve">https://www.pnas.org/doi/10.1073/pnas.2315722120</w:t>
        </w:r>
      </w:hyperlink>
      <w:r>
        <w:t xml:space="preserve">. doi:</w:t>
      </w:r>
      <w:hyperlink r:id="rId54">
        <w:r>
          <w:rPr>
            <w:rStyle w:val="Hyperlink"/>
          </w:rPr>
          <w:t xml:space="preserve">10.1073/pnas.2315722120</w:t>
        </w:r>
      </w:hyperlink>
    </w:p>
    <w:bookmarkEnd w:id="55"/>
    <w:bookmarkStart w:id="58"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56">
        <w:r>
          <w:rPr>
            <w:rStyle w:val="Hyperlink"/>
          </w:rPr>
          <w:t xml:space="preserve">https://pubs.aeaweb.org/doi/10.1257/aer.20190553</w:t>
        </w:r>
      </w:hyperlink>
      <w:r>
        <w:t xml:space="preserve">. doi:</w:t>
      </w:r>
      <w:hyperlink r:id="rId57">
        <w:r>
          <w:rPr>
            <w:rStyle w:val="Hyperlink"/>
          </w:rPr>
          <w:t xml:space="preserve">10.1257/aer.20190553</w:t>
        </w:r>
      </w:hyperlink>
    </w:p>
    <w:bookmarkEnd w:id="58"/>
    <w:bookmarkStart w:id="61"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59">
        <w:r>
          <w:rPr>
            <w:rStyle w:val="Hyperlink"/>
          </w:rPr>
          <w:t xml:space="preserve">https://www-journals-uchicago-edu.turing.library.northwestern.edu/doi/full/10.1086/724835</w:t>
        </w:r>
      </w:hyperlink>
      <w:r>
        <w:t xml:space="preserve">. doi:</w:t>
      </w:r>
      <w:hyperlink r:id="rId60">
        <w:r>
          <w:rPr>
            <w:rStyle w:val="Hyperlink"/>
          </w:rPr>
          <w:t xml:space="preserve">https://doi.org/10.1086/724835</w:t>
        </w:r>
      </w:hyperlink>
    </w:p>
    <w:bookmarkEnd w:id="61"/>
    <w:bookmarkStart w:id="63"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62">
        <w:r>
          <w:rPr>
            <w:rStyle w:val="Hyperlink"/>
          </w:rPr>
          <w:t xml:space="preserve">10.1007/s13524-019-00772-8</w:t>
        </w:r>
      </w:hyperlink>
    </w:p>
    <w:bookmarkEnd w:id="63"/>
    <w:bookmarkStart w:id="65" w:name="ref-schwartz_trends_2005"/>
    <w:p>
      <w:pPr>
        <w:pStyle w:val="Bibliography"/>
      </w:pPr>
      <w:r>
        <w:t xml:space="preserve">[17]</w:t>
      </w:r>
      <w:r>
        <w:t xml:space="preserve"> </w:t>
      </w:r>
      <w:r>
        <w:t xml:space="preserve">	</w:t>
      </w:r>
      <w:r>
        <w:t xml:space="preserve">Schwartz CR, Mare RD. Trends in educational assortative marriage from 1940 to 2003. Demography. 2005 [accessed 2026 May 28];42(4):621–646.</w:t>
      </w:r>
      <w:r>
        <w:t xml:space="preserve"> </w:t>
      </w:r>
      <w:hyperlink r:id="rId64">
        <w:r>
          <w:rPr>
            <w:rStyle w:val="Hyperlink"/>
          </w:rPr>
          <w:t xml:space="preserve">https://doi.org/10.1353/dem.2005.0036</w:t>
        </w:r>
      </w:hyperlink>
      <w:r>
        <w:t xml:space="preserve">. doi:</w:t>
      </w:r>
      <w:hyperlink r:id="rId64">
        <w:r>
          <w:rPr>
            <w:rStyle w:val="Hyperlink"/>
          </w:rPr>
          <w:t xml:space="preserve">10.1353/dem.2005.0036</w:t>
        </w:r>
      </w:hyperlink>
    </w:p>
    <w:bookmarkEnd w:id="65"/>
    <w:bookmarkStart w:id="67" w:name="ref-hallsten_grand_2017"/>
    <w:p>
      <w:pPr>
        <w:pStyle w:val="Bibliography"/>
      </w:pPr>
      <w:r>
        <w:t xml:space="preserve">[18]</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66">
        <w:r>
          <w:rPr>
            <w:rStyle w:val="Hyperlink"/>
          </w:rPr>
          <w:t xml:space="preserve">10.1177/0003122417695791</w:t>
        </w:r>
      </w:hyperlink>
    </w:p>
    <w:bookmarkEnd w:id="67"/>
    <w:bookmarkStart w:id="68" w:name="ref-insolera_overview_2021"/>
    <w:p>
      <w:pPr>
        <w:pStyle w:val="Bibliography"/>
      </w:pPr>
      <w:r>
        <w:t xml:space="preserve">[19]</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68"/>
    <w:bookmarkStart w:id="70" w:name="ref-pfeffer_measuring_2016"/>
    <w:p>
      <w:pPr>
        <w:pStyle w:val="Bibliography"/>
      </w:pPr>
      <w:r>
        <w:t xml:space="preserve">[20]</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69">
        <w:r>
          <w:rPr>
            <w:rStyle w:val="Hyperlink"/>
          </w:rPr>
          <w:t xml:space="preserve">10.3233/JEM-160421</w:t>
        </w:r>
      </w:hyperlink>
    </w:p>
    <w:bookmarkEnd w:id="70"/>
    <w:bookmarkStart w:id="71" w:name="ref-pfeffer_determinants_2017"/>
    <w:p>
      <w:pPr>
        <w:pStyle w:val="Bibliography"/>
      </w:pPr>
      <w:r>
        <w:t xml:space="preserve">[21]</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71"/>
    <w:bookmarkStart w:id="74" w:name="ref-rapp_economies_2025"/>
    <w:p>
      <w:pPr>
        <w:pStyle w:val="Bibliography"/>
      </w:pPr>
      <w:r>
        <w:t xml:space="preserve">[22]</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72">
        <w:r>
          <w:rPr>
            <w:rStyle w:val="Hyperlink"/>
          </w:rPr>
          <w:t xml:space="preserve">https://onlinelibrary.wiley.com/doi/abs/10.1111/roiw.70002</w:t>
        </w:r>
      </w:hyperlink>
      <w:r>
        <w:t xml:space="preserve">. doi:</w:t>
      </w:r>
      <w:hyperlink r:id="rId73">
        <w:r>
          <w:rPr>
            <w:rStyle w:val="Hyperlink"/>
          </w:rPr>
          <w:t xml:space="preserve">10.1111/roiw.70002</w:t>
        </w:r>
      </w:hyperlink>
    </w:p>
    <w:bookmarkEnd w:id="74"/>
    <w:bookmarkStart w:id="77" w:name="ref-corak_income_2013"/>
    <w:p>
      <w:pPr>
        <w:pStyle w:val="Bibliography"/>
      </w:pPr>
      <w:r>
        <w:t xml:space="preserve">[23]</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75">
        <w:r>
          <w:rPr>
            <w:rStyle w:val="Hyperlink"/>
          </w:rPr>
          <w:t xml:space="preserve">https://www.aeaweb.org/articles?id=10.1257/jep.27.3.79</w:t>
        </w:r>
      </w:hyperlink>
      <w:r>
        <w:t xml:space="preserve">. doi:</w:t>
      </w:r>
      <w:hyperlink r:id="rId76">
        <w:r>
          <w:rPr>
            <w:rStyle w:val="Hyperlink"/>
          </w:rPr>
          <w:t xml:space="preserve">10.1257/jep.27.3.79</w:t>
        </w:r>
      </w:hyperlink>
    </w:p>
    <w:bookmarkEnd w:id="77"/>
    <w:bookmarkStart w:id="79" w:name="ref-jerrim_income_2015"/>
    <w:p>
      <w:pPr>
        <w:pStyle w:val="Bibliography"/>
      </w:pPr>
      <w:r>
        <w:t xml:space="preserve">[24]</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78">
        <w:r>
          <w:rPr>
            <w:rStyle w:val="Hyperlink"/>
          </w:rPr>
          <w:t xml:space="preserve">10.1093/sf/sov075</w:t>
        </w:r>
      </w:hyperlink>
    </w:p>
    <w:bookmarkEnd w:id="79"/>
    <w:bookmarkStart w:id="81" w:name="ref-ermisch_parents_2012"/>
    <w:p>
      <w:pPr>
        <w:pStyle w:val="Bibliography"/>
      </w:pPr>
      <w:r>
        <w:t xml:space="preserve">[25]</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80">
        <w:r>
          <w:rPr>
            <w:rStyle w:val="Hyperlink"/>
          </w:rPr>
          <w:t xml:space="preserve">https://www.jstor.org/stable/10.7758/9781610447805</w:t>
        </w:r>
      </w:hyperlink>
    </w:p>
    <w:bookmarkEnd w:id="81"/>
    <w:bookmarkStart w:id="84" w:name="ref-si_multiple_2021"/>
    <w:p>
      <w:pPr>
        <w:pStyle w:val="Bibliography"/>
      </w:pPr>
      <w:r>
        <w:t xml:space="preserve">[26]</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82">
        <w:r>
          <w:rPr>
            <w:rStyle w:val="Hyperlink"/>
          </w:rPr>
          <w:t xml:space="preserve">https://www.ncbi.nlm.nih.gov/pmc/articles/PMC9874997/</w:t>
        </w:r>
      </w:hyperlink>
      <w:r>
        <w:t xml:space="preserve">. doi:</w:t>
      </w:r>
      <w:hyperlink r:id="rId83">
        <w:r>
          <w:rPr>
            <w:rStyle w:val="Hyperlink"/>
          </w:rPr>
          <w:t xml:space="preserve">10.1093/jssam/smab038</w:t>
        </w:r>
      </w:hyperlink>
    </w:p>
    <w:bookmarkEnd w:id="84"/>
    <w:bookmarkStart w:id="85" w:name="ref-sayer_women_2004"/>
    <w:p>
      <w:pPr>
        <w:pStyle w:val="Bibliography"/>
      </w:pPr>
      <w:r>
        <w:t xml:space="preserve">[27]</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85"/>
    <w:bookmarkStart w:id="87" w:name="ref-oliver_black_2013"/>
    <w:p>
      <w:pPr>
        <w:pStyle w:val="Bibliography"/>
      </w:pPr>
      <w:r>
        <w:t xml:space="preserve">[28]</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86">
        <w:r>
          <w:rPr>
            <w:rStyle w:val="Hyperlink"/>
          </w:rPr>
          <w:t xml:space="preserve">10.4324/9780203707425</w:t>
        </w:r>
      </w:hyperlink>
    </w:p>
    <w:bookmarkEnd w:id="87"/>
    <w:bookmarkStart w:id="90" w:name="ref-beckert_durable_2022"/>
    <w:p>
      <w:pPr>
        <w:pStyle w:val="Bibliography"/>
      </w:pPr>
      <w:r>
        <w:t xml:space="preserve">[29]</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88">
        <w:r>
          <w:rPr>
            <w:rStyle w:val="Hyperlink"/>
          </w:rPr>
          <w:t xml:space="preserve">https://www-annualreviews-org.turing.library.northwestern.edu/content/journals/10.1146/annurev-soc-030320-115024</w:t>
        </w:r>
      </w:hyperlink>
      <w:r>
        <w:t xml:space="preserve">. doi:</w:t>
      </w:r>
      <w:hyperlink r:id="rId89">
        <w:r>
          <w:rPr>
            <w:rStyle w:val="Hyperlink"/>
          </w:rPr>
          <w:t xml:space="preserve">doi.org/10.1146/annurev-soc-030320-115024</w:t>
        </w:r>
      </w:hyperlink>
    </w:p>
    <w:bookmarkEnd w:id="90"/>
    <w:bookmarkStart w:id="93" w:name="ref-obrien_structural_2020"/>
    <w:p>
      <w:pPr>
        <w:pStyle w:val="Bibliography"/>
      </w:pPr>
      <w:r>
        <w:t xml:space="preserve">[30]</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91">
        <w:r>
          <w:rPr>
            <w:rStyle w:val="Hyperlink"/>
          </w:rPr>
          <w:t xml:space="preserve">https://www.sciencedirect.com/science/article/pii/S2352827319303623</w:t>
        </w:r>
      </w:hyperlink>
      <w:r>
        <w:t xml:space="preserve">. doi:</w:t>
      </w:r>
      <w:hyperlink r:id="rId92">
        <w:r>
          <w:rPr>
            <w:rStyle w:val="Hyperlink"/>
          </w:rPr>
          <w:t xml:space="preserve">10.1016/j.ssmph.2020.100564</w:t>
        </w:r>
      </w:hyperlink>
    </w:p>
    <w:bookmarkEnd w:id="93"/>
    <w:bookmarkStart w:id="95" w:name="ref-pfeffer_wealth_2013"/>
    <w:p>
      <w:pPr>
        <w:pStyle w:val="Bibliography"/>
      </w:pPr>
      <w:r>
        <w:t xml:space="preserve">[31]</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94">
        <w:r>
          <w:rPr>
            <w:rStyle w:val="Hyperlink"/>
          </w:rPr>
          <w:t xml:space="preserve">10.1177/0002716213497452</w:t>
        </w:r>
      </w:hyperlink>
    </w:p>
    <w:bookmarkEnd w:id="95"/>
    <w:bookmarkStart w:id="96" w:name="ref-mckernan_less_2013"/>
    <w:p>
      <w:pPr>
        <w:pStyle w:val="Bibliography"/>
      </w:pPr>
      <w:r>
        <w:t xml:space="preserve">[32]</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96"/>
    <w:bookmarkStart w:id="98" w:name="ref-mckernan_racial_2014"/>
    <w:p>
      <w:pPr>
        <w:pStyle w:val="Bibliography"/>
      </w:pPr>
      <w:r>
        <w:t xml:space="preserve">[33]</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97">
        <w:r>
          <w:rPr>
            <w:rStyle w:val="Hyperlink"/>
          </w:rPr>
          <w:t xml:space="preserve">https://doi.org/10.1007/s13524-014-0296-7</w:t>
        </w:r>
      </w:hyperlink>
      <w:r>
        <w:t xml:space="preserve">. doi:</w:t>
      </w:r>
      <w:hyperlink r:id="rId97">
        <w:r>
          <w:rPr>
            <w:rStyle w:val="Hyperlink"/>
          </w:rPr>
          <w:t xml:space="preserve">10.1007/s13524-014-0296-7</w:t>
        </w:r>
      </w:hyperlink>
    </w:p>
    <w:bookmarkEnd w:id="98"/>
    <w:bookmarkStart w:id="100" w:name="ref-kochhar_wealth_2011"/>
    <w:p>
      <w:pPr>
        <w:pStyle w:val="Bibliography"/>
      </w:pPr>
      <w:r>
        <w:t xml:space="preserve">[34]</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99">
        <w:r>
          <w:rPr>
            <w:rStyle w:val="Hyperlink"/>
          </w:rPr>
          <w:t xml:space="preserve">https://www.pewresearch.org/social-trends/2011/07/26/wealth-gaps-rise-to-record-highs-between-whites-blacks-hispanics/</w:t>
        </w:r>
      </w:hyperlink>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4">
    <w:p>
      <w:pPr>
        <w:pStyle w:val="FootnoteText"/>
      </w:pPr>
      <w:r>
        <w:rPr>
          <w:rStyle w:val="FootnoteReference"/>
        </w:rPr>
        <w:footnoteRef/>
      </w:r>
      <w:r>
        <w:t xml:space="preserve"> </w:t>
      </w:r>
      <w:r>
        <w:t xml:space="preserve">See</w:t>
      </w:r>
      <w:r>
        <w:t xml:space="preserve"> </w:t>
      </w:r>
      <w:hyperlink r:id="rId25">
        <w:r>
          <w:rPr>
            <w:rStyle w:val="Hyperlink"/>
          </w:rPr>
          <w:t xml:space="preserve">PSID technical report</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47" Target="https://doi.org/10.1007/s13524-011-0014-7" TargetMode="External" /><Relationship Type="http://schemas.openxmlformats.org/officeDocument/2006/relationships/hyperlink" Id="rId97" Target="https://doi.org/10.1007/s13524-014-0296-7" TargetMode="External" /><Relationship Type="http://schemas.openxmlformats.org/officeDocument/2006/relationships/hyperlink" Id="rId45" Target="https://doi.org/10.1007/s13524-018-0719-y" TargetMode="External" /><Relationship Type="http://schemas.openxmlformats.org/officeDocument/2006/relationships/hyperlink" Id="rId62" Target="https://doi.org/10.1007/s13524-019-00772-8" TargetMode="External" /><Relationship Type="http://schemas.openxmlformats.org/officeDocument/2006/relationships/hyperlink" Id="rId92" Target="https://doi.org/10.1016/j.ssmph.2020.100564" TargetMode="External" /><Relationship Type="http://schemas.openxmlformats.org/officeDocument/2006/relationships/hyperlink" Id="rId43" Target="https://doi.org/10.1037/11282-004" TargetMode="External" /><Relationship Type="http://schemas.openxmlformats.org/officeDocument/2006/relationships/hyperlink" Id="rId54" Target="https://doi.org/10.1073/pnas.2315722120" TargetMode="External" /><Relationship Type="http://schemas.openxmlformats.org/officeDocument/2006/relationships/hyperlink" Id="rId60" Target="https://doi.org/10.1086/724835" TargetMode="External" /><Relationship Type="http://schemas.openxmlformats.org/officeDocument/2006/relationships/hyperlink" Id="rId35" Target="https://doi.org/10.1086/728741" TargetMode="External" /><Relationship Type="http://schemas.openxmlformats.org/officeDocument/2006/relationships/hyperlink" Id="rId83" Target="https://doi.org/10.1093/jssam/smab038" TargetMode="External" /><Relationship Type="http://schemas.openxmlformats.org/officeDocument/2006/relationships/hyperlink" Id="rId40" Target="https://doi.org/10.1093/qje/qjw004" TargetMode="External" /><Relationship Type="http://schemas.openxmlformats.org/officeDocument/2006/relationships/hyperlink" Id="rId49" Target="https://doi.org/10.1093/ser/mwad033" TargetMode="External" /><Relationship Type="http://schemas.openxmlformats.org/officeDocument/2006/relationships/hyperlink" Id="rId78" Target="https://doi.org/10.1093/sf/sov075" TargetMode="External" /><Relationship Type="http://schemas.openxmlformats.org/officeDocument/2006/relationships/hyperlink" Id="rId73" Target="https://doi.org/10.1111/roiw.70002" TargetMode="External" /><Relationship Type="http://schemas.openxmlformats.org/officeDocument/2006/relationships/hyperlink" Id="rId38" Target="https://doi.org/10.1146/annurev-soc-060116-053331" TargetMode="External" /><Relationship Type="http://schemas.openxmlformats.org/officeDocument/2006/relationships/hyperlink" Id="rId94" Target="https://doi.org/10.1177/0002716213497452" TargetMode="External" /><Relationship Type="http://schemas.openxmlformats.org/officeDocument/2006/relationships/hyperlink" Id="rId66" Target="https://doi.org/10.1177/0003122417695791" TargetMode="External" /><Relationship Type="http://schemas.openxmlformats.org/officeDocument/2006/relationships/hyperlink" Id="rId51" Target="https://doi.org/10.1177/00031224251319001" TargetMode="External" /><Relationship Type="http://schemas.openxmlformats.org/officeDocument/2006/relationships/hyperlink" Id="rId57" Target="https://doi.org/10.1257/aer.20190553" TargetMode="External" /><Relationship Type="http://schemas.openxmlformats.org/officeDocument/2006/relationships/hyperlink" Id="rId76" Target="https://doi.org/10.1257/jep.27.3.79" TargetMode="External" /><Relationship Type="http://schemas.openxmlformats.org/officeDocument/2006/relationships/hyperlink" Id="rId64" Target="https://doi.org/10.1353/dem.2005.0036" TargetMode="External" /><Relationship Type="http://schemas.openxmlformats.org/officeDocument/2006/relationships/hyperlink" Id="rId69" Target="https://doi.org/10.3233/JEM-160421" TargetMode="External" /><Relationship Type="http://schemas.openxmlformats.org/officeDocument/2006/relationships/hyperlink" Id="rId32" Target="https://doi.org/10.3386/w33823" TargetMode="External" /><Relationship Type="http://schemas.openxmlformats.org/officeDocument/2006/relationships/hyperlink" Id="rId86" Target="https://doi.org/10.4324/9780203707425" TargetMode="External" /><Relationship Type="http://schemas.openxmlformats.org/officeDocument/2006/relationships/hyperlink" Id="rId89" Target="https://doi.org/doi.org/10.1146/annurev-soc-030320-115024" TargetMode="External" /><Relationship Type="http://schemas.openxmlformats.org/officeDocument/2006/relationships/hyperlink" Id="rId27" Target="https://fred.stlouisfed.org/series/SIPOVGINIUSA" TargetMode="External" /><Relationship Type="http://schemas.openxmlformats.org/officeDocument/2006/relationships/hyperlink" Id="rId72" Target="https://onlinelibrary.wiley.com/doi/abs/10.1111/roiw.70002" TargetMode="External" /><Relationship Type="http://schemas.openxmlformats.org/officeDocument/2006/relationships/hyperlink" Id="rId25" Target="https://psidonline.isr.umich.edu/data/weights/long_weight_19.pdf" TargetMode="External" /><Relationship Type="http://schemas.openxmlformats.org/officeDocument/2006/relationships/hyperlink" Id="rId56" Target="https://pubs.aeaweb.org/doi/10.1257/aer.20190553" TargetMode="External" /><Relationship Type="http://schemas.openxmlformats.org/officeDocument/2006/relationships/hyperlink" Id="rId88" Target="https://www-annualreviews-org.turing.library.northwestern.edu/content/journals/10.1146/annurev-soc-030320-115024" TargetMode="External" /><Relationship Type="http://schemas.openxmlformats.org/officeDocument/2006/relationships/hyperlink" Id="rId59" Target="https://www-journals-uchicago-edu.turing.library.northwestern.edu/doi/full/10.1086/724835" TargetMode="External" /><Relationship Type="http://schemas.openxmlformats.org/officeDocument/2006/relationships/hyperlink" Id="rId75" Target="https://www.aeaweb.org/articles?id=10.1257/jep.27.3.79" TargetMode="External" /><Relationship Type="http://schemas.openxmlformats.org/officeDocument/2006/relationships/hyperlink" Id="rId37" Target="https://www.annualreviews.org/doi/10.1146/annurev-soc-060116-053331" TargetMode="External" /><Relationship Type="http://schemas.openxmlformats.org/officeDocument/2006/relationships/hyperlink" Id="rId29" Target="https://www.bakerinstitute.org/research/decline-us-wealth-and-income-inequality" TargetMode="External" /><Relationship Type="http://schemas.openxmlformats.org/officeDocument/2006/relationships/hyperlink" Id="rId34" Target="https://www.journals.uchicago.edu/doi/10.1086/728741" TargetMode="External" /><Relationship Type="http://schemas.openxmlformats.org/officeDocument/2006/relationships/hyperlink" Id="rId80" Target="https://www.jstor.org/stable/10.7758/9781610447805" TargetMode="External" /><Relationship Type="http://schemas.openxmlformats.org/officeDocument/2006/relationships/hyperlink" Id="rId31" Target="https://www.nber.org/papers/w33823" TargetMode="External" /><Relationship Type="http://schemas.openxmlformats.org/officeDocument/2006/relationships/hyperlink" Id="rId82" Target="https://www.ncbi.nlm.nih.gov/pmc/articles/PMC9874997/" TargetMode="External" /><Relationship Type="http://schemas.openxmlformats.org/officeDocument/2006/relationships/hyperlink" Id="rId99" Target="https://www.pewresearch.org/social-trends/2011/07/26/wealth-gaps-rise-to-record-highs-between-whites-blacks-hispanics/" TargetMode="External" /><Relationship Type="http://schemas.openxmlformats.org/officeDocument/2006/relationships/hyperlink" Id="rId53" Target="https://www.pnas.org/doi/10.1073/pnas.2315722120" TargetMode="External" /><Relationship Type="http://schemas.openxmlformats.org/officeDocument/2006/relationships/hyperlink" Id="rId91"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3524-011-0014-7" TargetMode="External" /><Relationship Type="http://schemas.openxmlformats.org/officeDocument/2006/relationships/hyperlink" Id="rId97" Target="https://doi.org/10.1007/s13524-014-0296-7" TargetMode="External" /><Relationship Type="http://schemas.openxmlformats.org/officeDocument/2006/relationships/hyperlink" Id="rId45" Target="https://doi.org/10.1007/s13524-018-0719-y" TargetMode="External" /><Relationship Type="http://schemas.openxmlformats.org/officeDocument/2006/relationships/hyperlink" Id="rId62" Target="https://doi.org/10.1007/s13524-019-00772-8" TargetMode="External" /><Relationship Type="http://schemas.openxmlformats.org/officeDocument/2006/relationships/hyperlink" Id="rId92" Target="https://doi.org/10.1016/j.ssmph.2020.100564" TargetMode="External" /><Relationship Type="http://schemas.openxmlformats.org/officeDocument/2006/relationships/hyperlink" Id="rId43" Target="https://doi.org/10.1037/11282-004" TargetMode="External" /><Relationship Type="http://schemas.openxmlformats.org/officeDocument/2006/relationships/hyperlink" Id="rId54" Target="https://doi.org/10.1073/pnas.2315722120" TargetMode="External" /><Relationship Type="http://schemas.openxmlformats.org/officeDocument/2006/relationships/hyperlink" Id="rId60" Target="https://doi.org/10.1086/724835" TargetMode="External" /><Relationship Type="http://schemas.openxmlformats.org/officeDocument/2006/relationships/hyperlink" Id="rId35" Target="https://doi.org/10.1086/728741" TargetMode="External" /><Relationship Type="http://schemas.openxmlformats.org/officeDocument/2006/relationships/hyperlink" Id="rId83" Target="https://doi.org/10.1093/jssam/smab038" TargetMode="External" /><Relationship Type="http://schemas.openxmlformats.org/officeDocument/2006/relationships/hyperlink" Id="rId40" Target="https://doi.org/10.1093/qje/qjw004" TargetMode="External" /><Relationship Type="http://schemas.openxmlformats.org/officeDocument/2006/relationships/hyperlink" Id="rId49" Target="https://doi.org/10.1093/ser/mwad033" TargetMode="External" /><Relationship Type="http://schemas.openxmlformats.org/officeDocument/2006/relationships/hyperlink" Id="rId78" Target="https://doi.org/10.1093/sf/sov075" TargetMode="External" /><Relationship Type="http://schemas.openxmlformats.org/officeDocument/2006/relationships/hyperlink" Id="rId73" Target="https://doi.org/10.1111/roiw.70002" TargetMode="External" /><Relationship Type="http://schemas.openxmlformats.org/officeDocument/2006/relationships/hyperlink" Id="rId38" Target="https://doi.org/10.1146/annurev-soc-060116-053331" TargetMode="External" /><Relationship Type="http://schemas.openxmlformats.org/officeDocument/2006/relationships/hyperlink" Id="rId94" Target="https://doi.org/10.1177/0002716213497452" TargetMode="External" /><Relationship Type="http://schemas.openxmlformats.org/officeDocument/2006/relationships/hyperlink" Id="rId66" Target="https://doi.org/10.1177/0003122417695791" TargetMode="External" /><Relationship Type="http://schemas.openxmlformats.org/officeDocument/2006/relationships/hyperlink" Id="rId51" Target="https://doi.org/10.1177/00031224251319001" TargetMode="External" /><Relationship Type="http://schemas.openxmlformats.org/officeDocument/2006/relationships/hyperlink" Id="rId57" Target="https://doi.org/10.1257/aer.20190553" TargetMode="External" /><Relationship Type="http://schemas.openxmlformats.org/officeDocument/2006/relationships/hyperlink" Id="rId76" Target="https://doi.org/10.1257/jep.27.3.79" TargetMode="External" /><Relationship Type="http://schemas.openxmlformats.org/officeDocument/2006/relationships/hyperlink" Id="rId64" Target="https://doi.org/10.1353/dem.2005.0036" TargetMode="External" /><Relationship Type="http://schemas.openxmlformats.org/officeDocument/2006/relationships/hyperlink" Id="rId69" Target="https://doi.org/10.3233/JEM-160421" TargetMode="External" /><Relationship Type="http://schemas.openxmlformats.org/officeDocument/2006/relationships/hyperlink" Id="rId32" Target="https://doi.org/10.3386/w33823" TargetMode="External" /><Relationship Type="http://schemas.openxmlformats.org/officeDocument/2006/relationships/hyperlink" Id="rId86" Target="https://doi.org/10.4324/9780203707425" TargetMode="External" /><Relationship Type="http://schemas.openxmlformats.org/officeDocument/2006/relationships/hyperlink" Id="rId89" Target="https://doi.org/doi.org/10.1146/annurev-soc-030320-115024" TargetMode="External" /><Relationship Type="http://schemas.openxmlformats.org/officeDocument/2006/relationships/hyperlink" Id="rId27" Target="https://fred.stlouisfed.org/series/SIPOVGINIUSA" TargetMode="External" /><Relationship Type="http://schemas.openxmlformats.org/officeDocument/2006/relationships/hyperlink" Id="rId72" Target="https://onlinelibrary.wiley.com/doi/abs/10.1111/roiw.70002" TargetMode="External" /><Relationship Type="http://schemas.openxmlformats.org/officeDocument/2006/relationships/hyperlink" Id="rId25" Target="https://psidonline.isr.umich.edu/data/weights/long_weight_19.pdf" TargetMode="External" /><Relationship Type="http://schemas.openxmlformats.org/officeDocument/2006/relationships/hyperlink" Id="rId56" Target="https://pubs.aeaweb.org/doi/10.1257/aer.20190553" TargetMode="External" /><Relationship Type="http://schemas.openxmlformats.org/officeDocument/2006/relationships/hyperlink" Id="rId88" Target="https://www-annualreviews-org.turing.library.northwestern.edu/content/journals/10.1146/annurev-soc-030320-115024" TargetMode="External" /><Relationship Type="http://schemas.openxmlformats.org/officeDocument/2006/relationships/hyperlink" Id="rId59" Target="https://www-journals-uchicago-edu.turing.library.northwestern.edu/doi/full/10.1086/724835" TargetMode="External" /><Relationship Type="http://schemas.openxmlformats.org/officeDocument/2006/relationships/hyperlink" Id="rId75" Target="https://www.aeaweb.org/articles?id=10.1257/jep.27.3.79" TargetMode="External" /><Relationship Type="http://schemas.openxmlformats.org/officeDocument/2006/relationships/hyperlink" Id="rId37" Target="https://www.annualreviews.org/doi/10.1146/annurev-soc-060116-053331" TargetMode="External" /><Relationship Type="http://schemas.openxmlformats.org/officeDocument/2006/relationships/hyperlink" Id="rId29" Target="https://www.bakerinstitute.org/research/decline-us-wealth-and-income-inequality" TargetMode="External" /><Relationship Type="http://schemas.openxmlformats.org/officeDocument/2006/relationships/hyperlink" Id="rId34" Target="https://www.journals.uchicago.edu/doi/10.1086/728741" TargetMode="External" /><Relationship Type="http://schemas.openxmlformats.org/officeDocument/2006/relationships/hyperlink" Id="rId80" Target="https://www.jstor.org/stable/10.7758/9781610447805" TargetMode="External" /><Relationship Type="http://schemas.openxmlformats.org/officeDocument/2006/relationships/hyperlink" Id="rId31" Target="https://www.nber.org/papers/w33823" TargetMode="External" /><Relationship Type="http://schemas.openxmlformats.org/officeDocument/2006/relationships/hyperlink" Id="rId82" Target="https://www.ncbi.nlm.nih.gov/pmc/articles/PMC9874997/" TargetMode="External" /><Relationship Type="http://schemas.openxmlformats.org/officeDocument/2006/relationships/hyperlink" Id="rId99" Target="https://www.pewresearch.org/social-trends/2011/07/26/wealth-gaps-rise-to-record-highs-between-whites-blacks-hispanics/" TargetMode="External" /><Relationship Type="http://schemas.openxmlformats.org/officeDocument/2006/relationships/hyperlink" Id="rId53" Target="https://www.pnas.org/doi/10.1073/pnas.2315722120" TargetMode="External" /><Relationship Type="http://schemas.openxmlformats.org/officeDocument/2006/relationships/hyperlink" Id="rId91"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2026-10-29T17:14:45Z</dcterms:created>
  <dcterms:modified xsi:type="dcterms:W3CDTF">2026-10-29T17:14:45Z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October 29,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