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2.pdf" ContentType="application/pdf"/>
  <Override PartName="/word/media/rId29.png" ContentType="image/png"/>
  <Override PartName="/word/media/rId32.png" ContentType="image/png"/>
  <Override PartName="/word/media/rId35.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6.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Names</w:t>
      </w:r>
    </w:p>
    <w:p>
      <w:pPr>
        <w:pStyle w:val="Date"/>
      </w:pPr>
      <w:r>
        <w:t xml:space="preserve">March 12, 2026</w:t>
      </w:r>
    </w:p>
    <w:bookmarkStart w:id="9" w:name="abstract"/>
    <w:p>
      <w:pPr>
        <w:pStyle w:val="Heading1"/>
      </w:pPr>
      <w:r>
        <w:t xml:space="preserve">Abstract</w:t>
      </w:r>
    </w:p>
    <w:p>
      <w:pPr>
        <w:pStyle w:val="FirstParagraph"/>
      </w:pPr>
      <w:r>
        <w:t xml:space="preserve">Most macro-level studies of inequality treat households as the primary unit of analysis.</w:t>
      </w:r>
      <w:r>
        <w:t xml:space="preserve"> </w:t>
      </w:r>
      <w:r>
        <w:t xml:space="preserve">As a result, we know far less about inequality across extended families. Building on</w:t>
      </w:r>
      <w:r>
        <w:t xml:space="preserve"> </w:t>
      </w:r>
      <w:r>
        <w:t xml:space="preserve">research highlighting the importance of intergenerational family ties, we examine income</w:t>
      </w:r>
      <w:r>
        <w:t xml:space="preserve"> </w:t>
      </w:r>
      <w:r>
        <w:t xml:space="preserve">and wealth inequality in the United States using both households and intergenerational</w:t>
      </w:r>
      <w:r>
        <w:t xml:space="preserve"> </w:t>
      </w:r>
      <w:r>
        <w:t xml:space="preserve">extended families, which we term clans, as units of analysis. Using data from the Panel</w:t>
      </w:r>
      <w:r>
        <w:t xml:space="preserve"> </w:t>
      </w:r>
      <w:r>
        <w:t xml:space="preserve">Study of Income Dynamics (PSID), we calculate Gini coefficients for income and wealth at</w:t>
      </w:r>
      <w:r>
        <w:t xml:space="preserve"> </w:t>
      </w:r>
      <w:r>
        <w:t xml:space="preserve">the household and clan levels from 1969 to 2023. We find that inequality is substantially</w:t>
      </w:r>
      <w:r>
        <w:t xml:space="preserve"> </w:t>
      </w:r>
      <w:r>
        <w:t xml:space="preserve">lower when measured at the clan rather than the household level. The income Gini declines</w:t>
      </w:r>
      <w:r>
        <w:t xml:space="preserve"> </w:t>
      </w:r>
      <w:r>
        <w:t xml:space="preserve">by 0.12 points on average (from 0.43 to 0.31),</w:t>
      </w:r>
      <w:r>
        <w:t xml:space="preserve"> </w:t>
      </w:r>
      <w:r>
        <w:t xml:space="preserve">a 28.34% reduction, while the wealth Gini declines by</w:t>
      </w:r>
      <w:r>
        <w:t xml:space="preserve"> </w:t>
      </w:r>
      <w:r>
        <w:t xml:space="preserve">0.16 points on average (from 0.82 to 0.66), or about</w:t>
      </w:r>
      <w:r>
        <w:t xml:space="preserve"> </w:t>
      </w:r>
      <w:r>
        <w:t xml:space="preserve">19.6%. Inequality between households is not only higher than</w:t>
      </w:r>
      <w:r>
        <w:t xml:space="preserve"> </w:t>
      </w:r>
      <w:r>
        <w:t xml:space="preserve">inequality between clans on average but consistently higher across all survey years</w:t>
      </w:r>
      <w:r>
        <w:t xml:space="preserve"> </w:t>
      </w:r>
      <w:r>
        <w:t xml:space="preserve">for both income and wealth. Over time, trends in household and clan inequality are similar</w:t>
      </w:r>
      <w:r>
        <w:t xml:space="preserve"> </w:t>
      </w:r>
      <w:r>
        <w:t xml:space="preserve">for wealth, but diverge for income: clan-level income inequality has increased more</w:t>
      </w:r>
      <w:r>
        <w:t xml:space="preserve"> </w:t>
      </w:r>
      <w:r>
        <w:t xml:space="preserve">rapidly than household-level income inequality</w:t>
      </w:r>
      <w:r>
        <w:t xml:space="preserve"> </w:t>
      </w:r>
      <w:r>
        <w:t xml:space="preserve">(20.61% vs. 15.98% since 1969). Together, these findings</w:t>
      </w:r>
      <w:r>
        <w:t xml:space="preserve"> </w:t>
      </w:r>
      <w:r>
        <w:t xml:space="preserve">demonstrate the importance of considering extended families—in addition to</w:t>
      </w:r>
      <w:r>
        <w:t xml:space="preserve"> </w:t>
      </w:r>
      <w:r>
        <w:t xml:space="preserve">households—when exploring contemporary patterns of inequality in the U.S.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across households, overlooking the role of extended families in shaping inequality.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[15]</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intergenerational extended families—what we refer to as</w:t>
      </w:r>
      <w:r>
        <w:t xml:space="preserve"> </w:t>
      </w:r>
      <w:r>
        <w:t xml:space="preserve">“clans”</w:t>
      </w:r>
      <w:r>
        <w:t xml:space="preserve"> </w:t>
      </w:r>
      <w:r>
        <w:t xml:space="preserve">[16]</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 level depends on the relationship between clan size, the overall distribution of resources, and the selection of households into clans.</w:t>
      </w:r>
    </w:p>
    <w:bookmarkEnd w:id="12"/>
    <w:bookmarkStart w:id="25" w:name="results"/>
    <w:p>
      <w:pPr>
        <w:pStyle w:val="Heading1"/>
      </w:pP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0.12 points on average (from 0.43 to 0.31), a 28.34% decline, while the wealth Gini falls by 0.16 points on average (from 0.82 to 0.66), about a 19.6% decrease. Taken together, these results indicate that both wealth and income inequality are higher when measured using households versus extended family units.</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(clans). Weighted mean wealth: $490,457 (households), $1,884,939 (clans; includes home equity). Income Gini changed by 16.0% for households (0.41 in 1969 to 0.48 in 2023) and by 20.6% for clans (0.30 to 0.36). Wealth Gini changed by 4.5% for households (0.78 in 1984 to 0.81 in 2023) and by 4.4% for clans (0.61 to 0.64). On average across all years, the income Gini is 0.123 higher for households than clans; the wealth Gini is 0.160 higher. Solid lines = households; dotted lines = clans.</w:t>
      </w: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17]</w:t>
      </w:r>
      <w:r>
        <w:t xml:space="preserve">. As such, wealth reflects long-run inequality and intergenerationally accumulated advantages and disadvantages.</w:t>
      </w:r>
    </w:p>
    <w:p>
      <w:pPr>
        <w:pStyle w:val="BodyText"/>
      </w:pPr>
      <w:r>
        <w:t xml:space="preserve">Changes over time in household and clan inequality are similar for wealth, but not for income. Income inequality measured at the household level rose by 16.0% from 0.41 in 1969 to 0.48 in 2023. Income inequality measured at the clan level, meanwhile, rose 20.6% from 0.30 to 0.36 over the same period. As both measurements are trending upwards, this means that clan income inequality is increasing at a faster pace than household income inequality. If we were to project these trends linearly into the future, by 705 household and clan income inequality would appear identical. Put another way, these trends reflect a narrowing of income inequality between households and clans over time: in 1969 the gap between the two was 0.12. By 2023 it had decreased to 0.12. But the gap is still far from closing.</w:t>
      </w:r>
    </w:p>
    <w:p>
      <w:pPr>
        <w:pStyle w:val="BodyText"/>
      </w:pPr>
      <w:r>
        <w:t xml:space="preserve">Unlike income inequality, the gap between household and clan wealth inequality has remained remarkably consistent. Wealth inequality typically exhibits greater temporal stability, whereas income inequality is more dynamic, because income is a flow that responds more quickly to labor-market conditions and policy shifts. Household wealth Gini has increased only slightly from 0.78 in 1984 to 0.81 in 2023, a 4.5% increase. At the clan level, it rose from 0.61 to 0.64 over the same period, which also constitutes a 4.4% increase. In other words, the clan-household gap in wealth inequality as measured by the Gini coefficient has remained stable, moving from 0.17 in 1984 to 0.17 in 2023. These trends should be interpreted as inequality that excludes the wealthy. The PSID does not adequately sample the top of the wealth distribution</w:t>
      </w:r>
      <w:r>
        <w:t xml:space="preserve"> </w:t>
      </w:r>
      <w:r>
        <w:t xml:space="preserve">[18]</w:t>
      </w:r>
      <w:r>
        <w:t xml:space="preserve">, which drives much of the inequality in wealth</w:t>
      </w:r>
      <w:r>
        <w:t xml:space="preserve"> </w:t>
      </w:r>
      <w:r>
        <w:t xml:space="preserve">[18, 19]</w:t>
      </w:r>
      <w:r>
        <w:t xml:space="preserv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at the 95th percentile of the income distribution.</w:t>
      </w:r>
    </w:p>
    <w:p>
      <w:pPr>
        <w:pStyle w:val="BodyText"/>
      </w:pPr>
      <w:r>
        <w:drawing>
          <wp:inline>
            <wp:extent cx="5334000" cy="4191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clan weights. Wealth includes home equity. Solid lines = households; dotted lines = clans. Income in 1984: weighted mean (median) $27,647 ($22,520) for households, $85,338 ($71,914) for clans. Income in 2023: $297,591 ($196,196) for households, $1,487,913 ($1,059,244) for clans.</w:t>
      </w: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How the unit of analysis affects the racial wealth gap</w:t>
      </w:r>
      <w:r>
        <w:t xml:space="preserve"> </w:t>
      </w:r>
      <w:r>
        <w:t xml:space="preserve">Scholars document a persistent racial wealth gap between Black and non-Black households</w:t>
      </w:r>
      <w:r>
        <w:t xml:space="preserve"> </w:t>
      </w:r>
      <w:r>
        <w:t xml:space="preserve">[5, 20]</w:t>
      </w:r>
      <w:r>
        <w:t xml:space="preserve">, while also highlighting the unique role of kinship networks in shaping economic outcomes by race</w:t>
      </w:r>
      <w:r>
        <w:t xml:space="preserve"> </w:t>
      </w:r>
      <w:r>
        <w:t xml:space="preserve">[21, 22]</w:t>
      </w:r>
      <w:r>
        <w:t xml:space="preserve">. Given these findings, one might expect the choice of unit of analysis to affect inequality estimates differently across racial groups. While there is higher inequality among Black households and clans overall, the direction of the household–clan difference in Gini coefficients is consistent across racial groups (see Appendix C1).</w:t>
      </w:r>
    </w:p>
    <w:p>
      <w:pPr>
        <w:pStyle w:val="BodyText"/>
      </w:pPr>
      <w:r>
        <w:t xml:space="preserve">Measuring inequality at the clan-level reveals less inequality across racial subgroups. However, using clans as the unit of analysis does not eliminate racial wealth gaps between groups. Table 4 shows racial wealth gaps at both the household and clans levels for mean and median wealth. When using the mean, Black households hold 19 cents for every dollar of wealth held by non-Black households, and Black clans hold 18 cents for every dollar held by non-Black clans. A similar pattern appears when examining median wealth among clans, where Black clans hold 19 cents for every dollar held by non-Black clans. However, the median reveals an even starker disparity at the household level: the typical Black household holds only 9 cents for every dollar of wealth held by the typical non-Black household. These patterns suggest that while Black households hold substantially less wealth on average, wealth among them is also distributed with greater inequality. At both levels, inequality is about the same or lower between clans than between households, though Black clans hold considerably less wealth than non-Black ones.</w:t>
      </w:r>
    </w:p>
    <w:p>
      <w:pPr>
        <w:pStyle w:val="BodyText"/>
      </w:pPr>
      <w:r>
        <w:t xml:space="preserve">Examining the share of households and clans with zero wealth further illustrates the racial wealth gap at the household and clan levels and how this inequality appears lesser at the clan-level. Following</w:t>
      </w:r>
      <w:r>
        <w:t xml:space="preserve"> </w:t>
      </w:r>
      <w:r>
        <w:t xml:space="preserve">[20]</w:t>
      </w:r>
      <w:r>
        <w:t xml:space="preserve">, 32.66% of Black households report no wealth, compared to just 13.40% of non-Black households. At the clan level, however, the share with zero wealth drops considerably. Non-Black clans exhibit extremely low levels of zero wealth, with only 3.16% reporting none, suggesting that most non-Black individuals have some wealth within their extended family networks. Black clans also experience a decline in zero-wealth, falling to 10.07%. In percentage terms, the transition from the household to clan level represents a 69.2% reduction in zero-wealth for Black households and a 76.4% reduction for non-Black households. As a result, the extent of inequality appears less stark when wealth is considered at the clan level rather than at the household level, though the decrease in inequality is higher for non-Black clans.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 Mean and Median Wealth by Race: Households vs.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Mean Wealth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Mean Wealth Clan</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Wealth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Wealth Clan</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HH with 0 Wealth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Clans with 0 Wealth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Black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89,761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147,662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6,908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58,326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10.1%</w:t>
            </w:r>
          </w:p>
        </w:tc>
      </w:tr>
      <w:tr>
        <w:trPr>
          <w:trHeight w:val="360" w:hRule="auto"/>
        </w:trPr>
        body2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Non-Black</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476,552</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818,198</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79,216</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306,988</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13.4%</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3.2%</w:t>
            </w:r>
          </w:p>
        </w:tc>
      </w:tr>
      <w:tr>
        <w:trPr>
          <w:trHeight w:val="360" w:hRule="auto"/>
        </w:trPr>
        body3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Ratio</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0.19</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0.18</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0.09</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0.19</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2.44</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3.18</w:t>
            </w:r>
          </w:p>
        </w:tc>
      </w:tr>
    </w:tbl>
    <w:p>
      <w:pPr>
        <w:pStyle w:val="BodyText"/>
      </w:pPr>
      <w:r>
        <w:rPr>
          <w:i/>
          <w:iCs/>
        </w:rPr>
        <w:t xml:space="preserve">Note: All values are weighted using PSID family and clan weights and pooled across all years. Income and wealth are size-standardised (divided by household or clan size). Wealth includes home equity.</w:t>
      </w:r>
      <w:r>
        <w:rPr>
          <w:i/>
          <w:iCs/>
        </w:rPr>
        <w:t xml:space="preserve"> </w:t>
      </w:r>
      <w:r>
        <w:rPr>
          <w:i/>
          <w:iCs/>
        </w:rPr>
        <w:t xml:space="preserve">‘0 Wealth’</w:t>
      </w:r>
      <w:r>
        <w:rPr>
          <w:i/>
          <w:iCs/>
        </w:rPr>
        <w:t xml:space="preserve"> </w:t>
      </w:r>
      <w:r>
        <w:rPr>
          <w:i/>
          <w:iCs/>
        </w:rPr>
        <w:t xml:space="preserve">indicates wealth &lt;= 0. Ratio row shows Black / Non-Black.</w:t>
      </w:r>
    </w:p>
    <w:p>
      <w:pPr>
        <w:pStyle w:val="BodyText"/>
      </w:pPr>
      <w:r>
        <w:rPr>
          <w:i/>
          <w:iCs/>
        </w:rPr>
        <w:t xml:space="preserve">We are really talking about the racial wealth, not income, gap. It would probably make sense to exclude the table below but it is here in case you want to see it. The race ratio for clans is</w:t>
      </w:r>
      <w:r>
        <w:rPr>
          <w:i/>
          <w:iCs/>
        </w:rPr>
        <w:t xml:space="preserve"> </w:t>
      </w:r>
      <w:r>
        <w:rPr>
          <w:b/>
          <w:bCs/>
          <w:i/>
          <w:iCs/>
        </w:rPr>
        <w:t xml:space="preserve">worse</w:t>
      </w:r>
      <w:r>
        <w:rPr>
          <w:i/>
          <w:iCs/>
        </w:rPr>
        <w:t xml:space="preserve"> </w:t>
      </w:r>
      <w:r>
        <w:rPr>
          <w:i/>
          <w:iCs/>
        </w:rPr>
        <w:t xml:space="preserve">than it is for households for income.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B. Mean and Median Income by Race: Households vs.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Mean Income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Mean Income Clan</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Income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Income Clan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Black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36,205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60,000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17,621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36,562</w:t>
            </w:r>
          </w:p>
        </w:tc>
      </w:tr>
      <w:tr>
        <w:trPr>
          <w:trHeight w:val="360" w:hRule="auto"/>
        </w:trPr>
        body2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Non-Black</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56,600</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108,522</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29,233</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62,916</w:t>
            </w:r>
          </w:p>
        </w:tc>
      </w:tr>
      <w:tr>
        <w:trPr>
          <w:trHeight w:val="360" w:hRule="auto"/>
        </w:trPr>
        body3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Ratio</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0.64</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0.55</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0.60</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0.58</w:t>
            </w:r>
          </w:p>
        </w:tc>
      </w:tr>
    </w:tbl>
    <w:p>
      <w:pPr>
        <w:pStyle w:val="BodyText"/>
      </w:pPr>
      <w:r>
        <w:rPr>
          <w:i/>
          <w:iCs/>
        </w:rPr>
        <w:t xml:space="preserve">Below are two figures that show the information in the tables. These (or a combination of these) could be used instead of tables. I (AEB) found the tables easier to interpret, so that’s what I took a stab at first.</w:t>
      </w:r>
    </w:p>
    <w:p>
      <w:pPr>
        <w:pStyle w:val="BodyText"/>
      </w:pPr>
      <w:r>
        <w:drawing>
          <wp:inline>
            <wp:extent cx="5334000" cy="4191000"/>
            <wp:effectExtent b="0" l="0" r="0" t="0"/>
            <wp:docPr descr="" title="" id="20" name="Picture"/>
            <a:graphic>
              <a:graphicData uri="http://schemas.openxmlformats.org/drawingml/2006/picture">
                <pic:pic>
                  <pic:nvPicPr>
                    <pic:cNvPr descr="../9_figures/output/figure3.pdf" id="21" name="Picture"/>
                    <pic:cNvPicPr>
                      <a:picLocks noChangeArrowheads="1" noChangeAspect="1"/>
                    </pic:cNvPicPr>
                  </pic:nvPicPr>
                  <pic:blipFill>
                    <a:blip r:embed="rId1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weighted mean income (Panel A) or wealth (Panel B) for Black relative to Non-Black households and clans. Weighted mean income for Black HH is $36,205, $56,600 for Non-Black HH, $60,000 for Black clans, and $108,522 for Non-Black clans. The income ratio changed by -5.2% for households (0.65 in 1969 to 0.62 in 2023) and -7.8% for clans (0.63 to 0.58). Weighted mean wealth for Black HH is $89,761, $476,552 for Non-Black HH, $147,662 for Black clans, and $818,198 for Non-Black clans (includes home equity). The wealth ratio changed by 1.0% for households (0.18 in 1984 to 0.18 in 2023) and -13.7% for clans (0.23 to 0.20). On average across all years, the income ratio is -0.006 lower for households than clans, and the wealth ratio is 0.014 higher for households than clans. Solid lines = households; dotted lines = clans.</w:t>
      </w:r>
    </w:p>
    <w:p>
      <w:pPr>
        <w:pStyle w:val="BodyText"/>
      </w:pPr>
      <w:r>
        <w:drawing>
          <wp:inline>
            <wp:extent cx="5334000" cy="4191000"/>
            <wp:effectExtent b="0" l="0" r="0" t="0"/>
            <wp:docPr descr="" title="" id="23" name="Picture"/>
            <a:graphic>
              <a:graphicData uri="http://schemas.openxmlformats.org/drawingml/2006/picture">
                <pic:pic>
                  <pic:nvPicPr>
                    <pic:cNvPr descr="../9_figures/output/figure4.pdf" id="24" name="Picture"/>
                    <pic:cNvPicPr>
                      <a:picLocks noChangeArrowheads="1" noChangeAspect="1"/>
                    </pic:cNvPicPr>
                  </pic:nvPicPr>
                  <pic:blipFill>
                    <a:blip r:embed="rId22"/>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weighted median income (Panel A) or wealth (Panel B) for Black relative to Non-Black households and clans. The weighted median income for Black HHs is $17,621, $29,233 for Non-Black HHs, $36,562 for Black clans, and $62,916 for Non-Black clans. The income ratio changed by 5.8% for households (0.59 in 1969 to 0.62 in 2023) and 0.2% for clans (0.57 to 0.57). Weighted median wealth for Black HHs is $6,908, $79,216 for Non-Black HHs, $58,326 for Black clans, and $306,988 for Non-Black clans (includes home equity). The wealth ratio changed by -4.6% for households (0.07 in 1984 to 0.07 in 2023) and 7.5% for clans (0.20 to 0.22). On average across all years, the income ratio is -0.044 lower for households than clans, and the wealth ratio is -0.112 lower for households than clans. Solid lines = households; dotted lines = clans.</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robust across race, different inclusion criteria for income and wealth measures, different samples, alternative measures of inequality, and when adjusting for household and clan size. Results from sensitivity analyses are available in Appendix C and D.</w:t>
      </w:r>
      <w:r>
        <w:t xml:space="preserve"> </w:t>
      </w:r>
      <w:r>
        <w:rPr>
          <w:i/>
          <w:iCs/>
        </w:rPr>
        <w:t xml:space="preserve">This mini-section should change or be deleted.</w:t>
      </w:r>
    </w:p>
    <w:bookmarkEnd w:id="25"/>
    <w:bookmarkStart w:id="26"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in the literature) rather than a collection of clans. Income inequality was about 6 points higher for households than for clans, and wealth inequality was about 12 points higher, indicating fewer disparities on average between extended family networks than between households. In other words, an individual’s extended family was more economically similar on average to other extended families than their household was to other households. Thus, claims that current estimates, which focus on households, underestimate inequality</w:t>
      </w:r>
      <w:r>
        <w:t xml:space="preserve"> </w:t>
      </w:r>
      <w:r>
        <w:t xml:space="preserve">[10]</w:t>
      </w:r>
      <w:r>
        <w:t xml:space="preserve"> </w:t>
      </w:r>
      <w:r>
        <w:t xml:space="preserve">may be exaggerated. Inequality between larger family units is lower than inequality between households.</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By contrast, trends in household and clan inequality were similar for wealth over time. This may reflect the cumulative nature of wealth, which is more durably concentrated within kinship networks</w:t>
      </w:r>
      <w:r>
        <w:t xml:space="preserve"> </w:t>
      </w:r>
      <w:r>
        <w:t xml:space="preserve">[11, 13, 23]</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Differences in historical patterns between households and clans may reflect changes in mobility over time. Mechanically, lower mobility produces greater homogeneity within clans over time, whereas higher mobility has the opposite effect. Conversely, inequality across extended families may build atop inequality across households in reducing mobility. If resources and constraints are transmitted within clans then rising inequality may further reduce mobility for those in disadvantaged households. In other words, the prevalent concern that high inequality undermines intergenerational mobility</w:t>
      </w:r>
      <w:r>
        <w:t xml:space="preserve"> </w:t>
      </w:r>
      <w:r>
        <w:t xml:space="preserve">[24–26]</w:t>
      </w:r>
      <w:r>
        <w:t xml:space="preserve"> </w:t>
      </w:r>
      <w:r>
        <w:t xml:space="preserve">may operate on both the household and clan levels, fueling future differences in inequality between households and clans. 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6"/>
    <w:bookmarkStart w:id="28"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clans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[18]</w:t>
      </w:r>
      <w:r>
        <w:t xml:space="preserve">.</w:t>
      </w:r>
    </w:p>
    <w:p>
      <w:pPr>
        <w:pStyle w:val="BodyText"/>
      </w:pPr>
      <w:r>
        <w:t xml:space="preserve">The PSID facilitates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Additionally, although all households belong to a clan, not all extended family members are observed in the PSID in every year. In some cases (especially in earlier years)</w:t>
      </w:r>
      <w:r>
        <w:rPr>
          <w:rStyle w:val="FootnoteReference"/>
        </w:rPr>
        <w:footnoteReference w:id="27"/>
      </w:r>
      <w:r>
        <w:t xml:space="preserve">, PSID clans consist of only a single observed household, rendering household and clan-level measures identical. These observations are excluded from the main analyses because they do not capture extended family dynamics and are a result of survey limitations, rather than social reality. Including these single household clans reduces the household–clan inequality gap for income and wealth but does not eliminate it (see Appendix C2).</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122,069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17, 23]</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 As a sensitivity analysis, we compare Gini coefficients for wealth measures that exclude home equity (see Appendix C3). When home equity is excluded, estimated inequality is lower at both the household and clan level, but the difference between household and clan-level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[23, 27]</w:t>
      </w:r>
      <w:r>
        <w:t xml:space="preserve">. All income and wealth values are adjusted for inflation. Additionally, analyses set negative values of income and wealth to zero so that Gini coefficients are interpretable by remaining in the 0 to 1 range. When negative values are included, Gini coefficents are about the same (see Appendix C4).</w:t>
      </w:r>
    </w:p>
    <w:p>
      <w:pPr>
        <w:pStyle w:val="BodyText"/>
      </w:pPr>
      <w:r>
        <w:t xml:space="preserve">To construct clan-level measures, we aggregate household income and wealth for all households in a clan within each clan-year. Measures are divided by the number of people in a household or number of households within a clan to standardize by household and clan size, respectively. Adjusting for size descreased inequality and magnifies the difference between household and clan Gini coefficients. Nonetheless, less inequality is estimated when clans are the unit of analysis whether income and wealth are adjusted for size or not (see Appendix C5).</w:t>
      </w:r>
    </w:p>
    <w:p>
      <w:pPr>
        <w:pStyle w:val="BodyText"/>
      </w:pPr>
      <w:r>
        <w:t xml:space="preserve">All results presented are weighted. Using weights does not meaningfully change results (see Appendix C6).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[28]</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[29–31]</w:t>
      </w:r>
      <w:r>
        <w:t xml:space="preserve">. To assess whether our results depend on where inequality is concentrated along the distribution, we also examine two related measures, referred to as the Gini’s “nuclear family”</w:t>
      </w:r>
      <w:r>
        <w:t xml:space="preserve"> </w:t>
      </w:r>
      <w:r>
        <w:t xml:space="preserve">[32]</w:t>
      </w:r>
      <w:r>
        <w:t xml:space="preserve">. Across all measures, we find that estimated inequality is consistently lower when measured at the clan level than at the household level for both income and wealth (see Appendix G).</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B).</w:t>
      </w:r>
    </w:p>
    <w:bookmarkEnd w:id="28"/>
    <w:bookmarkStart w:id="40" w:name="appendix"/>
    <w:p>
      <w:pPr>
        <w:pStyle w:val="Heading1"/>
      </w:pPr>
      <w:r>
        <w:t xml:space="preserve">Appendix</w:t>
      </w:r>
    </w:p>
    <w:bookmarkStart w:id="38" w:name="appendix-a-simulating-gini-coefficients"/>
    <w:p>
      <w:pPr>
        <w:pStyle w:val="Heading2"/>
      </w:pP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30" name="Picture"/>
            <a:graphic>
              <a:graphicData uri="http://schemas.openxmlformats.org/drawingml/2006/picture">
                <pic:pic>
                  <pic:nvPicPr>
                    <pic:cNvPr descr="/Users/amanda/Desktop/clan_project/10_draft/output/write_files/figure-docx/appendix-a1-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33" name="Picture"/>
            <a:graphic>
              <a:graphicData uri="http://schemas.openxmlformats.org/drawingml/2006/picture">
                <pic:pic>
                  <pic:nvPicPr>
                    <pic:cNvPr descr="/Users/amanda/Desktop/clan_project/10_draft/output/write_files/figure-docx/appendix-a2-1.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6" name="Picture"/>
            <a:graphic>
              <a:graphicData uri="http://schemas.openxmlformats.org/drawingml/2006/picture">
                <pic:pic>
                  <pic:nvPicPr>
                    <pic:cNvPr descr="/Users/amanda/Desktop/clan_project/10_draft/output/write_files/figure-docx/appendix-a3-1.png" id="37" name="Picture"/>
                    <pic:cNvPicPr>
                      <a:picLocks noChangeArrowheads="1" noChangeAspect="1"/>
                    </pic:cNvPicPr>
                  </pic:nvPicPr>
                  <pic:blipFill>
                    <a:blip r:embed="rId35"/>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8"/>
    <w:bookmarkStart w:id="39"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33]</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[34, 35]</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bl>
    <w:bookmarkEnd w:id="39"/>
    <w:bookmarkEnd w:id="40"/>
    <w:bookmarkStart w:id="65" w:name="X1a48765accbb976c449929efb9c303c48aeac11"/>
    <w:p>
      <w:pPr>
        <w:pStyle w:val="Heading1"/>
      </w:pPr>
      <w:r>
        <w:t xml:space="preserve">Appendix C: Sensitivity Analyses — Gini Coefficients</w:t>
      </w:r>
    </w:p>
    <w:bookmarkStart w:id="44" w:name="X2af1039fa4a14e53aec9c9fa061f4e8992f7595"/>
    <w:p>
      <w:pPr>
        <w:pStyle w:val="Heading2"/>
      </w:pPr>
      <w:r>
        <w:t xml:space="preserve">Appendix C1: Gini Coefficients by Race Subgroup</w:t>
      </w:r>
    </w:p>
    <w:p>
      <w:pPr>
        <w:pStyle w:val="FirstParagraph"/>
      </w:pPr>
      <w:r>
        <w:drawing>
          <wp:inline>
            <wp:extent cx="5334000" cy="4191000"/>
            <wp:effectExtent b="0" l="0" r="0" t="0"/>
            <wp:docPr descr="" title="" id="42" name="Picture"/>
            <a:graphic>
              <a:graphicData uri="http://schemas.openxmlformats.org/drawingml/2006/picture">
                <pic:pic>
                  <pic:nvPicPr>
                    <pic:cNvPr descr="/Users/amanda/Desktop/clan_project/10_draft/output/write_files/figure-docx/appendix-c1-1.png" id="43" name="Picture"/>
                    <pic:cNvPicPr>
                      <a:picLocks noChangeArrowheads="1" noChangeAspect="1"/>
                    </pic:cNvPicPr>
                  </pic:nvPicPr>
                  <pic:blipFill>
                    <a:blip r:embed="rId41"/>
                    <a:stretch>
                      <a:fillRect/>
                    </a:stretch>
                  </pic:blipFill>
                  <pic:spPr bwMode="auto">
                    <a:xfrm>
                      <a:off x="0" y="0"/>
                      <a:ext cx="5334000" cy="4191000"/>
                    </a:xfrm>
                    <a:prstGeom prst="rect">
                      <a:avLst/>
                    </a:prstGeom>
                    <a:noFill/>
                    <a:ln w="9525">
                      <a:noFill/>
                      <a:headEnd/>
                      <a:tailEnd/>
                    </a:ln>
                  </pic:spPr>
                </pic:pic>
              </a:graphicData>
            </a:graphic>
          </wp:inline>
        </w:drawing>
      </w:r>
    </w:p>
    <w:bookmarkEnd w:id="44"/>
    <w:bookmarkStart w:id="48" w:name="X05171309a402648ffa9946822f50c48bfc2d2fb"/>
    <w:p>
      <w:pPr>
        <w:pStyle w:val="Heading2"/>
      </w:pPr>
      <w:r>
        <w:t xml:space="preserve">Appendix C2: Sensitivity — Single-Household Clans</w:t>
      </w:r>
    </w:p>
    <w:p>
      <w:pPr>
        <w:pStyle w:val="FirstParagraph"/>
      </w:pPr>
      <w:r>
        <w:drawing>
          <wp:inline>
            <wp:extent cx="5334000" cy="4191000"/>
            <wp:effectExtent b="0" l="0" r="0" t="0"/>
            <wp:docPr descr="" title="" id="46" name="Picture"/>
            <a:graphic>
              <a:graphicData uri="http://schemas.openxmlformats.org/drawingml/2006/picture">
                <pic:pic>
                  <pic:nvPicPr>
                    <pic:cNvPr descr="/Users/amanda/Desktop/clan_project/10_draft/output/write_files/figure-docx/appendix-c2-1.png" id="47" name="Picture"/>
                    <pic:cNvPicPr>
                      <a:picLocks noChangeArrowheads="1" noChangeAspect="1"/>
                    </pic:cNvPicPr>
                  </pic:nvPicPr>
                  <pic:blipFill>
                    <a:blip r:embed="rId45"/>
                    <a:stretch>
                      <a:fillRect/>
                    </a:stretch>
                  </pic:blipFill>
                  <pic:spPr bwMode="auto">
                    <a:xfrm>
                      <a:off x="0" y="0"/>
                      <a:ext cx="5334000" cy="4191000"/>
                    </a:xfrm>
                    <a:prstGeom prst="rect">
                      <a:avLst/>
                    </a:prstGeom>
                    <a:noFill/>
                    <a:ln w="9525">
                      <a:noFill/>
                      <a:headEnd/>
                      <a:tailEnd/>
                    </a:ln>
                  </pic:spPr>
                </pic:pic>
              </a:graphicData>
            </a:graphic>
          </wp:inline>
        </w:drawing>
      </w:r>
    </w:p>
    <w:bookmarkEnd w:id="48"/>
    <w:bookmarkStart w:id="52" w:name="X0135a91ed4579dbd4101e9315fdc7d38edce4c7"/>
    <w:p>
      <w:pPr>
        <w:pStyle w:val="Heading2"/>
      </w:pPr>
      <w:r>
        <w:t xml:space="preserve">Appendix C3: Sensitivity — Wealth With and Without Home Equity</w:t>
      </w:r>
    </w:p>
    <w:p>
      <w:pPr>
        <w:pStyle w:val="FirstParagraph"/>
      </w:pPr>
      <w:r>
        <w:drawing>
          <wp:inline>
            <wp:extent cx="5334000" cy="2667000"/>
            <wp:effectExtent b="0" l="0" r="0" t="0"/>
            <wp:docPr descr="" title="" id="50" name="Picture"/>
            <a:graphic>
              <a:graphicData uri="http://schemas.openxmlformats.org/drawingml/2006/picture">
                <pic:pic>
                  <pic:nvPicPr>
                    <pic:cNvPr descr="/Users/amanda/Desktop/clan_project/10_draft/output/write_files/figure-docx/appendix-c3-1.png" id="51"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bookmarkEnd w:id="52"/>
    <w:bookmarkStart w:id="56" w:name="appendix-c4-sensitivity-negative-values"/>
    <w:p>
      <w:pPr>
        <w:pStyle w:val="Heading2"/>
      </w:pPr>
      <w:r>
        <w:t xml:space="preserve">Appendix C4: Sensitivity — Negative Values</w:t>
      </w:r>
    </w:p>
    <w:p>
      <w:pPr>
        <w:pStyle w:val="FirstParagraph"/>
      </w:pPr>
      <w:r>
        <w:drawing>
          <wp:inline>
            <wp:extent cx="5334000" cy="4191000"/>
            <wp:effectExtent b="0" l="0" r="0" t="0"/>
            <wp:docPr descr="" title="" id="54" name="Picture"/>
            <a:graphic>
              <a:graphicData uri="http://schemas.openxmlformats.org/drawingml/2006/picture">
                <pic:pic>
                  <pic:nvPicPr>
                    <pic:cNvPr descr="/Users/amanda/Desktop/clan_project/10_draft/output/write_files/figure-docx/appendix-c4-1.png" id="55" name="Picture"/>
                    <pic:cNvPicPr>
                      <a:picLocks noChangeArrowheads="1" noChangeAspect="1"/>
                    </pic:cNvPicPr>
                  </pic:nvPicPr>
                  <pic:blipFill>
                    <a:blip r:embed="rId53"/>
                    <a:stretch>
                      <a:fillRect/>
                    </a:stretch>
                  </pic:blipFill>
                  <pic:spPr bwMode="auto">
                    <a:xfrm>
                      <a:off x="0" y="0"/>
                      <a:ext cx="5334000" cy="4191000"/>
                    </a:xfrm>
                    <a:prstGeom prst="rect">
                      <a:avLst/>
                    </a:prstGeom>
                    <a:noFill/>
                    <a:ln w="9525">
                      <a:noFill/>
                      <a:headEnd/>
                      <a:tailEnd/>
                    </a:ln>
                  </pic:spPr>
                </pic:pic>
              </a:graphicData>
            </a:graphic>
          </wp:inline>
        </w:drawing>
      </w:r>
    </w:p>
    <w:bookmarkEnd w:id="56"/>
    <w:bookmarkStart w:id="60" w:name="X77e9005b9b6a06de423e46c0fd275669ef06bbc"/>
    <w:p>
      <w:pPr>
        <w:pStyle w:val="Heading2"/>
      </w:pPr>
      <w:r>
        <w:t xml:space="preserve">Appendix C5: Sensitivity — Size Standardization</w:t>
      </w:r>
    </w:p>
    <w:p>
      <w:pPr>
        <w:pStyle w:val="FirstParagraph"/>
      </w:pPr>
      <w:r>
        <w:drawing>
          <wp:inline>
            <wp:extent cx="5334000" cy="4191000"/>
            <wp:effectExtent b="0" l="0" r="0" t="0"/>
            <wp:docPr descr="" title="" id="58" name="Picture"/>
            <a:graphic>
              <a:graphicData uri="http://schemas.openxmlformats.org/drawingml/2006/picture">
                <pic:pic>
                  <pic:nvPicPr>
                    <pic:cNvPr descr="/Users/amanda/Desktop/clan_project/10_draft/output/write_files/figure-docx/appendix-c5-1.png" id="59" name="Picture"/>
                    <pic:cNvPicPr>
                      <a:picLocks noChangeArrowheads="1" noChangeAspect="1"/>
                    </pic:cNvPicPr>
                  </pic:nvPicPr>
                  <pic:blipFill>
                    <a:blip r:embed="rId57"/>
                    <a:stretch>
                      <a:fillRect/>
                    </a:stretch>
                  </pic:blipFill>
                  <pic:spPr bwMode="auto">
                    <a:xfrm>
                      <a:off x="0" y="0"/>
                      <a:ext cx="5334000" cy="4191000"/>
                    </a:xfrm>
                    <a:prstGeom prst="rect">
                      <a:avLst/>
                    </a:prstGeom>
                    <a:noFill/>
                    <a:ln w="9525">
                      <a:noFill/>
                      <a:headEnd/>
                      <a:tailEnd/>
                    </a:ln>
                  </pic:spPr>
                </pic:pic>
              </a:graphicData>
            </a:graphic>
          </wp:inline>
        </w:drawing>
      </w:r>
    </w:p>
    <w:bookmarkEnd w:id="60"/>
    <w:bookmarkStart w:id="64" w:name="appendix-c6-sensitivity-weighting"/>
    <w:p>
      <w:pPr>
        <w:pStyle w:val="Heading2"/>
      </w:pPr>
      <w:r>
        <w:t xml:space="preserve">Appendix C6: Sensitivity — Weighting</w:t>
      </w:r>
    </w:p>
    <w:p>
      <w:pPr>
        <w:pStyle w:val="FirstParagraph"/>
      </w:pPr>
      <w:r>
        <w:drawing>
          <wp:inline>
            <wp:extent cx="5334000" cy="4191000"/>
            <wp:effectExtent b="0" l="0" r="0" t="0"/>
            <wp:docPr descr="" title="" id="62" name="Picture"/>
            <a:graphic>
              <a:graphicData uri="http://schemas.openxmlformats.org/drawingml/2006/picture">
                <pic:pic>
                  <pic:nvPicPr>
                    <pic:cNvPr descr="/Users/amanda/Desktop/clan_project/10_draft/output/write_files/figure-docx/appendix-c6-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bookmarkEnd w:id="64"/>
    <w:bookmarkEnd w:id="65"/>
    <w:bookmarkStart w:id="147" w:name="Xbdbdfc1a62708dc07a090fee8b3b74e63e756a2"/>
    <w:p>
      <w:pPr>
        <w:pStyle w:val="Heading1"/>
      </w:pPr>
      <w:r>
        <w:t xml:space="preserve">Appendix D: Alternative Inequality Measures</w:t>
      </w:r>
    </w:p>
    <w:p>
      <w:pPr>
        <w:pStyle w:val="FirstParagraph"/>
      </w:pPr>
      <w:r>
        <w:drawing>
          <wp:inline>
            <wp:extent cx="5334000" cy="4953000"/>
            <wp:effectExtent b="0" l="0" r="0" t="0"/>
            <wp:docPr descr="" title="" id="67" name="Picture"/>
            <a:graphic>
              <a:graphicData uri="http://schemas.openxmlformats.org/drawingml/2006/picture">
                <pic:pic>
                  <pic:nvPicPr>
                    <pic:cNvPr descr="/Users/amanda/Desktop/clan_project/10_draft/output/write_files/figure-docx/appendix-d-1.png" id="68" name="Picture"/>
                    <pic:cNvPicPr>
                      <a:picLocks noChangeArrowheads="1" noChangeAspect="1"/>
                    </pic:cNvPicPr>
                  </pic:nvPicPr>
                  <pic:blipFill>
                    <a:blip r:embed="rId66"/>
                    <a:stretch>
                      <a:fillRect/>
                    </a:stretch>
                  </pic:blipFill>
                  <pic:spPr bwMode="auto">
                    <a:xfrm>
                      <a:off x="0" y="0"/>
                      <a:ext cx="5334000" cy="4953000"/>
                    </a:xfrm>
                    <a:prstGeom prst="rect">
                      <a:avLst/>
                    </a:prstGeom>
                    <a:noFill/>
                    <a:ln w="9525">
                      <a:noFill/>
                      <a:headEnd/>
                      <a:tailEnd/>
                    </a:ln>
                  </pic:spPr>
                </pic:pic>
              </a:graphicData>
            </a:graphic>
          </wp:inline>
        </w:drawing>
      </w:r>
    </w:p>
    <w:bookmarkStart w:id="146" w:name="refs"/>
    <w:bookmarkStart w:id="70"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69">
        <w:r>
          <w:rPr>
            <w:rStyle w:val="Hyperlink"/>
          </w:rPr>
          <w:t xml:space="preserve">https://fred.stlouisfed.org/series/SIPOVGINIUSA</w:t>
        </w:r>
      </w:hyperlink>
    </w:p>
    <w:bookmarkEnd w:id="70"/>
    <w:bookmarkStart w:id="72"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71">
        <w:r>
          <w:rPr>
            <w:rStyle w:val="Hyperlink"/>
          </w:rPr>
          <w:t xml:space="preserve">https://www.bakerinstitute.org/research/decline-us-wealth-and-income-inequality</w:t>
        </w:r>
      </w:hyperlink>
    </w:p>
    <w:bookmarkEnd w:id="72"/>
    <w:bookmarkStart w:id="75"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73">
        <w:r>
          <w:rPr>
            <w:rStyle w:val="Hyperlink"/>
          </w:rPr>
          <w:t xml:space="preserve">https://www.nber.org/papers/w33823</w:t>
        </w:r>
      </w:hyperlink>
      <w:r>
        <w:t xml:space="preserve">. doi:</w:t>
      </w:r>
      <w:hyperlink r:id="rId74">
        <w:r>
          <w:rPr>
            <w:rStyle w:val="Hyperlink"/>
          </w:rPr>
          <w:t xml:space="preserve">10.3386/w33823</w:t>
        </w:r>
      </w:hyperlink>
    </w:p>
    <w:bookmarkEnd w:id="75"/>
    <w:bookmarkStart w:id="78"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76">
        <w:r>
          <w:rPr>
            <w:rStyle w:val="Hyperlink"/>
          </w:rPr>
          <w:t xml:space="preserve">https://www.journals.uchicago.edu/doi/10.1086/728741</w:t>
        </w:r>
      </w:hyperlink>
      <w:r>
        <w:t xml:space="preserve">. doi:</w:t>
      </w:r>
      <w:hyperlink r:id="rId77">
        <w:r>
          <w:rPr>
            <w:rStyle w:val="Hyperlink"/>
          </w:rPr>
          <w:t xml:space="preserve">10.1086/728741</w:t>
        </w:r>
      </w:hyperlink>
    </w:p>
    <w:bookmarkEnd w:id="78"/>
    <w:bookmarkStart w:id="81"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79">
        <w:r>
          <w:rPr>
            <w:rStyle w:val="Hyperlink"/>
          </w:rPr>
          <w:t xml:space="preserve">https://www.annualreviews.org/doi/10.1146/annurev-soc-060116-053331</w:t>
        </w:r>
      </w:hyperlink>
      <w:r>
        <w:t xml:space="preserve">. doi:</w:t>
      </w:r>
      <w:hyperlink r:id="rId80">
        <w:r>
          <w:rPr>
            <w:rStyle w:val="Hyperlink"/>
          </w:rPr>
          <w:t xml:space="preserve">10.1146/annurev-soc-060116-053331</w:t>
        </w:r>
      </w:hyperlink>
    </w:p>
    <w:bookmarkEnd w:id="81"/>
    <w:bookmarkStart w:id="83"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82">
        <w:r>
          <w:rPr>
            <w:rStyle w:val="Hyperlink"/>
          </w:rPr>
          <w:t xml:space="preserve">https://doi.org/10.1093/qje/qjw004</w:t>
        </w:r>
      </w:hyperlink>
      <w:r>
        <w:t xml:space="preserve">. doi:</w:t>
      </w:r>
      <w:hyperlink r:id="rId82">
        <w:r>
          <w:rPr>
            <w:rStyle w:val="Hyperlink"/>
          </w:rPr>
          <w:t xml:space="preserve">10.1093/qje/qjw004</w:t>
        </w:r>
      </w:hyperlink>
    </w:p>
    <w:bookmarkEnd w:id="83"/>
    <w:bookmarkStart w:id="84"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84"/>
    <w:bookmarkStart w:id="86"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85">
        <w:r>
          <w:rPr>
            <w:rStyle w:val="Hyperlink"/>
          </w:rPr>
          <w:t xml:space="preserve">10.1037/11282-004</w:t>
        </w:r>
      </w:hyperlink>
    </w:p>
    <w:bookmarkEnd w:id="86"/>
    <w:bookmarkStart w:id="88"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87">
        <w:r>
          <w:rPr>
            <w:rStyle w:val="Hyperlink"/>
          </w:rPr>
          <w:t xml:space="preserve">https://doi.org/10.1007/s13524-018-0719-y</w:t>
        </w:r>
      </w:hyperlink>
      <w:r>
        <w:t xml:space="preserve">. doi:</w:t>
      </w:r>
      <w:hyperlink r:id="rId87">
        <w:r>
          <w:rPr>
            <w:rStyle w:val="Hyperlink"/>
          </w:rPr>
          <w:t xml:space="preserve">10.1007/s13524-018-0719-y</w:t>
        </w:r>
      </w:hyperlink>
    </w:p>
    <w:bookmarkEnd w:id="88"/>
    <w:bookmarkStart w:id="90"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89">
        <w:r>
          <w:rPr>
            <w:rStyle w:val="Hyperlink"/>
          </w:rPr>
          <w:t xml:space="preserve">https://doi.org/10.1007/s13524-011-0014-7</w:t>
        </w:r>
      </w:hyperlink>
      <w:r>
        <w:t xml:space="preserve">. doi:</w:t>
      </w:r>
      <w:hyperlink r:id="rId89">
        <w:r>
          <w:rPr>
            <w:rStyle w:val="Hyperlink"/>
          </w:rPr>
          <w:t xml:space="preserve">10.1007/s13524-011-0014-7</w:t>
        </w:r>
      </w:hyperlink>
    </w:p>
    <w:bookmarkEnd w:id="90"/>
    <w:bookmarkStart w:id="92"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91">
        <w:r>
          <w:rPr>
            <w:rStyle w:val="Hyperlink"/>
          </w:rPr>
          <w:t xml:space="preserve">https://doi.org/10.1093/ser/mwad033</w:t>
        </w:r>
      </w:hyperlink>
      <w:r>
        <w:t xml:space="preserve">. doi:</w:t>
      </w:r>
      <w:hyperlink r:id="rId91">
        <w:r>
          <w:rPr>
            <w:rStyle w:val="Hyperlink"/>
          </w:rPr>
          <w:t xml:space="preserve">10.1093/ser/mwad033</w:t>
        </w:r>
      </w:hyperlink>
    </w:p>
    <w:bookmarkEnd w:id="92"/>
    <w:bookmarkStart w:id="94"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93">
        <w:r>
          <w:rPr>
            <w:rStyle w:val="Hyperlink"/>
          </w:rPr>
          <w:t xml:space="preserve">https://doi.org/10.1177/00031224251319001</w:t>
        </w:r>
      </w:hyperlink>
      <w:r>
        <w:t xml:space="preserve">. doi:</w:t>
      </w:r>
      <w:hyperlink r:id="rId93">
        <w:r>
          <w:rPr>
            <w:rStyle w:val="Hyperlink"/>
          </w:rPr>
          <w:t xml:space="preserve">10.1177/00031224251319001</w:t>
        </w:r>
      </w:hyperlink>
    </w:p>
    <w:bookmarkEnd w:id="94"/>
    <w:bookmarkStart w:id="97"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95">
        <w:r>
          <w:rPr>
            <w:rStyle w:val="Hyperlink"/>
          </w:rPr>
          <w:t xml:space="preserve">https://pubs.aeaweb.org/doi/10.1257/aer.20190553</w:t>
        </w:r>
      </w:hyperlink>
      <w:r>
        <w:t xml:space="preserve">. doi:</w:t>
      </w:r>
      <w:hyperlink r:id="rId96">
        <w:r>
          <w:rPr>
            <w:rStyle w:val="Hyperlink"/>
          </w:rPr>
          <w:t xml:space="preserve">10.1257/aer.20190553</w:t>
        </w:r>
      </w:hyperlink>
    </w:p>
    <w:bookmarkEnd w:id="97"/>
    <w:bookmarkStart w:id="100"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98">
        <w:r>
          <w:rPr>
            <w:rStyle w:val="Hyperlink"/>
          </w:rPr>
          <w:t xml:space="preserve">https://www-journals-uchicago-edu.turing.library.northwestern.edu/doi/full/10.1086/724835</w:t>
        </w:r>
      </w:hyperlink>
      <w:r>
        <w:t xml:space="preserve">. doi:</w:t>
      </w:r>
      <w:hyperlink r:id="rId99">
        <w:r>
          <w:rPr>
            <w:rStyle w:val="Hyperlink"/>
          </w:rPr>
          <w:t xml:space="preserve">https://doi.org/10.1086/724835</w:t>
        </w:r>
      </w:hyperlink>
    </w:p>
    <w:bookmarkEnd w:id="100"/>
    <w:bookmarkStart w:id="102"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01">
        <w:r>
          <w:rPr>
            <w:rStyle w:val="Hyperlink"/>
          </w:rPr>
          <w:t xml:space="preserve">10.1007/s13524-019-00772-8</w:t>
        </w:r>
      </w:hyperlink>
    </w:p>
    <w:bookmarkEnd w:id="102"/>
    <w:bookmarkStart w:id="103" w:name="ref-shiffer-sebba_concentration_2022"/>
    <w:p>
      <w:pPr>
        <w:pStyle w:val="Bibliography"/>
      </w:pPr>
      <w:r>
        <w:t xml:space="preserve">[16]</w:t>
      </w:r>
      <w:r>
        <w:t xml:space="preserve"> </w:t>
      </w:r>
      <w:r>
        <w:t xml:space="preserve">	</w:t>
      </w:r>
      <w:r>
        <w:t xml:space="preserve">Shiffer-Sebba D, Gabay-Egozi L. The</w:t>
      </w:r>
      <w:r>
        <w:t xml:space="preserve"> </w:t>
      </w:r>
      <w:r>
        <w:t xml:space="preserve">Concentration</w:t>
      </w:r>
      <w:r>
        <w:t xml:space="preserve"> </w:t>
      </w:r>
      <w:r>
        <w:t xml:space="preserve">of</w:t>
      </w:r>
      <w:r>
        <w:t xml:space="preserve"> </w:t>
      </w:r>
      <w:r>
        <w:t xml:space="preserve">Wealth</w:t>
      </w:r>
      <w:r>
        <w:t xml:space="preserve"> </w:t>
      </w:r>
      <w:r>
        <w:t xml:space="preserve">Within</w:t>
      </w:r>
      <w:r>
        <w:t xml:space="preserve"> </w:t>
      </w:r>
      <w:r>
        <w:t xml:space="preserve">Family</w:t>
      </w:r>
      <w:r>
        <w:t xml:space="preserve"> </w:t>
      </w:r>
      <w:r>
        <w:t xml:space="preserve">Lineages</w:t>
      </w:r>
      <w:r>
        <w:t xml:space="preserve">:</w:t>
      </w:r>
      <w:r>
        <w:t xml:space="preserve"> </w:t>
      </w:r>
      <w:r>
        <w:t xml:space="preserve">Clans</w:t>
      </w:r>
      <w:r>
        <w:t xml:space="preserve"> </w:t>
      </w:r>
      <w:r>
        <w:t xml:space="preserve">as</w:t>
      </w:r>
      <w:r>
        <w:t xml:space="preserve"> </w:t>
      </w:r>
      <w:r>
        <w:t xml:space="preserve">Units</w:t>
      </w:r>
      <w:r>
        <w:t xml:space="preserve"> </w:t>
      </w:r>
      <w:r>
        <w:t xml:space="preserve">of</w:t>
      </w:r>
      <w:r>
        <w:t xml:space="preserve"> </w:t>
      </w:r>
      <w:r>
        <w:t xml:space="preserve">Analysis</w:t>
      </w:r>
      <w:r>
        <w:t xml:space="preserve">. 2022.</w:t>
      </w:r>
    </w:p>
    <w:bookmarkEnd w:id="103"/>
    <w:bookmarkStart w:id="105" w:name="ref-hallsten_grand_2017"/>
    <w:p>
      <w:pPr>
        <w:pStyle w:val="Bibliography"/>
      </w:pPr>
      <w:r>
        <w:t xml:space="preserve">[17]</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04">
        <w:r>
          <w:rPr>
            <w:rStyle w:val="Hyperlink"/>
          </w:rPr>
          <w:t xml:space="preserve">10.1177/0003122417695791</w:t>
        </w:r>
      </w:hyperlink>
    </w:p>
    <w:bookmarkEnd w:id="105"/>
    <w:bookmarkStart w:id="106" w:name="ref-insolera_overview_2021"/>
    <w:p>
      <w:pPr>
        <w:pStyle w:val="Bibliography"/>
      </w:pPr>
      <w:r>
        <w:t xml:space="preserve">[18]</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06"/>
    <w:bookmarkStart w:id="108" w:name="ref-pfeffer_measuring_2016"/>
    <w:p>
      <w:pPr>
        <w:pStyle w:val="Bibliography"/>
      </w:pPr>
      <w:r>
        <w:t xml:space="preserve">[19]</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07">
        <w:r>
          <w:rPr>
            <w:rStyle w:val="Hyperlink"/>
          </w:rPr>
          <w:t xml:space="preserve">10.3233/JEM-160421</w:t>
        </w:r>
      </w:hyperlink>
    </w:p>
    <w:bookmarkEnd w:id="108"/>
    <w:bookmarkStart w:id="110" w:name="ref-oliver_black_2013"/>
    <w:p>
      <w:pPr>
        <w:pStyle w:val="Bibliography"/>
      </w:pPr>
      <w:r>
        <w:t xml:space="preserve">[20]</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09">
        <w:r>
          <w:rPr>
            <w:rStyle w:val="Hyperlink"/>
          </w:rPr>
          <w:t xml:space="preserve">10.4324/9780203707425</w:t>
        </w:r>
      </w:hyperlink>
    </w:p>
    <w:bookmarkEnd w:id="110"/>
    <w:bookmarkStart w:id="113" w:name="ref-beckert_durable_2022"/>
    <w:p>
      <w:pPr>
        <w:pStyle w:val="Bibliography"/>
      </w:pPr>
      <w:r>
        <w:t xml:space="preserve">[21]</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11">
        <w:r>
          <w:rPr>
            <w:rStyle w:val="Hyperlink"/>
          </w:rPr>
          <w:t xml:space="preserve">https://www-annualreviews-org.turing.library.northwestern.edu/content/journals/10.1146/annurev-soc-030320-115024</w:t>
        </w:r>
      </w:hyperlink>
      <w:r>
        <w:t xml:space="preserve">. doi:</w:t>
      </w:r>
      <w:hyperlink r:id="rId112">
        <w:r>
          <w:rPr>
            <w:rStyle w:val="Hyperlink"/>
          </w:rPr>
          <w:t xml:space="preserve">doi.org/10.1146/annurev-soc-030320-115024</w:t>
        </w:r>
      </w:hyperlink>
    </w:p>
    <w:bookmarkEnd w:id="113"/>
    <w:bookmarkStart w:id="116" w:name="ref-obrien_structural_2020"/>
    <w:p>
      <w:pPr>
        <w:pStyle w:val="Bibliography"/>
      </w:pPr>
      <w:r>
        <w:t xml:space="preserve">[22]</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14">
        <w:r>
          <w:rPr>
            <w:rStyle w:val="Hyperlink"/>
          </w:rPr>
          <w:t xml:space="preserve">https://www.sciencedirect.com/science/article/pii/S2352827319303623</w:t>
        </w:r>
      </w:hyperlink>
      <w:r>
        <w:t xml:space="preserve">. doi:</w:t>
      </w:r>
      <w:hyperlink r:id="rId115">
        <w:r>
          <w:rPr>
            <w:rStyle w:val="Hyperlink"/>
          </w:rPr>
          <w:t xml:space="preserve">10.1016/j.ssmph.2020.100564</w:t>
        </w:r>
      </w:hyperlink>
    </w:p>
    <w:bookmarkEnd w:id="116"/>
    <w:bookmarkStart w:id="117" w:name="ref-pfeffer_determinants_2017"/>
    <w:p>
      <w:pPr>
        <w:pStyle w:val="Bibliography"/>
      </w:pPr>
      <w:r>
        <w:t xml:space="preserve">[23]</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17"/>
    <w:bookmarkStart w:id="120" w:name="ref-corak_income_2013"/>
    <w:p>
      <w:pPr>
        <w:pStyle w:val="Bibliography"/>
      </w:pPr>
      <w:r>
        <w:t xml:space="preserve">[24]</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18">
        <w:r>
          <w:rPr>
            <w:rStyle w:val="Hyperlink"/>
          </w:rPr>
          <w:t xml:space="preserve">https://www.aeaweb.org/articles?id=10.1257/jep.27.3.79</w:t>
        </w:r>
      </w:hyperlink>
      <w:r>
        <w:t xml:space="preserve">. doi:</w:t>
      </w:r>
      <w:hyperlink r:id="rId119">
        <w:r>
          <w:rPr>
            <w:rStyle w:val="Hyperlink"/>
          </w:rPr>
          <w:t xml:space="preserve">10.1257/jep.27.3.79</w:t>
        </w:r>
      </w:hyperlink>
    </w:p>
    <w:bookmarkEnd w:id="120"/>
    <w:bookmarkStart w:id="122" w:name="ref-ermisch_parents_2012"/>
    <w:p>
      <w:pPr>
        <w:pStyle w:val="Bibliography"/>
      </w:pPr>
      <w:r>
        <w:t xml:space="preserve">[25]</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21">
        <w:r>
          <w:rPr>
            <w:rStyle w:val="Hyperlink"/>
          </w:rPr>
          <w:t xml:space="preserve">https://www.jstor.org/stable/10.7758/9781610447805</w:t>
        </w:r>
      </w:hyperlink>
    </w:p>
    <w:bookmarkEnd w:id="122"/>
    <w:bookmarkStart w:id="124" w:name="ref-jerrim_income_2015"/>
    <w:p>
      <w:pPr>
        <w:pStyle w:val="Bibliography"/>
      </w:pPr>
      <w:r>
        <w:t xml:space="preserve">[26]</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23">
        <w:r>
          <w:rPr>
            <w:rStyle w:val="Hyperlink"/>
          </w:rPr>
          <w:t xml:space="preserve">10.1093/sf/sov075</w:t>
        </w:r>
      </w:hyperlink>
    </w:p>
    <w:bookmarkEnd w:id="124"/>
    <w:bookmarkStart w:id="127" w:name="ref-si_multiple_2021"/>
    <w:p>
      <w:pPr>
        <w:pStyle w:val="Bibliography"/>
      </w:pPr>
      <w:r>
        <w:t xml:space="preserve">[27]</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25">
        <w:r>
          <w:rPr>
            <w:rStyle w:val="Hyperlink"/>
          </w:rPr>
          <w:t xml:space="preserve">https://www.ncbi.nlm.nih.gov/pmc/articles/PMC9874997/</w:t>
        </w:r>
      </w:hyperlink>
      <w:r>
        <w:t xml:space="preserve">. doi:</w:t>
      </w:r>
      <w:hyperlink r:id="rId126">
        <w:r>
          <w:rPr>
            <w:rStyle w:val="Hyperlink"/>
          </w:rPr>
          <w:t xml:space="preserve">10.1093/jssam/smab038</w:t>
        </w:r>
      </w:hyperlink>
    </w:p>
    <w:bookmarkEnd w:id="127"/>
    <w:bookmarkStart w:id="128" w:name="ref-sayer_women_2004"/>
    <w:p>
      <w:pPr>
        <w:pStyle w:val="Bibliography"/>
      </w:pPr>
      <w:r>
        <w:t xml:space="preserve">[28]</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28"/>
    <w:bookmarkStart w:id="131" w:name="ref-atkinson_measurement_1970"/>
    <w:p>
      <w:pPr>
        <w:pStyle w:val="Bibliography"/>
      </w:pPr>
      <w:r>
        <w:t xml:space="preserve">[29]</w:t>
      </w:r>
      <w:r>
        <w:t xml:space="preserve"> </w:t>
      </w:r>
      <w:r>
        <w:t xml:space="preserve">	</w:t>
      </w:r>
      <w:r>
        <w:t xml:space="preserve">Atkinson AB. On the measurement of inequality. Journal of Economic Theory. 1970 [accessed 2025 July 18];2(3):244–263.</w:t>
      </w:r>
      <w:r>
        <w:t xml:space="preserve"> </w:t>
      </w:r>
      <w:hyperlink r:id="rId129">
        <w:r>
          <w:rPr>
            <w:rStyle w:val="Hyperlink"/>
          </w:rPr>
          <w:t xml:space="preserve">https://www.sciencedirect.com/science/article/pii/0022053170900396</w:t>
        </w:r>
      </w:hyperlink>
      <w:r>
        <w:t xml:space="preserve">. doi:</w:t>
      </w:r>
      <w:hyperlink r:id="rId130">
        <w:r>
          <w:rPr>
            <w:rStyle w:val="Hyperlink"/>
          </w:rPr>
          <w:t xml:space="preserve">10.1016/0022-0531(70)90039-6</w:t>
        </w:r>
      </w:hyperlink>
    </w:p>
    <w:bookmarkEnd w:id="131"/>
    <w:bookmarkStart w:id="134" w:name="ref-de_maio_income_2007"/>
    <w:p>
      <w:pPr>
        <w:pStyle w:val="Bibliography"/>
      </w:pPr>
      <w:r>
        <w:t xml:space="preserve">[30]</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32">
        <w:r>
          <w:rPr>
            <w:rStyle w:val="Hyperlink"/>
          </w:rPr>
          <w:t xml:space="preserve">https://www.ncbi.nlm.nih.gov/pmc/articles/PMC2652960/</w:t>
        </w:r>
      </w:hyperlink>
      <w:r>
        <w:t xml:space="preserve">. doi:</w:t>
      </w:r>
      <w:hyperlink r:id="rId133">
        <w:r>
          <w:rPr>
            <w:rStyle w:val="Hyperlink"/>
          </w:rPr>
          <w:t xml:space="preserve">10.1136/jech.2006.052969</w:t>
        </w:r>
      </w:hyperlink>
    </w:p>
    <w:bookmarkEnd w:id="134"/>
    <w:bookmarkStart w:id="137" w:name="ref-kawachi_relationship_1997"/>
    <w:p>
      <w:pPr>
        <w:pStyle w:val="Bibliography"/>
      </w:pPr>
      <w:r>
        <w:t xml:space="preserve">[31]</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35">
        <w:r>
          <w:rPr>
            <w:rStyle w:val="Hyperlink"/>
          </w:rPr>
          <w:t xml:space="preserve">https://www.sciencedirect.com/science/article/pii/S0277953697000440</w:t>
        </w:r>
      </w:hyperlink>
      <w:r>
        <w:t xml:space="preserve">. doi:</w:t>
      </w:r>
      <w:hyperlink r:id="rId136">
        <w:r>
          <w:rPr>
            <w:rStyle w:val="Hyperlink"/>
          </w:rPr>
          <w:t xml:space="preserve">10.1016/S0277-9536(97)00044-0</w:t>
        </w:r>
      </w:hyperlink>
    </w:p>
    <w:bookmarkEnd w:id="137"/>
    <w:bookmarkStart w:id="140" w:name="ref-aaberge_ginis_2007"/>
    <w:p>
      <w:pPr>
        <w:pStyle w:val="Bibliography"/>
      </w:pPr>
      <w:r>
        <w:t xml:space="preserve">[32]</w:t>
      </w:r>
      <w:r>
        <w:t xml:space="preserve"> </w:t>
      </w:r>
      <w:r>
        <w:t xml:space="preserve">	</w:t>
      </w:r>
      <w:r>
        <w:t xml:space="preserve">Aaberge R. Gini’s nuclear family. Journal of Economic Inequality. 2007 [accessed 2025 Dec 16];5(3):305–322.</w:t>
      </w:r>
      <w:r>
        <w:t xml:space="preserve"> </w:t>
      </w:r>
      <w:hyperlink r:id="rId138">
        <w:r>
          <w:rPr>
            <w:rStyle w:val="Hyperlink"/>
          </w:rPr>
          <w:t xml:space="preserve">https://research.ebsco.com/linkprocessor/plink?id=183a0f60-6b65-3238-9faf-59d099fff528</w:t>
        </w:r>
      </w:hyperlink>
      <w:r>
        <w:t xml:space="preserve">. doi:</w:t>
      </w:r>
      <w:hyperlink r:id="rId139">
        <w:r>
          <w:rPr>
            <w:rStyle w:val="Hyperlink"/>
          </w:rPr>
          <w:t xml:space="preserve">10.1007/s10888-006-9050-8</w:t>
        </w:r>
      </w:hyperlink>
    </w:p>
    <w:bookmarkEnd w:id="140"/>
    <w:bookmarkStart w:id="142" w:name="ref-noauthor_table_nodate"/>
    <w:p>
      <w:pPr>
        <w:pStyle w:val="Bibliography"/>
      </w:pPr>
      <w:r>
        <w:t xml:space="preserve">[33]</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41">
        <w:r>
          <w:rPr>
            <w:rStyle w:val="Hyperlink"/>
          </w:rPr>
          <w:t xml:space="preserve">https://www.census.gov/data/tables/time-series/demo/income-poverty/historical-income-inequality.html</w:t>
        </w:r>
      </w:hyperlink>
    </w:p>
    <w:bookmarkEnd w:id="142"/>
    <w:bookmarkStart w:id="143" w:name="ref-wolff_size_209"/>
    <w:p>
      <w:pPr>
        <w:pStyle w:val="Bibliography"/>
      </w:pPr>
      <w:r>
        <w:t xml:space="preserve">[34]</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43"/>
    <w:bookmarkStart w:id="145" w:name="ref-pfeffer_wealth_2013"/>
    <w:p>
      <w:pPr>
        <w:pStyle w:val="Bibliography"/>
      </w:pPr>
      <w:r>
        <w:t xml:space="preserve">[35]</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44">
        <w:r>
          <w:rPr>
            <w:rStyle w:val="Hyperlink"/>
          </w:rPr>
          <w:t xml:space="preserve">10.1177/0002716213497452</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27">
    <w:p>
      <w:pPr>
        <w:pStyle w:val="FootnoteText"/>
      </w:pPr>
      <w:r>
        <w:rPr>
          <w:rStyle w:val="FootnoteReference"/>
        </w:rPr>
        <w:footnoteRef/>
      </w:r>
      <w:r>
        <w:t xml:space="preserve"> </w:t>
      </w:r>
      <w:r>
        <w:t xml:space="preserve">The prevalence of single-household clans dropped by 75% between 1969 and 1980. However, overall trends remain similar regardless of whether this earlier period is excluded.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2" Target="media/rId22.pdf"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39" Target="https://doi.org/10.1007/s10888-006-9050-8" TargetMode="External" /><Relationship Type="http://schemas.openxmlformats.org/officeDocument/2006/relationships/hyperlink" Id="rId89" Target="https://doi.org/10.1007/s13524-011-0014-7" TargetMode="External" /><Relationship Type="http://schemas.openxmlformats.org/officeDocument/2006/relationships/hyperlink" Id="rId87" Target="https://doi.org/10.1007/s13524-018-0719-y" TargetMode="External" /><Relationship Type="http://schemas.openxmlformats.org/officeDocument/2006/relationships/hyperlink" Id="rId101" Target="https://doi.org/10.1007/s13524-019-00772-8" TargetMode="External" /><Relationship Type="http://schemas.openxmlformats.org/officeDocument/2006/relationships/hyperlink" Id="rId130" Target="https://doi.org/10.1016/0022-0531(70)90039-6" TargetMode="External" /><Relationship Type="http://schemas.openxmlformats.org/officeDocument/2006/relationships/hyperlink" Id="rId136" Target="https://doi.org/10.1016/S0277-9536(97)00044-0" TargetMode="External" /><Relationship Type="http://schemas.openxmlformats.org/officeDocument/2006/relationships/hyperlink" Id="rId115" Target="https://doi.org/10.1016/j.ssmph.2020.100564" TargetMode="External" /><Relationship Type="http://schemas.openxmlformats.org/officeDocument/2006/relationships/hyperlink" Id="rId85" Target="https://doi.org/10.1037/11282-004" TargetMode="External" /><Relationship Type="http://schemas.openxmlformats.org/officeDocument/2006/relationships/hyperlink" Id="rId99" Target="https://doi.org/10.1086/724835" TargetMode="External" /><Relationship Type="http://schemas.openxmlformats.org/officeDocument/2006/relationships/hyperlink" Id="rId77" Target="https://doi.org/10.1086/728741" TargetMode="External" /><Relationship Type="http://schemas.openxmlformats.org/officeDocument/2006/relationships/hyperlink" Id="rId126" Target="https://doi.org/10.1093/jssam/smab038" TargetMode="External" /><Relationship Type="http://schemas.openxmlformats.org/officeDocument/2006/relationships/hyperlink" Id="rId82" Target="https://doi.org/10.1093/qje/qjw004" TargetMode="External" /><Relationship Type="http://schemas.openxmlformats.org/officeDocument/2006/relationships/hyperlink" Id="rId91" Target="https://doi.org/10.1093/ser/mwad033" TargetMode="External" /><Relationship Type="http://schemas.openxmlformats.org/officeDocument/2006/relationships/hyperlink" Id="rId123" Target="https://doi.org/10.1093/sf/sov075" TargetMode="External" /><Relationship Type="http://schemas.openxmlformats.org/officeDocument/2006/relationships/hyperlink" Id="rId133" Target="https://doi.org/10.1136/jech.2006.052969" TargetMode="External" /><Relationship Type="http://schemas.openxmlformats.org/officeDocument/2006/relationships/hyperlink" Id="rId80" Target="https://doi.org/10.1146/annurev-soc-060116-053331" TargetMode="External" /><Relationship Type="http://schemas.openxmlformats.org/officeDocument/2006/relationships/hyperlink" Id="rId144" Target="https://doi.org/10.1177/0002716213497452" TargetMode="External" /><Relationship Type="http://schemas.openxmlformats.org/officeDocument/2006/relationships/hyperlink" Id="rId104" Target="https://doi.org/10.1177/0003122417695791" TargetMode="External" /><Relationship Type="http://schemas.openxmlformats.org/officeDocument/2006/relationships/hyperlink" Id="rId93" Target="https://doi.org/10.1177/00031224251319001" TargetMode="External" /><Relationship Type="http://schemas.openxmlformats.org/officeDocument/2006/relationships/hyperlink" Id="rId96" Target="https://doi.org/10.1257/aer.20190553" TargetMode="External" /><Relationship Type="http://schemas.openxmlformats.org/officeDocument/2006/relationships/hyperlink" Id="rId119" Target="https://doi.org/10.1257/jep.27.3.79" TargetMode="External" /><Relationship Type="http://schemas.openxmlformats.org/officeDocument/2006/relationships/hyperlink" Id="rId107" Target="https://doi.org/10.3233/JEM-160421" TargetMode="External" /><Relationship Type="http://schemas.openxmlformats.org/officeDocument/2006/relationships/hyperlink" Id="rId74" Target="https://doi.org/10.3386/w33823" TargetMode="External" /><Relationship Type="http://schemas.openxmlformats.org/officeDocument/2006/relationships/hyperlink" Id="rId109" Target="https://doi.org/10.4324/9780203707425" TargetMode="External" /><Relationship Type="http://schemas.openxmlformats.org/officeDocument/2006/relationships/hyperlink" Id="rId112" Target="https://doi.org/doi.org/10.1146/annurev-soc-030320-115024" TargetMode="External" /><Relationship Type="http://schemas.openxmlformats.org/officeDocument/2006/relationships/hyperlink" Id="rId69" Target="https://fred.stlouisfed.org/series/SIPOVGINIUSA" TargetMode="External" /><Relationship Type="http://schemas.openxmlformats.org/officeDocument/2006/relationships/hyperlink" Id="rId95" Target="https://pubs.aeaweb.org/doi/10.1257/aer.20190553" TargetMode="External" /><Relationship Type="http://schemas.openxmlformats.org/officeDocument/2006/relationships/hyperlink" Id="rId138" Target="https://research.ebsco.com/linkprocessor/plink?id=183a0f60-6b65-3238-9faf-59d099fff528" TargetMode="External" /><Relationship Type="http://schemas.openxmlformats.org/officeDocument/2006/relationships/hyperlink" Id="rId111" Target="https://www-annualreviews-org.turing.library.northwestern.edu/content/journals/10.1146/annurev-soc-030320-115024" TargetMode="External" /><Relationship Type="http://schemas.openxmlformats.org/officeDocument/2006/relationships/hyperlink" Id="rId98" Target="https://www-journals-uchicago-edu.turing.library.northwestern.edu/doi/full/10.1086/724835" TargetMode="External" /><Relationship Type="http://schemas.openxmlformats.org/officeDocument/2006/relationships/hyperlink" Id="rId118" Target="https://www.aeaweb.org/articles?id=10.1257/jep.27.3.79" TargetMode="External" /><Relationship Type="http://schemas.openxmlformats.org/officeDocument/2006/relationships/hyperlink" Id="rId79" Target="https://www.annualreviews.org/doi/10.1146/annurev-soc-060116-053331" TargetMode="External" /><Relationship Type="http://schemas.openxmlformats.org/officeDocument/2006/relationships/hyperlink" Id="rId71" Target="https://www.bakerinstitute.org/research/decline-us-wealth-and-income-inequality" TargetMode="External" /><Relationship Type="http://schemas.openxmlformats.org/officeDocument/2006/relationships/hyperlink" Id="rId141" Target="https://www.census.gov/data/tables/time-series/demo/income-poverty/historical-income-inequality.html" TargetMode="External" /><Relationship Type="http://schemas.openxmlformats.org/officeDocument/2006/relationships/hyperlink" Id="rId76" Target="https://www.journals.uchicago.edu/doi/10.1086/728741" TargetMode="External" /><Relationship Type="http://schemas.openxmlformats.org/officeDocument/2006/relationships/hyperlink" Id="rId121" Target="https://www.jstor.org/stable/10.7758/9781610447805" TargetMode="External" /><Relationship Type="http://schemas.openxmlformats.org/officeDocument/2006/relationships/hyperlink" Id="rId73" Target="https://www.nber.org/papers/w33823" TargetMode="External" /><Relationship Type="http://schemas.openxmlformats.org/officeDocument/2006/relationships/hyperlink" Id="rId132" Target="https://www.ncbi.nlm.nih.gov/pmc/articles/PMC2652960/" TargetMode="External" /><Relationship Type="http://schemas.openxmlformats.org/officeDocument/2006/relationships/hyperlink" Id="rId125" Target="https://www.ncbi.nlm.nih.gov/pmc/articles/PMC9874997/" TargetMode="External" /><Relationship Type="http://schemas.openxmlformats.org/officeDocument/2006/relationships/hyperlink" Id="rId129" Target="https://www.sciencedirect.com/science/article/pii/0022053170900396" TargetMode="External" /><Relationship Type="http://schemas.openxmlformats.org/officeDocument/2006/relationships/hyperlink" Id="rId135" Target="https://www.sciencedirect.com/science/article/pii/S0277953697000440" TargetMode="External" /><Relationship Type="http://schemas.openxmlformats.org/officeDocument/2006/relationships/hyperlink" Id="rId114"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7/s10888-006-9050-8" TargetMode="External" /><Relationship Type="http://schemas.openxmlformats.org/officeDocument/2006/relationships/hyperlink" Id="rId89" Target="https://doi.org/10.1007/s13524-011-0014-7" TargetMode="External" /><Relationship Type="http://schemas.openxmlformats.org/officeDocument/2006/relationships/hyperlink" Id="rId87" Target="https://doi.org/10.1007/s13524-018-0719-y" TargetMode="External" /><Relationship Type="http://schemas.openxmlformats.org/officeDocument/2006/relationships/hyperlink" Id="rId101" Target="https://doi.org/10.1007/s13524-019-00772-8" TargetMode="External" /><Relationship Type="http://schemas.openxmlformats.org/officeDocument/2006/relationships/hyperlink" Id="rId130" Target="https://doi.org/10.1016/0022-0531(70)90039-6" TargetMode="External" /><Relationship Type="http://schemas.openxmlformats.org/officeDocument/2006/relationships/hyperlink" Id="rId136" Target="https://doi.org/10.1016/S0277-9536(97)00044-0" TargetMode="External" /><Relationship Type="http://schemas.openxmlformats.org/officeDocument/2006/relationships/hyperlink" Id="rId115" Target="https://doi.org/10.1016/j.ssmph.2020.100564" TargetMode="External" /><Relationship Type="http://schemas.openxmlformats.org/officeDocument/2006/relationships/hyperlink" Id="rId85" Target="https://doi.org/10.1037/11282-004" TargetMode="External" /><Relationship Type="http://schemas.openxmlformats.org/officeDocument/2006/relationships/hyperlink" Id="rId99" Target="https://doi.org/10.1086/724835" TargetMode="External" /><Relationship Type="http://schemas.openxmlformats.org/officeDocument/2006/relationships/hyperlink" Id="rId77" Target="https://doi.org/10.1086/728741" TargetMode="External" /><Relationship Type="http://schemas.openxmlformats.org/officeDocument/2006/relationships/hyperlink" Id="rId126" Target="https://doi.org/10.1093/jssam/smab038" TargetMode="External" /><Relationship Type="http://schemas.openxmlformats.org/officeDocument/2006/relationships/hyperlink" Id="rId82" Target="https://doi.org/10.1093/qje/qjw004" TargetMode="External" /><Relationship Type="http://schemas.openxmlformats.org/officeDocument/2006/relationships/hyperlink" Id="rId91" Target="https://doi.org/10.1093/ser/mwad033" TargetMode="External" /><Relationship Type="http://schemas.openxmlformats.org/officeDocument/2006/relationships/hyperlink" Id="rId123" Target="https://doi.org/10.1093/sf/sov075" TargetMode="External" /><Relationship Type="http://schemas.openxmlformats.org/officeDocument/2006/relationships/hyperlink" Id="rId133" Target="https://doi.org/10.1136/jech.2006.052969" TargetMode="External" /><Relationship Type="http://schemas.openxmlformats.org/officeDocument/2006/relationships/hyperlink" Id="rId80" Target="https://doi.org/10.1146/annurev-soc-060116-053331" TargetMode="External" /><Relationship Type="http://schemas.openxmlformats.org/officeDocument/2006/relationships/hyperlink" Id="rId144" Target="https://doi.org/10.1177/0002716213497452" TargetMode="External" /><Relationship Type="http://schemas.openxmlformats.org/officeDocument/2006/relationships/hyperlink" Id="rId104" Target="https://doi.org/10.1177/0003122417695791" TargetMode="External" /><Relationship Type="http://schemas.openxmlformats.org/officeDocument/2006/relationships/hyperlink" Id="rId93" Target="https://doi.org/10.1177/00031224251319001" TargetMode="External" /><Relationship Type="http://schemas.openxmlformats.org/officeDocument/2006/relationships/hyperlink" Id="rId96" Target="https://doi.org/10.1257/aer.20190553" TargetMode="External" /><Relationship Type="http://schemas.openxmlformats.org/officeDocument/2006/relationships/hyperlink" Id="rId119" Target="https://doi.org/10.1257/jep.27.3.79" TargetMode="External" /><Relationship Type="http://schemas.openxmlformats.org/officeDocument/2006/relationships/hyperlink" Id="rId107" Target="https://doi.org/10.3233/JEM-160421" TargetMode="External" /><Relationship Type="http://schemas.openxmlformats.org/officeDocument/2006/relationships/hyperlink" Id="rId74" Target="https://doi.org/10.3386/w33823" TargetMode="External" /><Relationship Type="http://schemas.openxmlformats.org/officeDocument/2006/relationships/hyperlink" Id="rId109" Target="https://doi.org/10.4324/9780203707425" TargetMode="External" /><Relationship Type="http://schemas.openxmlformats.org/officeDocument/2006/relationships/hyperlink" Id="rId112" Target="https://doi.org/doi.org/10.1146/annurev-soc-030320-115024" TargetMode="External" /><Relationship Type="http://schemas.openxmlformats.org/officeDocument/2006/relationships/hyperlink" Id="rId69" Target="https://fred.stlouisfed.org/series/SIPOVGINIUSA" TargetMode="External" /><Relationship Type="http://schemas.openxmlformats.org/officeDocument/2006/relationships/hyperlink" Id="rId95" Target="https://pubs.aeaweb.org/doi/10.1257/aer.20190553" TargetMode="External" /><Relationship Type="http://schemas.openxmlformats.org/officeDocument/2006/relationships/hyperlink" Id="rId138" Target="https://research.ebsco.com/linkprocessor/plink?id=183a0f60-6b65-3238-9faf-59d099fff528" TargetMode="External" /><Relationship Type="http://schemas.openxmlformats.org/officeDocument/2006/relationships/hyperlink" Id="rId111" Target="https://www-annualreviews-org.turing.library.northwestern.edu/content/journals/10.1146/annurev-soc-030320-115024" TargetMode="External" /><Relationship Type="http://schemas.openxmlformats.org/officeDocument/2006/relationships/hyperlink" Id="rId98" Target="https://www-journals-uchicago-edu.turing.library.northwestern.edu/doi/full/10.1086/724835" TargetMode="External" /><Relationship Type="http://schemas.openxmlformats.org/officeDocument/2006/relationships/hyperlink" Id="rId118" Target="https://www.aeaweb.org/articles?id=10.1257/jep.27.3.79" TargetMode="External" /><Relationship Type="http://schemas.openxmlformats.org/officeDocument/2006/relationships/hyperlink" Id="rId79" Target="https://www.annualreviews.org/doi/10.1146/annurev-soc-060116-053331" TargetMode="External" /><Relationship Type="http://schemas.openxmlformats.org/officeDocument/2006/relationships/hyperlink" Id="rId71" Target="https://www.bakerinstitute.org/research/decline-us-wealth-and-income-inequality" TargetMode="External" /><Relationship Type="http://schemas.openxmlformats.org/officeDocument/2006/relationships/hyperlink" Id="rId141" Target="https://www.census.gov/data/tables/time-series/demo/income-poverty/historical-income-inequality.html" TargetMode="External" /><Relationship Type="http://schemas.openxmlformats.org/officeDocument/2006/relationships/hyperlink" Id="rId76" Target="https://www.journals.uchicago.edu/doi/10.1086/728741" TargetMode="External" /><Relationship Type="http://schemas.openxmlformats.org/officeDocument/2006/relationships/hyperlink" Id="rId121" Target="https://www.jstor.org/stable/10.7758/9781610447805" TargetMode="External" /><Relationship Type="http://schemas.openxmlformats.org/officeDocument/2006/relationships/hyperlink" Id="rId73" Target="https://www.nber.org/papers/w33823" TargetMode="External" /><Relationship Type="http://schemas.openxmlformats.org/officeDocument/2006/relationships/hyperlink" Id="rId132" Target="https://www.ncbi.nlm.nih.gov/pmc/articles/PMC2652960/" TargetMode="External" /><Relationship Type="http://schemas.openxmlformats.org/officeDocument/2006/relationships/hyperlink" Id="rId125" Target="https://www.ncbi.nlm.nih.gov/pmc/articles/PMC9874997/" TargetMode="External" /><Relationship Type="http://schemas.openxmlformats.org/officeDocument/2006/relationships/hyperlink" Id="rId129" Target="https://www.sciencedirect.com/science/article/pii/0022053170900396" TargetMode="External" /><Relationship Type="http://schemas.openxmlformats.org/officeDocument/2006/relationships/hyperlink" Id="rId135" Target="https://www.sciencedirect.com/science/article/pii/S0277953697000440" TargetMode="External" /><Relationship Type="http://schemas.openxmlformats.org/officeDocument/2006/relationships/hyperlink" Id="rId114"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Names</dc:creator>
  <cp:keywords>put keywords here</cp:keywords>
  <dcterms:created xsi:type="dcterms:W3CDTF">2026-03-12T15:35:18Z</dcterms:created>
  <dcterms:modified xsi:type="dcterms:W3CDTF">2026-03-12T15:35:18Z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March 12,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