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Override PartName="/word/media/rId13.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Names</w:t>
      </w:r>
    </w:p>
    <w:p>
      <w:pPr>
        <w:pStyle w:val="Date"/>
      </w:pPr>
      <w:r>
        <w:t xml:space="preserve">April 10, 2026</w:t>
      </w:r>
    </w:p>
    <w:bookmarkStart w:id="9" w:name="abstract"/>
    <w:p>
      <w:pPr>
        <w:pStyle w:val="Heading1"/>
      </w:pPr>
      <w:r>
        <w:t xml:space="preserve">Abstract</w:t>
      </w:r>
    </w:p>
    <w:p>
      <w:pPr>
        <w:pStyle w:val="FirstParagraph"/>
      </w:pPr>
      <w:r>
        <w:t xml:space="preserve">Most macro-level studies of inequality treat households as the primary unit of analysis, focusing on disparities between households. As a result, far less is known about inequality between extended families. Building on research highlighting the importance of intergenerational family ties, we examine income and wealth inequality in the United States using both households and intergenerational extended families—hereafter referred to as clans. Using data from the Panel Study of Income Dynamics (PSID), we calculate Gini coefficients for income and wealth at the household and clan levels from 1968 to 2023. We find that both income and wealth inequality are higher when measured at the household level than at the clan level. Wealth inequality has increased at similar rates across both units, whereas income inequality has grown more rapidly at the clan level than at the household level. These divergent patterns reflect differences in where inequality emerges within the distributions: the gap between household and clan wealth inequality is driven primarily by those in the middle of the wealth distribution, while the gap in income inequality is driven by units across the entire income distribution. Finally, although the mean racial wealth gap between Black and non-Black households and clans is similar, the median racial wealth gap is more pronounced at the household level. Together, these findings underscore the importance of considering extended families—in addition to households—when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across households, leaving inequality across extended families largely unexplored.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1968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2"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1968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(clans). Weighted mean wealth: $490,457 (households), $1,884,939 (clans; includes home equity). Income Gini changed by 16.0% for households (0.41 in 1968 to 0.48 in 2022) and by 20.6% for clans (0.30 to 0.36). Wealth Gini changed by 4.5% for households (0.78 in 1984 to 0.81 in 2023) and by 4.4% for clans (0.61 to 0.64). On average across all years, the income Gini is 0.123 higher for households than clans; the wealth Gini is 0.160 higher.</w:t>
      </w:r>
      <w:r>
        <w:rPr>
          <w:i/>
          <w:iCs/>
        </w:rPr>
        <w:t xml:space="preserve"> </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less so for income. Income inequality measured at the household level rose by 16.0% from 0.41 in 1969 to 0.48 in 2023. Income inequality measured at the clan level, meanwhile, rose 20.6% from 0.30 to 0.36 over the same period. Though both measurements are trending upwards, clan income inequality is increasing at a faster pace than household income inequality.</w:t>
      </w:r>
    </w:p>
    <w:p>
      <w:pPr>
        <w:pStyle w:val="BodyText"/>
      </w:pPr>
      <w:r>
        <w:t xml:space="preserve">Unlike income inequality, the difference between household and clan wealth inequality has remained remarkably consistent. The household wealth Gini has increased only slightly from 0.78 in 1984 to 0.81 in 2023, a 4.5% increase. At the clan level, it rose from 0.61 to 0.64 over the same period, which also constitutes a 4.4% increase. Importantly, these trends reflect inequality measured among households that exclude the very top of the wealth distribution.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 at two time points.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includes home equity.Income in 1984: weighted mean (median) $27,647 ($22,520) for households, $85,338 ($71,914) for clans. Income in 2023: $297,591 ($196,196) for households,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How the unit of analysis affects the racial wealth gap.</w:t>
      </w:r>
      <w:r>
        <w:t xml:space="preserve"> </w:t>
      </w:r>
      <w:r>
        <w:t xml:space="preserve">Scholars document a persistent racial wealth gap between Black and non-Black households</w:t>
      </w:r>
      <w:r>
        <w:t xml:space="preserve"> </w:t>
      </w:r>
      <w:r>
        <w:t xml:space="preserve">[5, 20]</w:t>
      </w:r>
      <w:r>
        <w:t xml:space="preserve">, while also highlighting the unique role of kinship networks in shaping economic outcomes by race</w:t>
      </w:r>
      <w:r>
        <w:t xml:space="preserve"> </w:t>
      </w:r>
      <w:r>
        <w:t xml:space="preserve">[21, 22]</w:t>
      </w:r>
      <w:r>
        <w:t xml:space="preserve">.</w:t>
      </w:r>
    </w:p>
    <w:p>
      <w:pPr>
        <w:pStyle w:val="BodyText"/>
      </w:pPr>
      <w:r>
        <w:drawing>
          <wp:inline>
            <wp:extent cx="5334000" cy="4191000"/>
            <wp:effectExtent b="0" l="0" r="0" t="0"/>
            <wp:docPr descr="" title="" id="20" name="Picture"/>
            <a:graphic>
              <a:graphicData uri="http://schemas.openxmlformats.org/drawingml/2006/picture">
                <pic:pic>
                  <pic:nvPicPr>
                    <pic:cNvPr descr="/Users/amanda/Desktop/clan_project/10_draft/output/write_files/figure-docx/figure3-1.png"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Black to Non-Black wealth for households and clans (includes home equity), using weighted medians. Weighted median wealth: Black HH $6,908, Non-Black HH $79,216, Black clans $58,326, Non-Black clans $306,988. Median ratio changed by -4.6% for households (0.07 in 1984 to 0.07 in 2023) and 7.5% for clans (0.20 to 0.22). On average across all years, the median ratio is -0.112 higher for households than clans. See Appendix E for mean wealth ratios.</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inclusion criteria for income and wealth measures, different samples, alternative measures of inequality, and when adjusting for household and clan size. Results from sensitivity analyses are available in Appendix C and D.</w:t>
      </w:r>
    </w:p>
    <w:bookmarkEnd w:id="22"/>
    <w:bookmarkStart w:id="23"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 other words, an individual’s extended family was more economically similar on average to other extended families than their household was to other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23]</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Our extended family perspective also has implications for our understandings of the racial wealth gap. We found the mean racial wealth gap between Black and non-Black households and clans is similar, but the median racial wealth gap is more pronounced at the household level. These patterns suggest that while Black households hold substantially less wealth on average than non-Black ones, wealth among Black households is also distributed with greater inequality compared to XX. In part, this may reflect that the share of Black clans with zero wealth is lower than the share of Black households with zero wealth. Together, these patterns indicate that household-based measures may obscure important features of racial wealth inequality that become visible only when extended family structures are taken into account. Our findings are striking because they appear to run counter to scholarship on intergenerational mobility that argues that we may overestimate mobility by focusing on households rather than extended families. In contrast, we find inequality looks more extreme when measured at the household, compared to extended family levels. One possible explanation for this difference lies in how patterns of mobility accumulate across generations.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[24–26]</w:t>
      </w:r>
      <w:r>
        <w:t xml:space="preserve"> </w:t>
      </w:r>
      <w:r>
        <w:t xml:space="preserve">may operate on both the household and clan levels, fueling future differences in inequality between households and clans.</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3"/>
    <w:bookmarkStart w:id="25"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Additionally, although all households belong to a clan, not all extended family members are observed in the PSID in every year. In some cases (especially in earlier years)</w:t>
      </w:r>
      <w:r>
        <w:rPr>
          <w:rStyle w:val="FootnoteReference"/>
        </w:rPr>
        <w:footnoteReference w:id="24"/>
      </w:r>
      <w:r>
        <w:t xml:space="preserve">, PSID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reduces the household–clan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23]</w:t>
      </w:r>
      <w:r>
        <w:t xml:space="preserve">. Aggregate measures for income and wealth are provided by the PSID. Income includes earnings, asset income, transfers, and income from farming and gardening. Income is recorded for the year prior to when the survey is fielded. For example, survey data collected in 2023 asks about income in 2022.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clan level, but the difference between household and clan-level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[23, 27]</w:t>
      </w:r>
      <w:r>
        <w:t xml:space="preserve">. All income and wealth values are adjusted for inflation. Additionally, analyses set negative values of income and wealth to zero so that Gini coefficients are interpretable by remaining in the 0 to 1 range. When negative values are included, Gini coefficents are about the same (see Appendix C4).</w:t>
      </w:r>
    </w:p>
    <w:p>
      <w:pPr>
        <w:pStyle w:val="BodyText"/>
      </w:pPr>
      <w:r>
        <w:t xml:space="preserve">To construct clan-level measures, we aggregate household income and wealth for all households in a clan within each clan-year. Measures are divided by the number of people in a household or number of households within a clan to standardize by household and clan size, respectively. Adjusting for size descreased inequality and magnifies the difference between household and clan Gini coefficients. Nonetheless, less inequality is estimated when clans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[28]</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[29–31]</w:t>
      </w:r>
      <w:r>
        <w:t xml:space="preserve">. To assess whether our results depend on where inequality is concentrated along the distribution, we also examine two related measures, referred to as the Gini’s</w:t>
      </w:r>
      <w:r>
        <w:t xml:space="preserve"> </w:t>
      </w:r>
      <w:r>
        <w:t xml:space="preserve">“nuclear family”</w:t>
      </w:r>
      <w:r>
        <w:t xml:space="preserve"> </w:t>
      </w:r>
      <w:r>
        <w:t xml:space="preserve">[32]</w:t>
      </w:r>
      <w:r>
        <w:t xml:space="preserve">. Across all measures, we find that estimated inequality is consistently lower when measured at the clan level than at the household level for both income and wealth (see Appendix G).</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B).</w:t>
      </w:r>
    </w:p>
    <w:bookmarkEnd w:id="25"/>
    <w:bookmarkStart w:id="37" w:name="appendix"/>
    <w:p>
      <w:pPr>
        <w:pStyle w:val="Heading1"/>
      </w:pPr>
      <w:r>
        <w:t xml:space="preserve">Appendix</w:t>
      </w:r>
    </w:p>
    <w:bookmarkStart w:id="35" w:name="appendix-a-simulating-gini-coefficients"/>
    <w:p>
      <w:pPr>
        <w:pStyle w:val="Heading2"/>
      </w:pP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7" name="Picture"/>
            <a:graphic>
              <a:graphicData uri="http://schemas.openxmlformats.org/drawingml/2006/picture">
                <pic:pic>
                  <pic:nvPicPr>
                    <pic:cNvPr descr="/Users/amanda/Desktop/clan_project/10_draft/output/write_files/figure-docx/appendix-a1-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0" name="Picture"/>
            <a:graphic>
              <a:graphicData uri="http://schemas.openxmlformats.org/drawingml/2006/picture">
                <pic:pic>
                  <pic:nvPicPr>
                    <pic:cNvPr descr="/Users/amanda/Desktop/clan_project/10_draft/output/write_files/figure-docx/appendix-a2-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3" name="Picture"/>
            <a:graphic>
              <a:graphicData uri="http://schemas.openxmlformats.org/drawingml/2006/picture">
                <pic:pic>
                  <pic:nvPicPr>
                    <pic:cNvPr descr="/Users/amanda/Desktop/clan_project/10_draft/output/write_files/figure-docx/appendix-a3-1.png" id="34" name="Picture"/>
                    <pic:cNvPicPr>
                      <a:picLocks noChangeArrowheads="1" noChangeAspect="1"/>
                    </pic:cNvPicPr>
                  </pic:nvPicPr>
                  <pic:blipFill>
                    <a:blip r:embed="rId32"/>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5"/>
    <w:bookmarkStart w:id="36"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33]</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[34, 35]</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6"/>
    <w:bookmarkEnd w:id="37"/>
    <w:bookmarkStart w:id="62" w:name="X1a48765accbb976c449929efb9c303c48aeac11"/>
    <w:p>
      <w:pPr>
        <w:pStyle w:val="Heading1"/>
      </w:pPr>
      <w:r>
        <w:t xml:space="preserve">Appendix C: Sensitivity Analyses — Gini Coefficients</w:t>
      </w:r>
    </w:p>
    <w:bookmarkStart w:id="41" w:name="X2af1039fa4a14e53aec9c9fa061f4e8992f7595"/>
    <w:p>
      <w:pPr>
        <w:pStyle w:val="Heading2"/>
      </w:pPr>
      <w:r>
        <w:t xml:space="preserve">Appendix C1: Gini Coefficients by Race Subgroup</w:t>
      </w:r>
    </w:p>
    <w:p>
      <w:pPr>
        <w:pStyle w:val="FirstParagraph"/>
      </w:pPr>
      <w:r>
        <w:t xml:space="preserve">Graphs on the left side show Gini cofficients for Black households and clans. Graphs in the middle show Gini coefficients for non-Black households and clans. The graphs on the right side show the difference between household and clan (HH - Clan) Gini coefficients for each group. Both Black and non-Black clans have higher Gini coefficients than Black and non-Black households, indicating that inequaltiy is lower when estimated at the clan level. The differences between Gini coefficients at the household and clan level are not driven by racial subgroups.</w:t>
      </w:r>
    </w:p>
    <w:p>
      <w:pPr>
        <w:pStyle w:val="BodyText"/>
      </w:pPr>
      <w:r>
        <w:drawing>
          <wp:inline>
            <wp:extent cx="5334000" cy="4191000"/>
            <wp:effectExtent b="0" l="0" r="0" t="0"/>
            <wp:docPr descr="" title="" id="39" name="Picture"/>
            <a:graphic>
              <a:graphicData uri="http://schemas.openxmlformats.org/drawingml/2006/picture">
                <pic:pic>
                  <pic:nvPicPr>
                    <pic:cNvPr descr="/Users/amanda/Desktop/clan_project/10_draft/output/write_files/figure-docx/appendix-c1-1.png" id="40" name="Picture"/>
                    <pic:cNvPicPr>
                      <a:picLocks noChangeArrowheads="1" noChangeAspect="1"/>
                    </pic:cNvPicPr>
                  </pic:nvPicPr>
                  <pic:blipFill>
                    <a:blip r:embed="rId38"/>
                    <a:stretch>
                      <a:fillRect/>
                    </a:stretch>
                  </pic:blipFill>
                  <pic:spPr bwMode="auto">
                    <a:xfrm>
                      <a:off x="0" y="0"/>
                      <a:ext cx="5334000" cy="4191000"/>
                    </a:xfrm>
                    <a:prstGeom prst="rect">
                      <a:avLst/>
                    </a:prstGeom>
                    <a:noFill/>
                    <a:ln w="9525">
                      <a:noFill/>
                      <a:headEnd/>
                      <a:tailEnd/>
                    </a:ln>
                  </pic:spPr>
                </pic:pic>
              </a:graphicData>
            </a:graphic>
          </wp:inline>
        </w:drawing>
      </w:r>
    </w:p>
    <w:bookmarkEnd w:id="41"/>
    <w:bookmarkStart w:id="45" w:name="X05171309a402648ffa9946822f50c48bfc2d2fb"/>
    <w:p>
      <w:pPr>
        <w:pStyle w:val="Heading2"/>
      </w:pPr>
      <w:r>
        <w:t xml:space="preserve">Appendix C2: Sensitivity — Single-Household Clans</w:t>
      </w:r>
    </w:p>
    <w:p>
      <w:pPr>
        <w:pStyle w:val="FirstParagraph"/>
      </w:pPr>
      <w:r>
        <w:t xml:space="preserve">In reality, all households belong to clans that consist of multiple households. However, due to the original PSID sample lacking clans by design, as well as attrition, some clans in the PSID comprise a single household in some years. Because this limitation is imposed by the survey design, not social reality, we exclude household-years where households are alone in their clans from both household and clan measurements. The graphs on the left side show this. When including these single-household clans, or</w:t>
      </w:r>
      <w:r>
        <w:t xml:space="preserve"> </w:t>
      </w:r>
      <w:r>
        <w:t xml:space="preserve">“clanless”</w:t>
      </w:r>
      <w:r>
        <w:t xml:space="preserve"> </w:t>
      </w:r>
      <w:r>
        <w:t xml:space="preserve">households, the difference in Gini coefficients at the household and clans levels is minimized but not eliminated. The graphs in the middle show Gini coefficients when single-household clans are included. The graphs on the right side show the difference between household and clan (HH - Clan) Gini coefficients for each group.</w:t>
      </w:r>
    </w:p>
    <w:p>
      <w:pPr>
        <w:pStyle w:val="BodyText"/>
      </w:pPr>
      <w:r>
        <w:drawing>
          <wp:inline>
            <wp:extent cx="5334000" cy="4191000"/>
            <wp:effectExtent b="0" l="0" r="0" t="0"/>
            <wp:docPr descr="" title="" id="43" name="Picture"/>
            <a:graphic>
              <a:graphicData uri="http://schemas.openxmlformats.org/drawingml/2006/picture">
                <pic:pic>
                  <pic:nvPicPr>
                    <pic:cNvPr descr="/Users/amanda/Desktop/clan_project/10_draft/output/write_files/figure-docx/appendix-c2-1.png" id="44" name="Picture"/>
                    <pic:cNvPicPr>
                      <a:picLocks noChangeArrowheads="1" noChangeAspect="1"/>
                    </pic:cNvPicPr>
                  </pic:nvPicPr>
                  <pic:blipFill>
                    <a:blip r:embed="rId42"/>
                    <a:stretch>
                      <a:fillRect/>
                    </a:stretch>
                  </pic:blipFill>
                  <pic:spPr bwMode="auto">
                    <a:xfrm>
                      <a:off x="0" y="0"/>
                      <a:ext cx="5334000" cy="4191000"/>
                    </a:xfrm>
                    <a:prstGeom prst="rect">
                      <a:avLst/>
                    </a:prstGeom>
                    <a:noFill/>
                    <a:ln w="9525">
                      <a:noFill/>
                      <a:headEnd/>
                      <a:tailEnd/>
                    </a:ln>
                  </pic:spPr>
                </pic:pic>
              </a:graphicData>
            </a:graphic>
          </wp:inline>
        </w:drawing>
      </w:r>
    </w:p>
    <w:bookmarkEnd w:id="45"/>
    <w:bookmarkStart w:id="49"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 the difference between Gini coefficients at the household and clan levels (graphs on the right). Excluding home equity makes estimated inequality lower and minimizes the observed difference between household and clan Gini coefficients.</w:t>
      </w:r>
    </w:p>
    <w:p>
      <w:pPr>
        <w:pStyle w:val="BodyText"/>
      </w:pPr>
      <w:r>
        <w:drawing>
          <wp:inline>
            <wp:extent cx="5334000" cy="2667000"/>
            <wp:effectExtent b="0" l="0" r="0" t="0"/>
            <wp:docPr descr="" title="" id="47" name="Picture"/>
            <a:graphic>
              <a:graphicData uri="http://schemas.openxmlformats.org/drawingml/2006/picture">
                <pic:pic>
                  <pic:nvPicPr>
                    <pic:cNvPr descr="/Users/amanda/Desktop/clan_project/10_draft/output/write_files/figure-docx/appendix-c3-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bookmarkEnd w:id="49"/>
    <w:bookmarkStart w:id="53"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 Gini coefficients when negative values are included (middle graphs), and report the difference between Gini coefficients at the household and clan levels (graphs on the right). Including negative values does not change estimated Gini coefficients at the household or clan levels.</w:t>
      </w:r>
    </w:p>
    <w:p>
      <w:pPr>
        <w:pStyle w:val="BodyText"/>
      </w:pPr>
      <w:r>
        <w:drawing>
          <wp:inline>
            <wp:extent cx="5334000" cy="4191000"/>
            <wp:effectExtent b="0" l="0" r="0" t="0"/>
            <wp:docPr descr="" title="" id="51" name="Picture"/>
            <a:graphic>
              <a:graphicData uri="http://schemas.openxmlformats.org/drawingml/2006/picture">
                <pic:pic>
                  <pic:nvPicPr>
                    <pic:cNvPr descr="/Users/amanda/Desktop/clan_project/10_draft/output/write_files/figure-docx/appendix-c4-1.png" id="52" name="Picture"/>
                    <pic:cNvPicPr>
                      <a:picLocks noChangeArrowheads="1" noChangeAspect="1"/>
                    </pic:cNvPicPr>
                  </pic:nvPicPr>
                  <pic:blipFill>
                    <a:blip r:embed="rId50"/>
                    <a:stretch>
                      <a:fillRect/>
                    </a:stretch>
                  </pic:blipFill>
                  <pic:spPr bwMode="auto">
                    <a:xfrm>
                      <a:off x="0" y="0"/>
                      <a:ext cx="5334000" cy="4191000"/>
                    </a:xfrm>
                    <a:prstGeom prst="rect">
                      <a:avLst/>
                    </a:prstGeom>
                    <a:noFill/>
                    <a:ln w="9525">
                      <a:noFill/>
                      <a:headEnd/>
                      <a:tailEnd/>
                    </a:ln>
                  </pic:spPr>
                </pic:pic>
              </a:graphicData>
            </a:graphic>
          </wp:inline>
        </w:drawing>
      </w:r>
    </w:p>
    <w:bookmarkEnd w:id="53"/>
    <w:bookmarkStart w:id="57" w:name="X77e9005b9b6a06de423e46c0fd275669ef06bbc"/>
    <w:p>
      <w:pPr>
        <w:pStyle w:val="Heading2"/>
      </w:pPr>
      <w:r>
        <w:t xml:space="preserve">Appendix C5: Sensitivity — Size Standardization</w:t>
      </w:r>
    </w:p>
    <w:p>
      <w:pPr>
        <w:pStyle w:val="FirstParagraph"/>
      </w:pPr>
      <w:r>
        <w:t xml:space="preserve">Results in the main text standardize by household and clan size. Estimated inequality is higher when results are not standardized by size and the gap between household and clan Gini coefficients is smaller. However, Gini coefficients are higher at the clan versus household level irrespective of whether measurements are adjusted by size.</w:t>
      </w:r>
    </w:p>
    <w:p>
      <w:pPr>
        <w:pStyle w:val="BodyText"/>
      </w:pPr>
      <w:r>
        <w:drawing>
          <wp:inline>
            <wp:extent cx="5334000" cy="4191000"/>
            <wp:effectExtent b="0" l="0" r="0" t="0"/>
            <wp:docPr descr="" title="" id="55" name="Picture"/>
            <a:graphic>
              <a:graphicData uri="http://schemas.openxmlformats.org/drawingml/2006/picture">
                <pic:pic>
                  <pic:nvPicPr>
                    <pic:cNvPr descr="/Users/amanda/Desktop/clan_project/10_draft/output/write_files/figure-docx/appendix-c5-1.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bookmarkEnd w:id="57"/>
    <w:bookmarkStart w:id="61"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on the PSID family weight. Weighting does not substantially change the results.</w:t>
      </w:r>
    </w:p>
    <w:p>
      <w:pPr>
        <w:pStyle w:val="BodyText"/>
      </w:pPr>
      <w:r>
        <w:drawing>
          <wp:inline>
            <wp:extent cx="5334000" cy="4191000"/>
            <wp:effectExtent b="0" l="0" r="0" t="0"/>
            <wp:docPr descr="" title="" id="59" name="Picture"/>
            <a:graphic>
              <a:graphicData uri="http://schemas.openxmlformats.org/drawingml/2006/picture">
                <pic:pic>
                  <pic:nvPicPr>
                    <pic:cNvPr descr="/Users/amanda/Desktop/clan_project/10_draft/output/write_files/figure-docx/appendix-c6-1.png" id="60" name="Picture"/>
                    <pic:cNvPicPr>
                      <a:picLocks noChangeArrowheads="1" noChangeAspect="1"/>
                    </pic:cNvPicPr>
                  </pic:nvPicPr>
                  <pic:blipFill>
                    <a:blip r:embed="rId58"/>
                    <a:stretch>
                      <a:fillRect/>
                    </a:stretch>
                  </pic:blipFill>
                  <pic:spPr bwMode="auto">
                    <a:xfrm>
                      <a:off x="0" y="0"/>
                      <a:ext cx="5334000" cy="4191000"/>
                    </a:xfrm>
                    <a:prstGeom prst="rect">
                      <a:avLst/>
                    </a:prstGeom>
                    <a:noFill/>
                    <a:ln w="9525">
                      <a:noFill/>
                      <a:headEnd/>
                      <a:tailEnd/>
                    </a:ln>
                  </pic:spPr>
                </pic:pic>
              </a:graphicData>
            </a:graphic>
          </wp:inline>
        </w:drawing>
      </w:r>
    </w:p>
    <w:bookmarkEnd w:id="61"/>
    <w:bookmarkEnd w:id="62"/>
    <w:bookmarkStart w:id="66"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[32]</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clan level using any measure of inequality.</w:t>
      </w:r>
    </w:p>
    <w:p>
      <w:pPr>
        <w:pStyle w:val="BodyText"/>
      </w:pPr>
      <w:r>
        <w:drawing>
          <wp:inline>
            <wp:extent cx="5334000" cy="4953000"/>
            <wp:effectExtent b="0" l="0" r="0" t="0"/>
            <wp:docPr descr="" title="" id="64" name="Picture"/>
            <a:graphic>
              <a:graphicData uri="http://schemas.openxmlformats.org/drawingml/2006/picture">
                <pic:pic>
                  <pic:nvPicPr>
                    <pic:cNvPr descr="/Users/amanda/Desktop/clan_project/10_draft/output/write_files/figure-docx/appendix-d-1.png" id="65" name="Picture"/>
                    <pic:cNvPicPr>
                      <a:picLocks noChangeArrowheads="1" noChangeAspect="1"/>
                    </pic:cNvPicPr>
                  </pic:nvPicPr>
                  <pic:blipFill>
                    <a:blip r:embed="rId63"/>
                    <a:stretch>
                      <a:fillRect/>
                    </a:stretch>
                  </pic:blipFill>
                  <pic:spPr bwMode="auto">
                    <a:xfrm>
                      <a:off x="0" y="0"/>
                      <a:ext cx="5334000" cy="4953000"/>
                    </a:xfrm>
                    <a:prstGeom prst="rect">
                      <a:avLst/>
                    </a:prstGeom>
                    <a:noFill/>
                    <a:ln w="9525">
                      <a:noFill/>
                      <a:headEnd/>
                      <a:tailEnd/>
                    </a:ln>
                  </pic:spPr>
                </pic:pic>
              </a:graphicData>
            </a:graphic>
          </wp:inline>
        </w:drawing>
      </w:r>
    </w:p>
    <w:bookmarkEnd w:id="66"/>
    <w:bookmarkStart w:id="70" w:name="appendix-e-mean-wealth-ratios"/>
    <w:p>
      <w:pPr>
        <w:pStyle w:val="Heading1"/>
      </w:pPr>
      <w:r>
        <w:t xml:space="preserve">Appendix E: Mean Wealth Ratios</w:t>
      </w:r>
    </w:p>
    <w:p>
      <w:pPr>
        <w:pStyle w:val="FirstParagraph"/>
      </w:pPr>
      <w:r>
        <w:t xml:space="preserve">Appendix E shows Black / Non-Black wealth ratios using weighted means for households and clans. Panel A shows the median wealth ratio (as in Figure 3) and Panel B shows the mean wealth ratio.</w:t>
      </w:r>
    </w:p>
    <w:p>
      <w:pPr>
        <w:pStyle w:val="BodyText"/>
      </w:pPr>
      <w:r>
        <w:drawing>
          <wp:inline>
            <wp:extent cx="5334000" cy="4191000"/>
            <wp:effectExtent b="0" l="0" r="0" t="0"/>
            <wp:docPr descr="" title="" id="68" name="Picture"/>
            <a:graphic>
              <a:graphicData uri="http://schemas.openxmlformats.org/drawingml/2006/picture">
                <pic:pic>
                  <pic:nvPicPr>
                    <pic:cNvPr descr="/Users/amanda/Desktop/clan_project/10_draft/output/write_files/figure-docx/appendix-e-1.png" id="69" name="Picture"/>
                    <pic:cNvPicPr>
                      <a:picLocks noChangeArrowheads="1" noChangeAspect="1"/>
                    </pic:cNvPicPr>
                  </pic:nvPicPr>
                  <pic:blipFill>
                    <a:blip r:embed="rId67"/>
                    <a:stretch>
                      <a:fillRect/>
                    </a:stretch>
                  </pic:blipFill>
                  <pic:spPr bwMode="auto">
                    <a:xfrm>
                      <a:off x="0" y="0"/>
                      <a:ext cx="5334000" cy="4191000"/>
                    </a:xfrm>
                    <a:prstGeom prst="rect">
                      <a:avLst/>
                    </a:prstGeom>
                    <a:noFill/>
                    <a:ln w="9525">
                      <a:noFill/>
                      <a:headEnd/>
                      <a:tailEnd/>
                    </a:ln>
                  </pic:spPr>
                </pic:pic>
              </a:graphicData>
            </a:graphic>
          </wp:inline>
        </w:drawing>
      </w:r>
    </w:p>
    <w:bookmarkEnd w:id="70"/>
    <w:bookmarkStart w:id="169" w:name="Xcb67444dabb8bef906448ddac13bb8f671ea2d1"/>
    <w:p>
      <w:pPr>
        <w:pStyle w:val="Heading1"/>
      </w:pPr>
      <w:r>
        <w:t xml:space="preserve">Appendix F: Sensitivity Analyses — Race Ratios</w:t>
      </w:r>
    </w:p>
    <w:bookmarkStart w:id="74" w:name="Xdacf5f8268f7e32ded330e1ac8914f6f3f1aa6f"/>
    <w:p>
      <w:pPr>
        <w:pStyle w:val="Heading2"/>
      </w:pPr>
      <w:r>
        <w:t xml:space="preserve">Appendix F1: Race Ratios — Single-Household Clans</w:t>
      </w:r>
    </w:p>
    <w:p>
      <w:pPr>
        <w:pStyle w:val="FirstParagraph"/>
      </w:pPr>
      <w:r>
        <w:t xml:space="preserve">Appendix F1 shows Black / Non-Black wealth ratios when single-household clans are excluded (main specification, left panels) versus included (right panels). Panel A shows median wealth ratios and Panel B shows mean wealth ratios. Including single-household clans minimizes but does not eliminate the difference between household and clan race ratios.</w:t>
      </w:r>
    </w:p>
    <w:p>
      <w:pPr>
        <w:pStyle w:val="BodyText"/>
      </w:pPr>
      <w:r>
        <w:drawing>
          <wp:inline>
            <wp:extent cx="5334000" cy="4191000"/>
            <wp:effectExtent b="0" l="0" r="0" t="0"/>
            <wp:docPr descr="" title="" id="72" name="Picture"/>
            <a:graphic>
              <a:graphicData uri="http://schemas.openxmlformats.org/drawingml/2006/picture">
                <pic:pic>
                  <pic:nvPicPr>
                    <pic:cNvPr descr="/Users/amanda/Desktop/clan_project/10_draft/output/write_files/figure-docx/appendix-f1-1.png" id="73" name="Picture"/>
                    <pic:cNvPicPr>
                      <a:picLocks noChangeArrowheads="1" noChangeAspect="1"/>
                    </pic:cNvPicPr>
                  </pic:nvPicPr>
                  <pic:blipFill>
                    <a:blip r:embed="rId71"/>
                    <a:stretch>
                      <a:fillRect/>
                    </a:stretch>
                  </pic:blipFill>
                  <pic:spPr bwMode="auto">
                    <a:xfrm>
                      <a:off x="0" y="0"/>
                      <a:ext cx="5334000" cy="4191000"/>
                    </a:xfrm>
                    <a:prstGeom prst="rect">
                      <a:avLst/>
                    </a:prstGeom>
                    <a:noFill/>
                    <a:ln w="9525">
                      <a:noFill/>
                      <a:headEnd/>
                      <a:tailEnd/>
                    </a:ln>
                  </pic:spPr>
                </pic:pic>
              </a:graphicData>
            </a:graphic>
          </wp:inline>
        </w:drawing>
      </w:r>
    </w:p>
    <w:bookmarkEnd w:id="74"/>
    <w:bookmarkStart w:id="78" w:name="Xe408c392d53d71a7a9d72befc7a6c94911a5caf"/>
    <w:p>
      <w:pPr>
        <w:pStyle w:val="Heading2"/>
      </w:pPr>
      <w:r>
        <w:t xml:space="preserve">Appendix F2: Race Ratios — Wealth With and Without Home Equity</w:t>
      </w:r>
    </w:p>
    <w:p>
      <w:pPr>
        <w:pStyle w:val="FirstParagraph"/>
      </w:pPr>
      <w:r>
        <w:t xml:space="preserve">Appendix F2 compares Black / Non-Black wealth ratios when home equity is included (main specification, left panels) versus excluded (right panels). Panel A shows median wealth ratios and Panel B shows mean wealth ratios.</w:t>
      </w:r>
    </w:p>
    <w:p>
      <w:pPr>
        <w:pStyle w:val="BodyText"/>
      </w:pPr>
      <w:r>
        <w:drawing>
          <wp:inline>
            <wp:extent cx="5334000" cy="4191000"/>
            <wp:effectExtent b="0" l="0" r="0" t="0"/>
            <wp:docPr descr="" title="" id="76" name="Picture"/>
            <a:graphic>
              <a:graphicData uri="http://schemas.openxmlformats.org/drawingml/2006/picture">
                <pic:pic>
                  <pic:nvPicPr>
                    <pic:cNvPr descr="/Users/amanda/Desktop/clan_project/10_draft/output/write_files/figure-docx/appendix-f2-1.png" id="77" name="Picture"/>
                    <pic:cNvPicPr>
                      <a:picLocks noChangeArrowheads="1" noChangeAspect="1"/>
                    </pic:cNvPicPr>
                  </pic:nvPicPr>
                  <pic:blipFill>
                    <a:blip r:embed="rId75"/>
                    <a:stretch>
                      <a:fillRect/>
                    </a:stretch>
                  </pic:blipFill>
                  <pic:spPr bwMode="auto">
                    <a:xfrm>
                      <a:off x="0" y="0"/>
                      <a:ext cx="5334000" cy="4191000"/>
                    </a:xfrm>
                    <a:prstGeom prst="rect">
                      <a:avLst/>
                    </a:prstGeom>
                    <a:noFill/>
                    <a:ln w="9525">
                      <a:noFill/>
                      <a:headEnd/>
                      <a:tailEnd/>
                    </a:ln>
                  </pic:spPr>
                </pic:pic>
              </a:graphicData>
            </a:graphic>
          </wp:inline>
        </w:drawing>
      </w:r>
    </w:p>
    <w:bookmarkEnd w:id="78"/>
    <w:bookmarkStart w:id="82" w:name="appendix-f3-race-ratios-negative-values"/>
    <w:p>
      <w:pPr>
        <w:pStyle w:val="Heading2"/>
      </w:pPr>
      <w:r>
        <w:t xml:space="preserve">Appendix F3: Race Ratios — Negative Values</w:t>
      </w:r>
    </w:p>
    <w:p>
      <w:pPr>
        <w:pStyle w:val="FirstParagraph"/>
      </w:pPr>
      <w:r>
        <w:t xml:space="preserve">Appendix F3 shows Black / Non-Black wealth ratios when negative wealth values are excluded (main specification, left panels) versus included (right panels). Panel A shows median wealth ratios and Panel B shows mean wealth ratios. Including negative values does not substantially change the estimated race ratios.</w:t>
      </w:r>
    </w:p>
    <w:p>
      <w:pPr>
        <w:pStyle w:val="BodyText"/>
      </w:pPr>
      <w:r>
        <w:drawing>
          <wp:inline>
            <wp:extent cx="5334000" cy="4191000"/>
            <wp:effectExtent b="0" l="0" r="0" t="0"/>
            <wp:docPr descr="" title="" id="80" name="Picture"/>
            <a:graphic>
              <a:graphicData uri="http://schemas.openxmlformats.org/drawingml/2006/picture">
                <pic:pic>
                  <pic:nvPicPr>
                    <pic:cNvPr descr="/Users/amanda/Desktop/clan_project/10_draft/output/write_files/figure-docx/appendix-f3-1.png" id="81" name="Picture"/>
                    <pic:cNvPicPr>
                      <a:picLocks noChangeArrowheads="1" noChangeAspect="1"/>
                    </pic:cNvPicPr>
                  </pic:nvPicPr>
                  <pic:blipFill>
                    <a:blip r:embed="rId79"/>
                    <a:stretch>
                      <a:fillRect/>
                    </a:stretch>
                  </pic:blipFill>
                  <pic:spPr bwMode="auto">
                    <a:xfrm>
                      <a:off x="0" y="0"/>
                      <a:ext cx="5334000" cy="4191000"/>
                    </a:xfrm>
                    <a:prstGeom prst="rect">
                      <a:avLst/>
                    </a:prstGeom>
                    <a:noFill/>
                    <a:ln w="9525">
                      <a:noFill/>
                      <a:headEnd/>
                      <a:tailEnd/>
                    </a:ln>
                  </pic:spPr>
                </pic:pic>
              </a:graphicData>
            </a:graphic>
          </wp:inline>
        </w:drawing>
      </w:r>
    </w:p>
    <w:bookmarkEnd w:id="82"/>
    <w:bookmarkStart w:id="86" w:name="X6da171898a54c1627d338b576a8481086bbba7a"/>
    <w:p>
      <w:pPr>
        <w:pStyle w:val="Heading2"/>
      </w:pPr>
      <w:r>
        <w:t xml:space="preserve">Appendix F4: Race Ratios — Size Standardization</w:t>
      </w:r>
    </w:p>
    <w:p>
      <w:pPr>
        <w:pStyle w:val="FirstParagraph"/>
      </w:pPr>
      <w:r>
        <w:t xml:space="preserve">Appendix F4 compares Black / Non-Black wealth ratios when wealth is size-standardized by household and clan size (main specification, left panels) versus unadjusted (right panels). Panel A shows median wealth ratios and Panel B shows mean wealth ratios.</w:t>
      </w:r>
    </w:p>
    <w:p>
      <w:pPr>
        <w:pStyle w:val="BodyText"/>
      </w:pPr>
      <w:r>
        <w:drawing>
          <wp:inline>
            <wp:extent cx="5334000" cy="4191000"/>
            <wp:effectExtent b="0" l="0" r="0" t="0"/>
            <wp:docPr descr="" title="" id="84" name="Picture"/>
            <a:graphic>
              <a:graphicData uri="http://schemas.openxmlformats.org/drawingml/2006/picture">
                <pic:pic>
                  <pic:nvPicPr>
                    <pic:cNvPr descr="/Users/amanda/Desktop/clan_project/10_draft/output/write_files/figure-docx/appendix-f4-1.png" id="85" name="Picture"/>
                    <pic:cNvPicPr>
                      <a:picLocks noChangeArrowheads="1" noChangeAspect="1"/>
                    </pic:cNvPicPr>
                  </pic:nvPicPr>
                  <pic:blipFill>
                    <a:blip r:embed="rId83"/>
                    <a:stretch>
                      <a:fillRect/>
                    </a:stretch>
                  </pic:blipFill>
                  <pic:spPr bwMode="auto">
                    <a:xfrm>
                      <a:off x="0" y="0"/>
                      <a:ext cx="5334000" cy="4191000"/>
                    </a:xfrm>
                    <a:prstGeom prst="rect">
                      <a:avLst/>
                    </a:prstGeom>
                    <a:noFill/>
                    <a:ln w="9525">
                      <a:noFill/>
                      <a:headEnd/>
                      <a:tailEnd/>
                    </a:ln>
                  </pic:spPr>
                </pic:pic>
              </a:graphicData>
            </a:graphic>
          </wp:inline>
        </w:drawing>
      </w:r>
    </w:p>
    <w:bookmarkEnd w:id="86"/>
    <w:bookmarkStart w:id="168" w:name="appendix-f5-race-ratios-weighting"/>
    <w:p>
      <w:pPr>
        <w:pStyle w:val="Heading2"/>
      </w:pPr>
      <w:r>
        <w:t xml:space="preserve">Appendix F5: Race Ratios — Weighting</w:t>
      </w:r>
    </w:p>
    <w:p>
      <w:pPr>
        <w:pStyle w:val="FirstParagraph"/>
      </w:pPr>
      <w:r>
        <w:t xml:space="preserve">Appendix F5 shows Black / Non-Black wealth ratios using weighted estimates (main specification, left panels) versus unweighted estimates (right panels). Panel A shows median wealth ratios and Panel B shows mean wealth ratios. Weighting does not substantially change the estimated race ratios.</w:t>
      </w:r>
    </w:p>
    <w:p>
      <w:pPr>
        <w:pStyle w:val="BodyText"/>
      </w:pPr>
      <w:r>
        <w:drawing>
          <wp:inline>
            <wp:extent cx="5334000" cy="4191000"/>
            <wp:effectExtent b="0" l="0" r="0" t="0"/>
            <wp:docPr descr="" title="" id="88" name="Picture"/>
            <a:graphic>
              <a:graphicData uri="http://schemas.openxmlformats.org/drawingml/2006/picture">
                <pic:pic>
                  <pic:nvPicPr>
                    <pic:cNvPr descr="/Users/amanda/Desktop/clan_project/10_draft/output/write_files/figure-docx/appendix-f5-1.png" id="89" name="Picture"/>
                    <pic:cNvPicPr>
                      <a:picLocks noChangeArrowheads="1" noChangeAspect="1"/>
                    </pic:cNvPicPr>
                  </pic:nvPicPr>
                  <pic:blipFill>
                    <a:blip r:embed="rId87"/>
                    <a:stretch>
                      <a:fillRect/>
                    </a:stretch>
                  </pic:blipFill>
                  <pic:spPr bwMode="auto">
                    <a:xfrm>
                      <a:off x="0" y="0"/>
                      <a:ext cx="5334000" cy="4191000"/>
                    </a:xfrm>
                    <a:prstGeom prst="rect">
                      <a:avLst/>
                    </a:prstGeom>
                    <a:noFill/>
                    <a:ln w="9525">
                      <a:noFill/>
                      <a:headEnd/>
                      <a:tailEnd/>
                    </a:ln>
                  </pic:spPr>
                </pic:pic>
              </a:graphicData>
            </a:graphic>
          </wp:inline>
        </w:drawing>
      </w:r>
    </w:p>
    <w:bookmarkStart w:id="167" w:name="refs"/>
    <w:bookmarkStart w:id="91"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90">
        <w:r>
          <w:rPr>
            <w:rStyle w:val="Hyperlink"/>
          </w:rPr>
          <w:t xml:space="preserve">https://fred.stlouisfed.org/series/SIPOVGINIUSA</w:t>
        </w:r>
      </w:hyperlink>
    </w:p>
    <w:bookmarkEnd w:id="91"/>
    <w:bookmarkStart w:id="93"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92">
        <w:r>
          <w:rPr>
            <w:rStyle w:val="Hyperlink"/>
          </w:rPr>
          <w:t xml:space="preserve">https://www.bakerinstitute.org/research/decline-us-wealth-and-income-inequality</w:t>
        </w:r>
      </w:hyperlink>
    </w:p>
    <w:bookmarkEnd w:id="93"/>
    <w:bookmarkStart w:id="96"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94">
        <w:r>
          <w:rPr>
            <w:rStyle w:val="Hyperlink"/>
          </w:rPr>
          <w:t xml:space="preserve">https://www.nber.org/papers/w33823</w:t>
        </w:r>
      </w:hyperlink>
      <w:r>
        <w:t xml:space="preserve">. doi:</w:t>
      </w:r>
      <w:hyperlink r:id="rId95">
        <w:r>
          <w:rPr>
            <w:rStyle w:val="Hyperlink"/>
          </w:rPr>
          <w:t xml:space="preserve">10.3386/w33823</w:t>
        </w:r>
      </w:hyperlink>
    </w:p>
    <w:bookmarkEnd w:id="96"/>
    <w:bookmarkStart w:id="99"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7">
        <w:r>
          <w:rPr>
            <w:rStyle w:val="Hyperlink"/>
          </w:rPr>
          <w:t xml:space="preserve">https://www.journals.uchicago.edu/doi/10.1086/728741</w:t>
        </w:r>
      </w:hyperlink>
      <w:r>
        <w:t xml:space="preserve">. doi:</w:t>
      </w:r>
      <w:hyperlink r:id="rId98">
        <w:r>
          <w:rPr>
            <w:rStyle w:val="Hyperlink"/>
          </w:rPr>
          <w:t xml:space="preserve">10.1086/728741</w:t>
        </w:r>
      </w:hyperlink>
    </w:p>
    <w:bookmarkEnd w:id="99"/>
    <w:bookmarkStart w:id="102"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100">
        <w:r>
          <w:rPr>
            <w:rStyle w:val="Hyperlink"/>
          </w:rPr>
          <w:t xml:space="preserve">https://www.annualreviews.org/doi/10.1146/annurev-soc-060116-053331</w:t>
        </w:r>
      </w:hyperlink>
      <w:r>
        <w:t xml:space="preserve">. doi:</w:t>
      </w:r>
      <w:hyperlink r:id="rId101">
        <w:r>
          <w:rPr>
            <w:rStyle w:val="Hyperlink"/>
          </w:rPr>
          <w:t xml:space="preserve">10.1146/annurev-soc-060116-053331</w:t>
        </w:r>
      </w:hyperlink>
    </w:p>
    <w:bookmarkEnd w:id="102"/>
    <w:bookmarkStart w:id="104"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103">
        <w:r>
          <w:rPr>
            <w:rStyle w:val="Hyperlink"/>
          </w:rPr>
          <w:t xml:space="preserve">https://doi.org/10.1093/qje/qjw004</w:t>
        </w:r>
      </w:hyperlink>
      <w:r>
        <w:t xml:space="preserve">. doi:</w:t>
      </w:r>
      <w:hyperlink r:id="rId103">
        <w:r>
          <w:rPr>
            <w:rStyle w:val="Hyperlink"/>
          </w:rPr>
          <w:t xml:space="preserve">10.1093/qje/qjw004</w:t>
        </w:r>
      </w:hyperlink>
    </w:p>
    <w:bookmarkEnd w:id="104"/>
    <w:bookmarkStart w:id="105"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105"/>
    <w:bookmarkStart w:id="107"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6">
        <w:r>
          <w:rPr>
            <w:rStyle w:val="Hyperlink"/>
          </w:rPr>
          <w:t xml:space="preserve">10.1037/11282-004</w:t>
        </w:r>
      </w:hyperlink>
    </w:p>
    <w:bookmarkEnd w:id="107"/>
    <w:bookmarkStart w:id="109"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08">
        <w:r>
          <w:rPr>
            <w:rStyle w:val="Hyperlink"/>
          </w:rPr>
          <w:t xml:space="preserve">https://doi.org/10.1007/s13524-018-0719-y</w:t>
        </w:r>
      </w:hyperlink>
      <w:r>
        <w:t xml:space="preserve">. doi:</w:t>
      </w:r>
      <w:hyperlink r:id="rId108">
        <w:r>
          <w:rPr>
            <w:rStyle w:val="Hyperlink"/>
          </w:rPr>
          <w:t xml:space="preserve">10.1007/s13524-018-0719-y</w:t>
        </w:r>
      </w:hyperlink>
    </w:p>
    <w:bookmarkEnd w:id="109"/>
    <w:bookmarkStart w:id="111"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10">
        <w:r>
          <w:rPr>
            <w:rStyle w:val="Hyperlink"/>
          </w:rPr>
          <w:t xml:space="preserve">https://doi.org/10.1007/s13524-011-0014-7</w:t>
        </w:r>
      </w:hyperlink>
      <w:r>
        <w:t xml:space="preserve">. doi:</w:t>
      </w:r>
      <w:hyperlink r:id="rId110">
        <w:r>
          <w:rPr>
            <w:rStyle w:val="Hyperlink"/>
          </w:rPr>
          <w:t xml:space="preserve">10.1007/s13524-011-0014-7</w:t>
        </w:r>
      </w:hyperlink>
    </w:p>
    <w:bookmarkEnd w:id="111"/>
    <w:bookmarkStart w:id="113"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12">
        <w:r>
          <w:rPr>
            <w:rStyle w:val="Hyperlink"/>
          </w:rPr>
          <w:t xml:space="preserve">https://doi.org/10.1093/ser/mwad033</w:t>
        </w:r>
      </w:hyperlink>
      <w:r>
        <w:t xml:space="preserve">. doi:</w:t>
      </w:r>
      <w:hyperlink r:id="rId112">
        <w:r>
          <w:rPr>
            <w:rStyle w:val="Hyperlink"/>
          </w:rPr>
          <w:t xml:space="preserve">10.1093/ser/mwad033</w:t>
        </w:r>
      </w:hyperlink>
    </w:p>
    <w:bookmarkEnd w:id="113"/>
    <w:bookmarkStart w:id="115"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14">
        <w:r>
          <w:rPr>
            <w:rStyle w:val="Hyperlink"/>
          </w:rPr>
          <w:t xml:space="preserve">https://doi.org/10.1177/00031224251319001</w:t>
        </w:r>
      </w:hyperlink>
      <w:r>
        <w:t xml:space="preserve">. doi:</w:t>
      </w:r>
      <w:hyperlink r:id="rId114">
        <w:r>
          <w:rPr>
            <w:rStyle w:val="Hyperlink"/>
          </w:rPr>
          <w:t xml:space="preserve">10.1177/00031224251319001</w:t>
        </w:r>
      </w:hyperlink>
    </w:p>
    <w:bookmarkEnd w:id="115"/>
    <w:bookmarkStart w:id="118"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16">
        <w:r>
          <w:rPr>
            <w:rStyle w:val="Hyperlink"/>
          </w:rPr>
          <w:t xml:space="preserve">https://pubs.aeaweb.org/doi/10.1257/aer.20190553</w:t>
        </w:r>
      </w:hyperlink>
      <w:r>
        <w:t xml:space="preserve">. doi:</w:t>
      </w:r>
      <w:hyperlink r:id="rId117">
        <w:r>
          <w:rPr>
            <w:rStyle w:val="Hyperlink"/>
          </w:rPr>
          <w:t xml:space="preserve">10.1257/aer.20190553</w:t>
        </w:r>
      </w:hyperlink>
    </w:p>
    <w:bookmarkEnd w:id="118"/>
    <w:bookmarkStart w:id="121"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19">
        <w:r>
          <w:rPr>
            <w:rStyle w:val="Hyperlink"/>
          </w:rPr>
          <w:t xml:space="preserve">https://www-journals-uchicago-edu.turing.library.northwestern.edu/doi/full/10.1086/724835</w:t>
        </w:r>
      </w:hyperlink>
      <w:r>
        <w:t xml:space="preserve">. doi:</w:t>
      </w:r>
      <w:hyperlink r:id="rId120">
        <w:r>
          <w:rPr>
            <w:rStyle w:val="Hyperlink"/>
          </w:rPr>
          <w:t xml:space="preserve">https://doi.org/10.1086/724835</w:t>
        </w:r>
      </w:hyperlink>
    </w:p>
    <w:bookmarkEnd w:id="121"/>
    <w:bookmarkStart w:id="123"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22">
        <w:r>
          <w:rPr>
            <w:rStyle w:val="Hyperlink"/>
          </w:rPr>
          <w:t xml:space="preserve">10.1007/s13524-019-00772-8</w:t>
        </w:r>
      </w:hyperlink>
    </w:p>
    <w:bookmarkEnd w:id="123"/>
    <w:bookmarkStart w:id="124"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124"/>
    <w:bookmarkStart w:id="126"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25">
        <w:r>
          <w:rPr>
            <w:rStyle w:val="Hyperlink"/>
          </w:rPr>
          <w:t xml:space="preserve">10.1177/0003122417695791</w:t>
        </w:r>
      </w:hyperlink>
    </w:p>
    <w:bookmarkEnd w:id="126"/>
    <w:bookmarkStart w:id="127"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27"/>
    <w:bookmarkStart w:id="129"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28">
        <w:r>
          <w:rPr>
            <w:rStyle w:val="Hyperlink"/>
          </w:rPr>
          <w:t xml:space="preserve">10.3233/JEM-160421</w:t>
        </w:r>
      </w:hyperlink>
    </w:p>
    <w:bookmarkEnd w:id="129"/>
    <w:bookmarkStart w:id="131" w:name="ref-oliver_black_2013"/>
    <w:p>
      <w:pPr>
        <w:pStyle w:val="Bibliography"/>
      </w:pPr>
      <w:r>
        <w:t xml:space="preserve">[20]</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30">
        <w:r>
          <w:rPr>
            <w:rStyle w:val="Hyperlink"/>
          </w:rPr>
          <w:t xml:space="preserve">10.4324/9780203707425</w:t>
        </w:r>
      </w:hyperlink>
    </w:p>
    <w:bookmarkEnd w:id="131"/>
    <w:bookmarkStart w:id="134" w:name="ref-beckert_durable_2022"/>
    <w:p>
      <w:pPr>
        <w:pStyle w:val="Bibliography"/>
      </w:pPr>
      <w:r>
        <w:t xml:space="preserve">[21]</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32">
        <w:r>
          <w:rPr>
            <w:rStyle w:val="Hyperlink"/>
          </w:rPr>
          <w:t xml:space="preserve">https://www-annualreviews-org.turing.library.northwestern.edu/content/journals/10.1146/annurev-soc-030320-115024</w:t>
        </w:r>
      </w:hyperlink>
      <w:r>
        <w:t xml:space="preserve">. doi:</w:t>
      </w:r>
      <w:hyperlink r:id="rId133">
        <w:r>
          <w:rPr>
            <w:rStyle w:val="Hyperlink"/>
          </w:rPr>
          <w:t xml:space="preserve">doi.org/10.1146/annurev-soc-030320-115024</w:t>
        </w:r>
      </w:hyperlink>
    </w:p>
    <w:bookmarkEnd w:id="134"/>
    <w:bookmarkStart w:id="137" w:name="ref-obrien_structural_2020"/>
    <w:p>
      <w:pPr>
        <w:pStyle w:val="Bibliography"/>
      </w:pPr>
      <w:r>
        <w:t xml:space="preserve">[22]</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35">
        <w:r>
          <w:rPr>
            <w:rStyle w:val="Hyperlink"/>
          </w:rPr>
          <w:t xml:space="preserve">https://www.sciencedirect.com/science/article/pii/S2352827319303623</w:t>
        </w:r>
      </w:hyperlink>
      <w:r>
        <w:t xml:space="preserve">. doi:</w:t>
      </w:r>
      <w:hyperlink r:id="rId136">
        <w:r>
          <w:rPr>
            <w:rStyle w:val="Hyperlink"/>
          </w:rPr>
          <w:t xml:space="preserve">10.1016/j.ssmph.2020.100564</w:t>
        </w:r>
      </w:hyperlink>
    </w:p>
    <w:bookmarkEnd w:id="137"/>
    <w:bookmarkStart w:id="138" w:name="ref-pfeffer_determinants_2017"/>
    <w:p>
      <w:pPr>
        <w:pStyle w:val="Bibliography"/>
      </w:pPr>
      <w:r>
        <w:t xml:space="preserve">[23]</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38"/>
    <w:bookmarkStart w:id="141" w:name="ref-corak_income_2013"/>
    <w:p>
      <w:pPr>
        <w:pStyle w:val="Bibliography"/>
      </w:pPr>
      <w:r>
        <w:t xml:space="preserve">[24]</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39">
        <w:r>
          <w:rPr>
            <w:rStyle w:val="Hyperlink"/>
          </w:rPr>
          <w:t xml:space="preserve">https://www.aeaweb.org/articles?id=10.1257/jep.27.3.79</w:t>
        </w:r>
      </w:hyperlink>
      <w:r>
        <w:t xml:space="preserve">. doi:</w:t>
      </w:r>
      <w:hyperlink r:id="rId140">
        <w:r>
          <w:rPr>
            <w:rStyle w:val="Hyperlink"/>
          </w:rPr>
          <w:t xml:space="preserve">10.1257/jep.27.3.79</w:t>
        </w:r>
      </w:hyperlink>
    </w:p>
    <w:bookmarkEnd w:id="141"/>
    <w:bookmarkStart w:id="143" w:name="ref-ermisch_parents_2012"/>
    <w:p>
      <w:pPr>
        <w:pStyle w:val="Bibliography"/>
      </w:pPr>
      <w:r>
        <w:t xml:space="preserve">[25]</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42">
        <w:r>
          <w:rPr>
            <w:rStyle w:val="Hyperlink"/>
          </w:rPr>
          <w:t xml:space="preserve">https://www.jstor.org/stable/10.7758/9781610447805</w:t>
        </w:r>
      </w:hyperlink>
    </w:p>
    <w:bookmarkEnd w:id="143"/>
    <w:bookmarkStart w:id="145" w:name="ref-jerrim_income_2015"/>
    <w:p>
      <w:pPr>
        <w:pStyle w:val="Bibliography"/>
      </w:pPr>
      <w:r>
        <w:t xml:space="preserve">[26]</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44">
        <w:r>
          <w:rPr>
            <w:rStyle w:val="Hyperlink"/>
          </w:rPr>
          <w:t xml:space="preserve">10.1093/sf/sov075</w:t>
        </w:r>
      </w:hyperlink>
    </w:p>
    <w:bookmarkEnd w:id="145"/>
    <w:bookmarkStart w:id="148" w:name="ref-si_multiple_2021"/>
    <w:p>
      <w:pPr>
        <w:pStyle w:val="Bibliography"/>
      </w:pPr>
      <w:r>
        <w:t xml:space="preserve">[27]</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46">
        <w:r>
          <w:rPr>
            <w:rStyle w:val="Hyperlink"/>
          </w:rPr>
          <w:t xml:space="preserve">https://www.ncbi.nlm.nih.gov/pmc/articles/PMC9874997/</w:t>
        </w:r>
      </w:hyperlink>
      <w:r>
        <w:t xml:space="preserve">. doi:</w:t>
      </w:r>
      <w:hyperlink r:id="rId147">
        <w:r>
          <w:rPr>
            <w:rStyle w:val="Hyperlink"/>
          </w:rPr>
          <w:t xml:space="preserve">10.1093/jssam/smab038</w:t>
        </w:r>
      </w:hyperlink>
    </w:p>
    <w:bookmarkEnd w:id="148"/>
    <w:bookmarkStart w:id="149" w:name="ref-sayer_women_2004"/>
    <w:p>
      <w:pPr>
        <w:pStyle w:val="Bibliography"/>
      </w:pPr>
      <w:r>
        <w:t xml:space="preserve">[28]</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49"/>
    <w:bookmarkStart w:id="152" w:name="ref-atkinson_measurement_1970"/>
    <w:p>
      <w:pPr>
        <w:pStyle w:val="Bibliography"/>
      </w:pPr>
      <w:r>
        <w:t xml:space="preserve">[29]</w:t>
      </w:r>
      <w:r>
        <w:t xml:space="preserve"> </w:t>
      </w:r>
      <w:r>
        <w:t xml:space="preserve">	</w:t>
      </w:r>
      <w:r>
        <w:t xml:space="preserve">Atkinson AB. On the measurement of inequality. Journal of Economic Theory. 1970 [accessed 2025 July 18];2(3):244–263.</w:t>
      </w:r>
      <w:r>
        <w:t xml:space="preserve"> </w:t>
      </w:r>
      <w:hyperlink r:id="rId150">
        <w:r>
          <w:rPr>
            <w:rStyle w:val="Hyperlink"/>
          </w:rPr>
          <w:t xml:space="preserve">https://www.sciencedirect.com/science/article/pii/0022053170900396</w:t>
        </w:r>
      </w:hyperlink>
      <w:r>
        <w:t xml:space="preserve">. doi:</w:t>
      </w:r>
      <w:hyperlink r:id="rId151">
        <w:r>
          <w:rPr>
            <w:rStyle w:val="Hyperlink"/>
          </w:rPr>
          <w:t xml:space="preserve">10.1016/0022-0531(70)90039-6</w:t>
        </w:r>
      </w:hyperlink>
    </w:p>
    <w:bookmarkEnd w:id="152"/>
    <w:bookmarkStart w:id="155" w:name="ref-de_maio_income_2007"/>
    <w:p>
      <w:pPr>
        <w:pStyle w:val="Bibliography"/>
      </w:pPr>
      <w:r>
        <w:t xml:space="preserve">[30]</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53">
        <w:r>
          <w:rPr>
            <w:rStyle w:val="Hyperlink"/>
          </w:rPr>
          <w:t xml:space="preserve">https://www.ncbi.nlm.nih.gov/pmc/articles/PMC2652960/</w:t>
        </w:r>
      </w:hyperlink>
      <w:r>
        <w:t xml:space="preserve">. doi:</w:t>
      </w:r>
      <w:hyperlink r:id="rId154">
        <w:r>
          <w:rPr>
            <w:rStyle w:val="Hyperlink"/>
          </w:rPr>
          <w:t xml:space="preserve">10.1136/jech.2006.052969</w:t>
        </w:r>
      </w:hyperlink>
    </w:p>
    <w:bookmarkEnd w:id="155"/>
    <w:bookmarkStart w:id="158" w:name="ref-kawachi_relationship_1997"/>
    <w:p>
      <w:pPr>
        <w:pStyle w:val="Bibliography"/>
      </w:pPr>
      <w:r>
        <w:t xml:space="preserve">[31]</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56">
        <w:r>
          <w:rPr>
            <w:rStyle w:val="Hyperlink"/>
          </w:rPr>
          <w:t xml:space="preserve">https://www.sciencedirect.com/science/article/pii/S0277953697000440</w:t>
        </w:r>
      </w:hyperlink>
      <w:r>
        <w:t xml:space="preserve">. doi:</w:t>
      </w:r>
      <w:hyperlink r:id="rId157">
        <w:r>
          <w:rPr>
            <w:rStyle w:val="Hyperlink"/>
          </w:rPr>
          <w:t xml:space="preserve">10.1016/S0277-9536(97)00044-0</w:t>
        </w:r>
      </w:hyperlink>
    </w:p>
    <w:bookmarkEnd w:id="158"/>
    <w:bookmarkStart w:id="161" w:name="ref-aaberge_ginis_2007"/>
    <w:p>
      <w:pPr>
        <w:pStyle w:val="Bibliography"/>
      </w:pPr>
      <w:r>
        <w:t xml:space="preserve">[32]</w:t>
      </w:r>
      <w:r>
        <w:t xml:space="preserve"> </w:t>
      </w:r>
      <w:r>
        <w:t xml:space="preserve">	</w:t>
      </w:r>
      <w:r>
        <w:t xml:space="preserve">Aaberge R. Gini’s nuclear family. Journal of Economic Inequality. 2007 [accessed 2025 Dec 16];5(3):305–322.</w:t>
      </w:r>
      <w:r>
        <w:t xml:space="preserve"> </w:t>
      </w:r>
      <w:hyperlink r:id="rId159">
        <w:r>
          <w:rPr>
            <w:rStyle w:val="Hyperlink"/>
          </w:rPr>
          <w:t xml:space="preserve">https://research.ebsco.com/linkprocessor/plink?id=183a0f60-6b65-3238-9faf-59d099fff528</w:t>
        </w:r>
      </w:hyperlink>
      <w:r>
        <w:t xml:space="preserve">. doi:</w:t>
      </w:r>
      <w:hyperlink r:id="rId160">
        <w:r>
          <w:rPr>
            <w:rStyle w:val="Hyperlink"/>
          </w:rPr>
          <w:t xml:space="preserve">10.1007/s10888-006-9050-8</w:t>
        </w:r>
      </w:hyperlink>
    </w:p>
    <w:bookmarkEnd w:id="161"/>
    <w:bookmarkStart w:id="163" w:name="ref-noauthor_table_nodate"/>
    <w:p>
      <w:pPr>
        <w:pStyle w:val="Bibliography"/>
      </w:pPr>
      <w:r>
        <w:t xml:space="preserve">[33]</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62">
        <w:r>
          <w:rPr>
            <w:rStyle w:val="Hyperlink"/>
          </w:rPr>
          <w:t xml:space="preserve">https://www.census.gov/data/tables/time-series/demo/income-poverty/historical-income-inequality.html</w:t>
        </w:r>
      </w:hyperlink>
    </w:p>
    <w:bookmarkEnd w:id="163"/>
    <w:bookmarkStart w:id="164" w:name="ref-wolff_size_209"/>
    <w:p>
      <w:pPr>
        <w:pStyle w:val="Bibliography"/>
      </w:pPr>
      <w:r>
        <w:t xml:space="preserve">[34]</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64"/>
    <w:bookmarkStart w:id="166" w:name="ref-pfeffer_wealth_2013"/>
    <w:p>
      <w:pPr>
        <w:pStyle w:val="Bibliography"/>
      </w:pPr>
      <w:r>
        <w:t xml:space="preserve">[35]</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65">
        <w:r>
          <w:rPr>
            <w:rStyle w:val="Hyperlink"/>
          </w:rPr>
          <w:t xml:space="preserve">10.1177/0002716213497452</w:t>
        </w:r>
      </w:hyperlink>
    </w:p>
    <w:bookmarkEnd w:id="166"/>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4">
    <w:p>
      <w:pPr>
        <w:pStyle w:val="FootnoteText"/>
      </w:pPr>
      <w:r>
        <w:rPr>
          <w:rStyle w:val="FootnoteReference"/>
        </w:rPr>
        <w:footnoteRef/>
      </w:r>
      <w:r>
        <w:t xml:space="preserve"> </w:t>
      </w:r>
      <w:r>
        <w:t xml:space="preserve">The prevalence of single-household clans dropped by 75% between 1969 and 1980. However, overall trends remain similar regardless of whether this earlier period is excluded.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160" Target="https://doi.org/10.1007/s10888-006-9050-8" TargetMode="External" /><Relationship Type="http://schemas.openxmlformats.org/officeDocument/2006/relationships/hyperlink" Id="rId110" Target="https://doi.org/10.1007/s13524-011-0014-7" TargetMode="External" /><Relationship Type="http://schemas.openxmlformats.org/officeDocument/2006/relationships/hyperlink" Id="rId108" Target="https://doi.org/10.1007/s13524-018-0719-y" TargetMode="External" /><Relationship Type="http://schemas.openxmlformats.org/officeDocument/2006/relationships/hyperlink" Id="rId122" Target="https://doi.org/10.1007/s13524-019-00772-8" TargetMode="External" /><Relationship Type="http://schemas.openxmlformats.org/officeDocument/2006/relationships/hyperlink" Id="rId151" Target="https://doi.org/10.1016/0022-0531(70)90039-6" TargetMode="External" /><Relationship Type="http://schemas.openxmlformats.org/officeDocument/2006/relationships/hyperlink" Id="rId157" Target="https://doi.org/10.1016/S0277-9536(97)00044-0" TargetMode="External" /><Relationship Type="http://schemas.openxmlformats.org/officeDocument/2006/relationships/hyperlink" Id="rId136" Target="https://doi.org/10.1016/j.ssmph.2020.100564" TargetMode="External" /><Relationship Type="http://schemas.openxmlformats.org/officeDocument/2006/relationships/hyperlink" Id="rId106" Target="https://doi.org/10.1037/11282-004" TargetMode="External" /><Relationship Type="http://schemas.openxmlformats.org/officeDocument/2006/relationships/hyperlink" Id="rId120" Target="https://doi.org/10.1086/724835" TargetMode="External" /><Relationship Type="http://schemas.openxmlformats.org/officeDocument/2006/relationships/hyperlink" Id="rId98" Target="https://doi.org/10.1086/728741" TargetMode="External" /><Relationship Type="http://schemas.openxmlformats.org/officeDocument/2006/relationships/hyperlink" Id="rId147" Target="https://doi.org/10.1093/jssam/smab038" TargetMode="External" /><Relationship Type="http://schemas.openxmlformats.org/officeDocument/2006/relationships/hyperlink" Id="rId103" Target="https://doi.org/10.1093/qje/qjw004" TargetMode="External" /><Relationship Type="http://schemas.openxmlformats.org/officeDocument/2006/relationships/hyperlink" Id="rId112" Target="https://doi.org/10.1093/ser/mwad033" TargetMode="External" /><Relationship Type="http://schemas.openxmlformats.org/officeDocument/2006/relationships/hyperlink" Id="rId144" Target="https://doi.org/10.1093/sf/sov075" TargetMode="External" /><Relationship Type="http://schemas.openxmlformats.org/officeDocument/2006/relationships/hyperlink" Id="rId154" Target="https://doi.org/10.1136/jech.2006.052969" TargetMode="External" /><Relationship Type="http://schemas.openxmlformats.org/officeDocument/2006/relationships/hyperlink" Id="rId101" Target="https://doi.org/10.1146/annurev-soc-060116-053331" TargetMode="External" /><Relationship Type="http://schemas.openxmlformats.org/officeDocument/2006/relationships/hyperlink" Id="rId165" Target="https://doi.org/10.1177/0002716213497452" TargetMode="External" /><Relationship Type="http://schemas.openxmlformats.org/officeDocument/2006/relationships/hyperlink" Id="rId125" Target="https://doi.org/10.1177/0003122417695791" TargetMode="External" /><Relationship Type="http://schemas.openxmlformats.org/officeDocument/2006/relationships/hyperlink" Id="rId114" Target="https://doi.org/10.1177/00031224251319001" TargetMode="External" /><Relationship Type="http://schemas.openxmlformats.org/officeDocument/2006/relationships/hyperlink" Id="rId117" Target="https://doi.org/10.1257/aer.20190553" TargetMode="External" /><Relationship Type="http://schemas.openxmlformats.org/officeDocument/2006/relationships/hyperlink" Id="rId140" Target="https://doi.org/10.1257/jep.27.3.79" TargetMode="External" /><Relationship Type="http://schemas.openxmlformats.org/officeDocument/2006/relationships/hyperlink" Id="rId128" Target="https://doi.org/10.3233/JEM-160421" TargetMode="External" /><Relationship Type="http://schemas.openxmlformats.org/officeDocument/2006/relationships/hyperlink" Id="rId95" Target="https://doi.org/10.3386/w33823" TargetMode="External" /><Relationship Type="http://schemas.openxmlformats.org/officeDocument/2006/relationships/hyperlink" Id="rId130" Target="https://doi.org/10.4324/9780203707425" TargetMode="External" /><Relationship Type="http://schemas.openxmlformats.org/officeDocument/2006/relationships/hyperlink" Id="rId133" Target="https://doi.org/doi.org/10.1146/annurev-soc-030320-115024" TargetMode="External" /><Relationship Type="http://schemas.openxmlformats.org/officeDocument/2006/relationships/hyperlink" Id="rId90" Target="https://fred.stlouisfed.org/series/SIPOVGINIUSA" TargetMode="External" /><Relationship Type="http://schemas.openxmlformats.org/officeDocument/2006/relationships/hyperlink" Id="rId116" Target="https://pubs.aeaweb.org/doi/10.1257/aer.20190553" TargetMode="External" /><Relationship Type="http://schemas.openxmlformats.org/officeDocument/2006/relationships/hyperlink" Id="rId159" Target="https://research.ebsco.com/linkprocessor/plink?id=183a0f60-6b65-3238-9faf-59d099fff528" TargetMode="External" /><Relationship Type="http://schemas.openxmlformats.org/officeDocument/2006/relationships/hyperlink" Id="rId132" Target="https://www-annualreviews-org.turing.library.northwestern.edu/content/journals/10.1146/annurev-soc-030320-115024" TargetMode="External" /><Relationship Type="http://schemas.openxmlformats.org/officeDocument/2006/relationships/hyperlink" Id="rId119" Target="https://www-journals-uchicago-edu.turing.library.northwestern.edu/doi/full/10.1086/724835" TargetMode="External" /><Relationship Type="http://schemas.openxmlformats.org/officeDocument/2006/relationships/hyperlink" Id="rId139" Target="https://www.aeaweb.org/articles?id=10.1257/jep.27.3.79" TargetMode="External" /><Relationship Type="http://schemas.openxmlformats.org/officeDocument/2006/relationships/hyperlink" Id="rId100" Target="https://www.annualreviews.org/doi/10.1146/annurev-soc-060116-053331" TargetMode="External" /><Relationship Type="http://schemas.openxmlformats.org/officeDocument/2006/relationships/hyperlink" Id="rId92" Target="https://www.bakerinstitute.org/research/decline-us-wealth-and-income-inequality" TargetMode="External" /><Relationship Type="http://schemas.openxmlformats.org/officeDocument/2006/relationships/hyperlink" Id="rId162" Target="https://www.census.gov/data/tables/time-series/demo/income-poverty/historical-income-inequality.html" TargetMode="External" /><Relationship Type="http://schemas.openxmlformats.org/officeDocument/2006/relationships/hyperlink" Id="rId97" Target="https://www.journals.uchicago.edu/doi/10.1086/728741" TargetMode="External" /><Relationship Type="http://schemas.openxmlformats.org/officeDocument/2006/relationships/hyperlink" Id="rId142" Target="https://www.jstor.org/stable/10.7758/9781610447805" TargetMode="External" /><Relationship Type="http://schemas.openxmlformats.org/officeDocument/2006/relationships/hyperlink" Id="rId94" Target="https://www.nber.org/papers/w33823" TargetMode="External" /><Relationship Type="http://schemas.openxmlformats.org/officeDocument/2006/relationships/hyperlink" Id="rId153" Target="https://www.ncbi.nlm.nih.gov/pmc/articles/PMC2652960/" TargetMode="External" /><Relationship Type="http://schemas.openxmlformats.org/officeDocument/2006/relationships/hyperlink" Id="rId146" Target="https://www.ncbi.nlm.nih.gov/pmc/articles/PMC9874997/" TargetMode="External" /><Relationship Type="http://schemas.openxmlformats.org/officeDocument/2006/relationships/hyperlink" Id="rId150" Target="https://www.sciencedirect.com/science/article/pii/0022053170900396" TargetMode="External" /><Relationship Type="http://schemas.openxmlformats.org/officeDocument/2006/relationships/hyperlink" Id="rId156" Target="https://www.sciencedirect.com/science/article/pii/S0277953697000440" TargetMode="External" /><Relationship Type="http://schemas.openxmlformats.org/officeDocument/2006/relationships/hyperlink" Id="rId135"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60" Target="https://doi.org/10.1007/s10888-006-9050-8" TargetMode="External" /><Relationship Type="http://schemas.openxmlformats.org/officeDocument/2006/relationships/hyperlink" Id="rId110" Target="https://doi.org/10.1007/s13524-011-0014-7" TargetMode="External" /><Relationship Type="http://schemas.openxmlformats.org/officeDocument/2006/relationships/hyperlink" Id="rId108" Target="https://doi.org/10.1007/s13524-018-0719-y" TargetMode="External" /><Relationship Type="http://schemas.openxmlformats.org/officeDocument/2006/relationships/hyperlink" Id="rId122" Target="https://doi.org/10.1007/s13524-019-00772-8" TargetMode="External" /><Relationship Type="http://schemas.openxmlformats.org/officeDocument/2006/relationships/hyperlink" Id="rId151" Target="https://doi.org/10.1016/0022-0531(70)90039-6" TargetMode="External" /><Relationship Type="http://schemas.openxmlformats.org/officeDocument/2006/relationships/hyperlink" Id="rId157" Target="https://doi.org/10.1016/S0277-9536(97)00044-0" TargetMode="External" /><Relationship Type="http://schemas.openxmlformats.org/officeDocument/2006/relationships/hyperlink" Id="rId136" Target="https://doi.org/10.1016/j.ssmph.2020.100564" TargetMode="External" /><Relationship Type="http://schemas.openxmlformats.org/officeDocument/2006/relationships/hyperlink" Id="rId106" Target="https://doi.org/10.1037/11282-004" TargetMode="External" /><Relationship Type="http://schemas.openxmlformats.org/officeDocument/2006/relationships/hyperlink" Id="rId120" Target="https://doi.org/10.1086/724835" TargetMode="External" /><Relationship Type="http://schemas.openxmlformats.org/officeDocument/2006/relationships/hyperlink" Id="rId98" Target="https://doi.org/10.1086/728741" TargetMode="External" /><Relationship Type="http://schemas.openxmlformats.org/officeDocument/2006/relationships/hyperlink" Id="rId147" Target="https://doi.org/10.1093/jssam/smab038" TargetMode="External" /><Relationship Type="http://schemas.openxmlformats.org/officeDocument/2006/relationships/hyperlink" Id="rId103" Target="https://doi.org/10.1093/qje/qjw004" TargetMode="External" /><Relationship Type="http://schemas.openxmlformats.org/officeDocument/2006/relationships/hyperlink" Id="rId112" Target="https://doi.org/10.1093/ser/mwad033" TargetMode="External" /><Relationship Type="http://schemas.openxmlformats.org/officeDocument/2006/relationships/hyperlink" Id="rId144" Target="https://doi.org/10.1093/sf/sov075" TargetMode="External" /><Relationship Type="http://schemas.openxmlformats.org/officeDocument/2006/relationships/hyperlink" Id="rId154" Target="https://doi.org/10.1136/jech.2006.052969" TargetMode="External" /><Relationship Type="http://schemas.openxmlformats.org/officeDocument/2006/relationships/hyperlink" Id="rId101" Target="https://doi.org/10.1146/annurev-soc-060116-053331" TargetMode="External" /><Relationship Type="http://schemas.openxmlformats.org/officeDocument/2006/relationships/hyperlink" Id="rId165" Target="https://doi.org/10.1177/0002716213497452" TargetMode="External" /><Relationship Type="http://schemas.openxmlformats.org/officeDocument/2006/relationships/hyperlink" Id="rId125" Target="https://doi.org/10.1177/0003122417695791" TargetMode="External" /><Relationship Type="http://schemas.openxmlformats.org/officeDocument/2006/relationships/hyperlink" Id="rId114" Target="https://doi.org/10.1177/00031224251319001" TargetMode="External" /><Relationship Type="http://schemas.openxmlformats.org/officeDocument/2006/relationships/hyperlink" Id="rId117" Target="https://doi.org/10.1257/aer.20190553" TargetMode="External" /><Relationship Type="http://schemas.openxmlformats.org/officeDocument/2006/relationships/hyperlink" Id="rId140" Target="https://doi.org/10.1257/jep.27.3.79" TargetMode="External" /><Relationship Type="http://schemas.openxmlformats.org/officeDocument/2006/relationships/hyperlink" Id="rId128" Target="https://doi.org/10.3233/JEM-160421" TargetMode="External" /><Relationship Type="http://schemas.openxmlformats.org/officeDocument/2006/relationships/hyperlink" Id="rId95" Target="https://doi.org/10.3386/w33823" TargetMode="External" /><Relationship Type="http://schemas.openxmlformats.org/officeDocument/2006/relationships/hyperlink" Id="rId130" Target="https://doi.org/10.4324/9780203707425" TargetMode="External" /><Relationship Type="http://schemas.openxmlformats.org/officeDocument/2006/relationships/hyperlink" Id="rId133" Target="https://doi.org/doi.org/10.1146/annurev-soc-030320-115024" TargetMode="External" /><Relationship Type="http://schemas.openxmlformats.org/officeDocument/2006/relationships/hyperlink" Id="rId90" Target="https://fred.stlouisfed.org/series/SIPOVGINIUSA" TargetMode="External" /><Relationship Type="http://schemas.openxmlformats.org/officeDocument/2006/relationships/hyperlink" Id="rId116" Target="https://pubs.aeaweb.org/doi/10.1257/aer.20190553" TargetMode="External" /><Relationship Type="http://schemas.openxmlformats.org/officeDocument/2006/relationships/hyperlink" Id="rId159" Target="https://research.ebsco.com/linkprocessor/plink?id=183a0f60-6b65-3238-9faf-59d099fff528" TargetMode="External" /><Relationship Type="http://schemas.openxmlformats.org/officeDocument/2006/relationships/hyperlink" Id="rId132" Target="https://www-annualreviews-org.turing.library.northwestern.edu/content/journals/10.1146/annurev-soc-030320-115024" TargetMode="External" /><Relationship Type="http://schemas.openxmlformats.org/officeDocument/2006/relationships/hyperlink" Id="rId119" Target="https://www-journals-uchicago-edu.turing.library.northwestern.edu/doi/full/10.1086/724835" TargetMode="External" /><Relationship Type="http://schemas.openxmlformats.org/officeDocument/2006/relationships/hyperlink" Id="rId139" Target="https://www.aeaweb.org/articles?id=10.1257/jep.27.3.79" TargetMode="External" /><Relationship Type="http://schemas.openxmlformats.org/officeDocument/2006/relationships/hyperlink" Id="rId100" Target="https://www.annualreviews.org/doi/10.1146/annurev-soc-060116-053331" TargetMode="External" /><Relationship Type="http://schemas.openxmlformats.org/officeDocument/2006/relationships/hyperlink" Id="rId92" Target="https://www.bakerinstitute.org/research/decline-us-wealth-and-income-inequality" TargetMode="External" /><Relationship Type="http://schemas.openxmlformats.org/officeDocument/2006/relationships/hyperlink" Id="rId162" Target="https://www.census.gov/data/tables/time-series/demo/income-poverty/historical-income-inequality.html" TargetMode="External" /><Relationship Type="http://schemas.openxmlformats.org/officeDocument/2006/relationships/hyperlink" Id="rId97" Target="https://www.journals.uchicago.edu/doi/10.1086/728741" TargetMode="External" /><Relationship Type="http://schemas.openxmlformats.org/officeDocument/2006/relationships/hyperlink" Id="rId142" Target="https://www.jstor.org/stable/10.7758/9781610447805" TargetMode="External" /><Relationship Type="http://schemas.openxmlformats.org/officeDocument/2006/relationships/hyperlink" Id="rId94" Target="https://www.nber.org/papers/w33823" TargetMode="External" /><Relationship Type="http://schemas.openxmlformats.org/officeDocument/2006/relationships/hyperlink" Id="rId153" Target="https://www.ncbi.nlm.nih.gov/pmc/articles/PMC2652960/" TargetMode="External" /><Relationship Type="http://schemas.openxmlformats.org/officeDocument/2006/relationships/hyperlink" Id="rId146" Target="https://www.ncbi.nlm.nih.gov/pmc/articles/PMC9874997/" TargetMode="External" /><Relationship Type="http://schemas.openxmlformats.org/officeDocument/2006/relationships/hyperlink" Id="rId150" Target="https://www.sciencedirect.com/science/article/pii/0022053170900396" TargetMode="External" /><Relationship Type="http://schemas.openxmlformats.org/officeDocument/2006/relationships/hyperlink" Id="rId156" Target="https://www.sciencedirect.com/science/article/pii/S0277953697000440" TargetMode="External" /><Relationship Type="http://schemas.openxmlformats.org/officeDocument/2006/relationships/hyperlink" Id="rId135"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Names</dc:creator>
  <cp:keywords>put keywords here</cp:keywords>
  <dcterms:created xsi:type="dcterms:W3CDTF">2026-04-10T16:43:40Z</dcterms:created>
  <dcterms:modified xsi:type="dcterms:W3CDTF">2026-04-10T16:43:40Z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April 10,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