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Figure 1. Average Gini Coefficients for Households and Clans, 1969–2021</w:t>
      </w:r>
    </w:p>
    <w:tbl xmlns:a="http://schemas.openxmlformats.org/drawingml/2006/main" xmlns:pic="http://schemas.openxmlformats.org/drawingml/2006/picture">
      <w:tblPr>
        <w:tblLayout w:type="fixed"/>
        <w:jc w:val="center"/>
        <w:tblLook w:firstRow="1" w:lastRow="0" w:firstColumn="0" w:lastColumn="0" w:noHBand="0" w:noVBand="1"/>
      </w:tblPr>
      <w:tblGrid>
        <w:gridCol w:w="1132"/>
        <w:gridCol w:w="1652"/>
        <w:gridCol w:w="1652"/>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Households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Clans</w:t>
            </w:r>
          </w:p>
        </w:tc>
      </w:tr>
      <w:tr>
        <w:trPr>
          <w:trHeight w:val="777"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0.430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0.368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r>
      <w:tr>
        <w:trPr>
          <w:trHeight w:val="776"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0.882</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0.748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0.018)</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0"/>
          <w:szCs w:val="20"/>
          <w:color w:val="000000"/>
        </w:rPr>
        <w:t xml:space="preserve">Note: Gini coefficients reported are averages across all years. 
Income data were collected annually until 1997, and biennially thereafter. 
Wealth data were collected every five years from 1984 to 1999, and every other year thereafter. 
Both income and wealth are adjusted for inflation to constant YEAR dollars. Wealth is measured excluding home equity.
Standard errors are shown in parentheses.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2025-10-06T19:24:34Z</dcterms:modified>
  <cp:category/>
</cp:coreProperties>
</file>