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2A. Income Summary Statistics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3"/>
        <w:gridCol w:w="1206"/>
        <w:gridCol w:w="1731"/>
        <w:gridCol w:w="1621"/>
        <w:gridCol w:w="1853"/>
      </w:tblGrid>
      <w:tr>
        <w:trPr>
          <w:trHeight w:val="61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Unique Clans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 (Wtd.)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 (Unwtd.)</w:t>
            </w:r>
          </w:p>
        </w:tc>
      </w:tr>
      <w:tr>
        <w:trPr>
          <w:trHeight w:val="598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233,551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2,892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98,009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81,038</w:t>
            </w:r>
          </w:p>
        </w:tc>
      </w:tr>
      <w:tr>
        <w:trPr>
          <w:trHeight w:val="598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62,657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2,892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373,351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302,066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Gini coefficients and distributions based on weighted data using PSID family and clan weights.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2025-10-06T19:24:34Z</dcterms:modified>
  <cp:category/>
</cp:coreProperties>
</file>