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3A. Wealth Summary Statistics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3"/>
        <w:gridCol w:w="1206"/>
        <w:gridCol w:w="1731"/>
        <w:gridCol w:w="1621"/>
        <w:gridCol w:w="1853"/>
      </w:tblGrid>
      <w:tr>
        <w:trPr>
          <w:trHeight w:val="61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Unique Clans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 (Wtd.)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 (Unwtd.)</w:t>
            </w:r>
          </w:p>
        </w:tc>
      </w:tr>
      <w:tr>
        <w:trPr>
          <w:trHeight w:val="598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113,513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2,622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479,763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297,287</w:t>
            </w:r>
          </w:p>
        </w:tc>
      </w:tr>
      <w:tr>
        <w:trPr>
          <w:trHeight w:val="598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25,043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2,622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1,833,839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1,347,176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Gini coefficients and distributions based on weighted data using PSID family and clan weights. Wealth is measured exclusive of home equity.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2025-10-06T19:24:35Z</dcterms:modified>
  <cp:category/>
</cp:coreProperties>
</file>