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Wealth Inequality Indices by Period (Weighted)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2"/>
        <w:gridCol w:w="1792"/>
        <w:gridCol w:w="1927"/>
        <w:gridCol w:w="1670"/>
        <w:gridCol w:w="1804"/>
        <w:gridCol w:w="1071"/>
        <w:gridCol w:w="120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Clan</w:t>
            </w:r>
          </w:p>
        </w:tc>
      </w:tr>
      <w:tr>
        <w:trPr>
          <w:trHeight w:val="56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1984–1994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</w:t>
            </w:r>
          </w:p>
        </w:tc>
      </w:tr>
      <w:tr>
        <w:trPr>
          <w:trHeight w:val="56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1999–2009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</w:tr>
      <w:tr>
        <w:trPr>
          <w:trHeight w:val="56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2011–2021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0.029</w:t>
            </w:r>
          </w:p>
        </w:tc>
      </w:tr>
      <w:tr>
        <w:trPr>
          <w:trHeight w:val="569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0.038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8"/>
          <w:szCs w:val="18"/>
          <w:color w:val="000000"/>
        </w:rPr>
        <w:t xml:space="preserve">Note: C1 = Bonferroni index, C2 = Gini coefficient, C3 = third Lorenz moment. Based on weighted household and clan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2025-09-17T08:34:13Z</dcterms:modified>
  <cp:category/>
</cp:coreProperties>
</file>