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Summary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3"/>
        <w:gridCol w:w="1206"/>
        <w:gridCol w:w="1683"/>
        <w:gridCol w:w="1205"/>
        <w:gridCol w:w="2600"/>
        <w:gridCol w:w="2722"/>
        <w:gridCol w:w="1915"/>
        <w:gridCol w:w="1878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Unique clans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Black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Avg. No. of Individuals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Avg. No. of Households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Median Income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Median Wealth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233,551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2,892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50,933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37,253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62,657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2,892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169,716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383,218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Note: Statistics pool all years. Percent Black and central tendencies are weighted values. Wealth excludes home equity.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2025-10-09T08:22:54Z</dcterms:modified>
  <cp:category/>
</cp:coreProperties>
</file>