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3: Difference in Gini Coefficients for Households versus Clans by Race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25"/>
        <w:gridCol w:w="1132"/>
        <w:gridCol w:w="1095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Income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Wealth</w:t>
            </w:r>
          </w:p>
        </w:tc>
      </w:tr>
      <w:tr>
        <w:trPr>
          <w:trHeight w:val="572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Black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0.260</w:t>
            </w:r>
          </w:p>
        </w:tc>
      </w:tr>
      <w:tr>
        <w:trPr>
          <w:trHeight w:val="573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Non-Black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0.136</w:t>
            </w:r>
          </w:p>
        </w:tc>
      </w:tr>
    </w:tbl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20"/>
          <w:szCs w:val="20"/>
          <w:color w:val="000000"/>
        </w:rPr>
        <w:t xml:space="preserve">Note: Positive values mean household Gini exceeds clan Gini. Values are survey-weighted; Ginis averaged across years within groups. Wealth excludes home equity.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amanda</cp:lastModifiedBy>
  <cp:revision>9</cp:revision>
  <dcterms:created xsi:type="dcterms:W3CDTF">2017-02-28T11:18:00Z</dcterms:created>
  <dcterms:modified xsi:type="dcterms:W3CDTF">2025-10-09T08:22:56Z</dcterms:modified>
  <cp:category/>
</cp:coreProperties>
</file>