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336D" w:rsidRDefault="0004336D">
      <w:r>
        <w:t>NOTES for PRESENTATION // SPEAKING:</w:t>
      </w:r>
    </w:p>
    <w:p w:rsidR="0004336D" w:rsidRDefault="0004336D"/>
    <w:p w:rsidR="0004336D" w:rsidRDefault="0004336D" w:rsidP="0004336D">
      <w:pPr>
        <w:ind w:left="720"/>
      </w:pPr>
      <w:r>
        <w:t xml:space="preserve">Audience question:  </w:t>
      </w:r>
      <w:bookmarkStart w:id="0" w:name="_GoBack"/>
      <w:r>
        <w:t>“</w:t>
      </w:r>
      <w:r w:rsidRPr="0004336D">
        <w:t xml:space="preserve">But what about the age distribution differences between US states? How can you compare lumped-together suicide rates between states? Miami has lotsa old people, and Alaska and Colorado are much younger, that’s comparing apples and oranges, isn’t it?” </w:t>
      </w:r>
    </w:p>
    <w:p w:rsidR="00632AAF" w:rsidRDefault="0004336D">
      <w:r w:rsidRPr="0004336D">
        <w:t>“WELL, I’m GLAD you asked that. ACTUALLY, our statistics from CDC (DHS-&gt; CDC -&gt; NC IPC -&gt; WISQARS data service) already offered age-adjusted suicide rates.  The rates of almost all causes of disease, injury, and death vary by age. Age adjustment is a technique for “removing” the effects of age from crude rates so as to allow meaningful comparisons across populations with different underlying age structures. ///Age-adjusted rates are calculated by applying a corrective weighting factor to the age-specific rates of the examined populations, those weighting multipliers deriving from a standard population determined by census demographics for that period of time. ”</w:t>
      </w:r>
      <w:bookmarkEnd w:id="0"/>
      <w:r w:rsidRPr="0004336D">
        <w:t xml:space="preserve"> So there! (e</w:t>
      </w:r>
    </w:p>
    <w:sectPr w:rsidR="00632AAF" w:rsidSect="00647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36D"/>
    <w:rsid w:val="0004336D"/>
    <w:rsid w:val="00271442"/>
    <w:rsid w:val="0064750A"/>
    <w:rsid w:val="00E4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6E3B41"/>
  <w15:chartTrackingRefBased/>
  <w15:docId w15:val="{8C97A4D2-30E9-8249-BE41-2E7A2F5BB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Murphey</dc:creator>
  <cp:keywords/>
  <dc:description/>
  <cp:lastModifiedBy>Susan Murphey</cp:lastModifiedBy>
  <cp:revision>1</cp:revision>
  <dcterms:created xsi:type="dcterms:W3CDTF">2019-03-27T22:25:00Z</dcterms:created>
  <dcterms:modified xsi:type="dcterms:W3CDTF">2019-03-27T23:51:00Z</dcterms:modified>
</cp:coreProperties>
</file>