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Digital Energy Cell (DEC) – Concept Whitepaper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Version 1.0 | April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Author: Andrew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Digital Energy Cell (DEC) is a modular solid-state energy storage system designed to rival lithium-ion and sodium-ion batteries in both safety and performance. Built on a foundation of selected crystals and lipids, DEC aims to deliver superior charge retention, scalable architecture, and zero thermal runaway risk.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1. Background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Current battery technologies face increasing scrutiny due to toxicity, instability, and unsustainable sourcing. As demands grow across grid storage, renewable buffering, and transport electrification, the need for a cleaner, safer, and more adaptable solution becomes urgent.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2. The DEC Advantage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DEC does not rely on reactive electrolytes or exotic heavy metals. Instead, it leverages the dielectric interaction between selected crystal substrates and engineered lipid layers, forming a capacitive energy structure with unique charge-discharge characteristics.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Key Properties:</w:t>
        <w:br w:type="textWrapping"/>
        <w:t xml:space="preserve">- Solid-state construction (no fluid electrolyte)</w:t>
        <w:br w:type="textWrapping"/>
        <w:t xml:space="preserve">- No risk of thermal runaway or explosion</w:t>
        <w:br w:type="textWrapping"/>
        <w:t xml:space="preserve">- Environmentally inert core materials</w:t>
        <w:br w:type="textWrapping"/>
        <w:t xml:space="preserve">- Modular, scalable design</w:t>
        <w:br w:type="textWrapping"/>
        <w:t xml:space="preserve">- Compatible with renewable inputs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3. Smart Charging Protocol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DEC is designed to pair with a custom smart charger (Model 3070) which dynamically controls charge limits and prevents overvoltage stress.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Smart Charger Features:</w:t>
        <w:br w:type="textWrapping"/>
        <w:t xml:space="preserve">- Default 30–70% SOC range for lifespan optimization</w:t>
        <w:br w:type="textWrapping"/>
        <w:t xml:space="preserve">- Full override for special use cases (0–100%)</w:t>
        <w:br w:type="textWrapping"/>
        <w:t xml:space="preserve">- Thermal monitoring and auto-isolation logic</w:t>
        <w:br w:type="textWrapping"/>
        <w:t xml:space="preserve">- Logging, reporting, and alert systems</w:t>
        <w:br w:type="textWrapping"/>
        <w:t xml:space="preserve">- Universal support for Li-ion, NiMH, Alkaline, and DEC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4. Applications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Domestic energy storage</w:t>
        <w:br w:type="textWrapping"/>
        <w:t xml:space="preserve">- Renewable energy buffering</w:t>
        <w:br w:type="textWrapping"/>
        <w:t xml:space="preserve">- Remote installation backup systems</w:t>
        <w:br w:type="textWrapping"/>
        <w:t xml:space="preserve">- EV battery modules (future)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5. Future Outlook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DEC is still in early development, but theoretical testing and component profiling have shown promise. The long-term goal is to offer a patent-free, licensable architecture for sovereign manufacturing, decentralised energy deployment, and global clean storage initiatives.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6. Licensing &amp; Access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project is released under a custom non-commercial, attribution-required license. For access to detailed materials, compositions, or prototyping rights, contact the author directly.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Contact: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the.director@dialectrics.com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  <w:t xml:space="preserve">GitHub Repository: https://github/aegersz/DEC-Core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he.director@dialectri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