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Black" w:hAnsi="Arial Black"/>
          <w:b/>
          <w:color w:val="1F4E79"/>
          <w:sz w:val="36"/>
        </w:rPr>
        <w:t>Aegis-40 iPWR — Final Evaluation Report</w:t>
      </w:r>
    </w:p>
    <w:p>
      <w:pPr>
        <w:jc w:val="center"/>
      </w:pPr>
      <w:r>
        <w:rPr>
          <w:i/>
          <w:sz w:val="24"/>
        </w:rPr>
        <w:t>§8.1 General · §8.2 Core · §8.3 Fuel · §8.4 Cooling Circuit · §8.9 Energy Cycle · §8.11 Waste · §8.12 Economics · Non-proliferation (3S)</w:t>
      </w:r>
    </w:p>
    <w:p>
      <w:pPr>
        <w:jc w:val="center"/>
      </w:pPr>
      <w:r>
        <w:rPr>
          <w:color w:val="555555"/>
          <w:sz w:val="19"/>
        </w:rPr>
        <w:t>Compiled draft. Styling per FER template (Arial 12 / Arial Black titles, 1.15 spacing, justified, 2.5 cm margins). Yellow boxes mark 3D tech drawings to insert.</w:t>
      </w:r>
    </w:p>
    <w:p/>
    <w:p>
      <w:pPr>
        <w:jc w:val="both"/>
      </w:pPr>
      <w:r>
        <w:rPr>
          <w:rFonts w:ascii="Arial" w:hAnsi="Arial"/>
        </w:rPr>
        <w:t>---</w:t>
      </w:r>
    </w:p>
    <w:p>
      <w:pPr>
        <w:spacing w:before="200" w:after="80"/>
      </w:pPr>
      <w:r>
        <w:rPr>
          <w:rFonts w:ascii="Arial Black" w:hAnsi="Arial Black"/>
          <w:b/>
          <w:color w:val="1F4E79"/>
          <w:sz w:val="28"/>
        </w:rPr>
        <w:t>8.1 General Design Parameters</w:t>
      </w:r>
    </w:p>
    <w:p>
      <w:pPr>
        <w:jc w:val="both"/>
      </w:pPr>
      <w:r>
        <w:rPr>
          <w:rFonts w:ascii="Arial" w:hAnsi="Arial"/>
        </w:rPr>
        <w:t xml:space="preserve">The Aegis-40 is an integral, soluble-boron-free pressurised-water small modular reactor (iPWR-SMR) rated </w:t>
      </w:r>
      <w:r>
        <w:rPr>
          <w:rFonts w:ascii="Arial" w:hAnsi="Arial"/>
          <w:b/>
        </w:rPr>
        <w:t>125 MWth / 40 MWe net</w:t>
      </w:r>
      <w:r>
        <w:rPr>
          <w:rFonts w:ascii="Arial" w:hAnsi="Arial"/>
        </w:rPr>
        <w:t xml:space="preserve"> (32.0 % net efficiency). All primary equipment — core, steam generator, pressuriser, and control-rod drives — is contained within a single reactor pressure vessel. The plant is designed for a 60-year life, a small (~0.5 km) emergency-planning zone enabled by passive safety, and modular factory construction. Tables 8.1-1 to 8.1-5 give the consolidated design parameters; their derivation and basis documents are in §8.1.6, and pending items in §8.1.9.</w:t>
      </w:r>
    </w:p>
    <w:p>
      <w:pPr>
        <w:spacing w:before="200" w:after="80"/>
      </w:pPr>
      <w:r>
        <w:rPr>
          <w:rFonts w:ascii="Arial Black" w:hAnsi="Arial Black"/>
          <w:b/>
          <w:color w:val="1F4E79"/>
          <w:sz w:val="25"/>
        </w:rPr>
        <w:t>8.1.1 Plant and power</w:t>
      </w:r>
    </w:p>
    <w:p>
      <w:pPr>
        <w:jc w:val="both"/>
      </w:pPr>
      <w:r>
        <w:rPr>
          <w:rFonts w:ascii="Arial" w:hAnsi="Arial"/>
          <w:b/>
        </w:rPr>
        <w:t>Table 8.1-1 — Plant configuration and power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Parameter</w:t>
            </w:r>
          </w:p>
        </w:tc>
        <w:tc>
          <w:tcPr>
            <w:tcW w:type="dxa" w:w="3135"/>
            <w:shd w:val="clear" w:fill="DDE3EA"/>
          </w:tcPr>
          <w:p>
            <w:r>
              <w:rPr>
                <w:rFonts w:ascii="Arial" w:hAnsi="Arial"/>
                <w:b/>
                <w:sz w:val="20"/>
              </w:rPr>
            </w:r>
            <w:r>
              <w:rPr>
                <w:rFonts w:ascii="Arial" w:hAnsi="Arial"/>
                <w:b/>
                <w:sz w:val="20"/>
              </w:rPr>
              <w:t>Value</w:t>
            </w:r>
          </w:p>
        </w:tc>
        <w:tc>
          <w:tcPr>
            <w:tcW w:type="dxa" w:w="3135"/>
            <w:shd w:val="clear" w:fill="DDE3EA"/>
          </w:tcPr>
          <w:p>
            <w:r>
              <w:rPr>
                <w:rFonts w:ascii="Arial" w:hAnsi="Arial"/>
                <w:b/>
                <w:sz w:val="20"/>
              </w:rPr>
            </w:r>
            <w:r>
              <w:rPr>
                <w:rFonts w:ascii="Arial" w:hAnsi="Arial"/>
                <w:b/>
                <w:sz w:val="20"/>
              </w:rPr>
              <w:t>Unit</w:t>
            </w:r>
          </w:p>
        </w:tc>
      </w:tr>
      <w:tr>
        <w:tc>
          <w:tcPr>
            <w:tcW w:type="dxa" w:w="3135"/>
          </w:tcPr>
          <w:p>
            <w:r>
              <w:rPr>
                <w:rFonts w:ascii="Arial" w:hAnsi="Arial"/>
                <w:sz w:val="20"/>
              </w:rPr>
            </w:r>
            <w:r>
              <w:rPr>
                <w:rFonts w:ascii="Arial" w:hAnsi="Arial"/>
                <w:sz w:val="20"/>
              </w:rPr>
              <w:t>Plant type</w:t>
            </w:r>
          </w:p>
        </w:tc>
        <w:tc>
          <w:tcPr>
            <w:tcW w:type="dxa" w:w="3135"/>
          </w:tcPr>
          <w:p>
            <w:r>
              <w:rPr>
                <w:rFonts w:ascii="Arial" w:hAnsi="Arial"/>
                <w:sz w:val="20"/>
              </w:rPr>
            </w:r>
            <w:r>
              <w:rPr>
                <w:rFonts w:ascii="Arial" w:hAnsi="Arial"/>
                <w:sz w:val="20"/>
              </w:rPr>
              <w:t>Integral PWR (iPWR), soluble-boron-free</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Thermal power</w:t>
            </w:r>
          </w:p>
        </w:tc>
        <w:tc>
          <w:tcPr>
            <w:tcW w:type="dxa" w:w="3135"/>
          </w:tcPr>
          <w:p>
            <w:r>
              <w:rPr>
                <w:rFonts w:ascii="Arial" w:hAnsi="Arial"/>
                <w:sz w:val="20"/>
              </w:rPr>
            </w:r>
            <w:r>
              <w:rPr>
                <w:rFonts w:ascii="Arial" w:hAnsi="Arial"/>
                <w:sz w:val="20"/>
              </w:rPr>
              <w:t>125</w:t>
            </w:r>
          </w:p>
        </w:tc>
        <w:tc>
          <w:tcPr>
            <w:tcW w:type="dxa" w:w="3135"/>
          </w:tcPr>
          <w:p>
            <w:r>
              <w:rPr>
                <w:rFonts w:ascii="Arial" w:hAnsi="Arial"/>
                <w:sz w:val="20"/>
              </w:rPr>
            </w:r>
            <w:r>
              <w:rPr>
                <w:rFonts w:ascii="Arial" w:hAnsi="Arial"/>
                <w:sz w:val="20"/>
              </w:rPr>
              <w:t>MWth</w:t>
            </w:r>
          </w:p>
        </w:tc>
      </w:tr>
      <w:tr>
        <w:tc>
          <w:tcPr>
            <w:tcW w:type="dxa" w:w="3135"/>
          </w:tcPr>
          <w:p>
            <w:r>
              <w:rPr>
                <w:rFonts w:ascii="Arial" w:hAnsi="Arial"/>
                <w:sz w:val="20"/>
              </w:rPr>
            </w:r>
            <w:r>
              <w:rPr>
                <w:rFonts w:ascii="Arial" w:hAnsi="Arial"/>
                <w:sz w:val="20"/>
              </w:rPr>
              <w:t>Net electrical output</w:t>
            </w:r>
          </w:p>
        </w:tc>
        <w:tc>
          <w:tcPr>
            <w:tcW w:type="dxa" w:w="3135"/>
          </w:tcPr>
          <w:p>
            <w:r>
              <w:rPr>
                <w:rFonts w:ascii="Arial" w:hAnsi="Arial"/>
                <w:sz w:val="20"/>
              </w:rPr>
            </w:r>
            <w:r>
              <w:rPr>
                <w:rFonts w:ascii="Arial" w:hAnsi="Arial"/>
                <w:sz w:val="20"/>
              </w:rPr>
              <w:t>40</w:t>
            </w:r>
          </w:p>
        </w:tc>
        <w:tc>
          <w:tcPr>
            <w:tcW w:type="dxa" w:w="3135"/>
          </w:tcPr>
          <w:p>
            <w:r>
              <w:rPr>
                <w:rFonts w:ascii="Arial" w:hAnsi="Arial"/>
                <w:sz w:val="20"/>
              </w:rPr>
            </w:r>
            <w:r>
              <w:rPr>
                <w:rFonts w:ascii="Arial" w:hAnsi="Arial"/>
                <w:sz w:val="20"/>
              </w:rPr>
              <w:t>MWe (net to grid)</w:t>
            </w:r>
          </w:p>
        </w:tc>
      </w:tr>
      <w:tr>
        <w:tc>
          <w:tcPr>
            <w:tcW w:type="dxa" w:w="3135"/>
          </w:tcPr>
          <w:p>
            <w:r>
              <w:rPr>
                <w:rFonts w:ascii="Arial" w:hAnsi="Arial"/>
                <w:sz w:val="20"/>
              </w:rPr>
            </w:r>
            <w:r>
              <w:rPr>
                <w:rFonts w:ascii="Arial" w:hAnsi="Arial"/>
                <w:sz w:val="20"/>
              </w:rPr>
              <w:t>Net thermal efficiency</w:t>
            </w:r>
          </w:p>
        </w:tc>
        <w:tc>
          <w:tcPr>
            <w:tcW w:type="dxa" w:w="3135"/>
          </w:tcPr>
          <w:p>
            <w:r>
              <w:rPr>
                <w:rFonts w:ascii="Arial" w:hAnsi="Arial"/>
                <w:sz w:val="20"/>
              </w:rPr>
            </w:r>
            <w:r>
              <w:rPr>
                <w:rFonts w:ascii="Arial" w:hAnsi="Arial"/>
                <w:sz w:val="20"/>
              </w:rPr>
              <w:t>32.0 (nameplate) / 31.8 (computed)</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Design lifetime</w:t>
            </w:r>
          </w:p>
        </w:tc>
        <w:tc>
          <w:tcPr>
            <w:tcW w:type="dxa" w:w="3135"/>
          </w:tcPr>
          <w:p>
            <w:r>
              <w:rPr>
                <w:rFonts w:ascii="Arial" w:hAnsi="Arial"/>
                <w:sz w:val="20"/>
              </w:rPr>
            </w:r>
            <w:r>
              <w:rPr>
                <w:rFonts w:ascii="Arial" w:hAnsi="Arial"/>
                <w:sz w:val="20"/>
              </w:rPr>
              <w:t>60</w:t>
            </w:r>
          </w:p>
        </w:tc>
        <w:tc>
          <w:tcPr>
            <w:tcW w:type="dxa" w:w="3135"/>
          </w:tcPr>
          <w:p>
            <w:r>
              <w:rPr>
                <w:rFonts w:ascii="Arial" w:hAnsi="Arial"/>
                <w:sz w:val="20"/>
              </w:rPr>
            </w:r>
            <w:r>
              <w:rPr>
                <w:rFonts w:ascii="Arial" w:hAnsi="Arial"/>
                <w:sz w:val="20"/>
              </w:rPr>
              <w:t>years</w:t>
            </w:r>
          </w:p>
        </w:tc>
      </w:tr>
      <w:tr>
        <w:tc>
          <w:tcPr>
            <w:tcW w:type="dxa" w:w="3135"/>
          </w:tcPr>
          <w:p>
            <w:r>
              <w:rPr>
                <w:rFonts w:ascii="Arial" w:hAnsi="Arial"/>
                <w:sz w:val="20"/>
              </w:rPr>
            </w:r>
            <w:r>
              <w:rPr>
                <w:rFonts w:ascii="Arial" w:hAnsi="Arial"/>
                <w:sz w:val="20"/>
              </w:rPr>
              <w:t>Capacity factor (design target)</w:t>
            </w:r>
          </w:p>
        </w:tc>
        <w:tc>
          <w:tcPr>
            <w:tcW w:type="dxa" w:w="3135"/>
          </w:tcPr>
          <w:p>
            <w:r>
              <w:rPr>
                <w:rFonts w:ascii="Arial" w:hAnsi="Arial"/>
                <w:sz w:val="20"/>
              </w:rPr>
            </w:r>
            <w:r>
              <w:rPr>
                <w:rFonts w:ascii="Arial" w:hAnsi="Arial"/>
                <w:sz w:val="20"/>
              </w:rPr>
              <w:t>95</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Capacity factor (used in waste/fuel-cycle analysis)</w:t>
            </w:r>
          </w:p>
        </w:tc>
        <w:tc>
          <w:tcPr>
            <w:tcW w:type="dxa" w:w="3135"/>
          </w:tcPr>
          <w:p>
            <w:r>
              <w:rPr>
                <w:rFonts w:ascii="Arial" w:hAnsi="Arial"/>
                <w:sz w:val="20"/>
              </w:rPr>
            </w:r>
            <w:r>
              <w:rPr>
                <w:rFonts w:ascii="Arial" w:hAnsi="Arial"/>
                <w:sz w:val="20"/>
              </w:rPr>
              <w:t>90</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Available process-heat temperature</w:t>
            </w:r>
          </w:p>
        </w:tc>
        <w:tc>
          <w:tcPr>
            <w:tcW w:type="dxa" w:w="3135"/>
          </w:tcPr>
          <w:p>
            <w:r>
              <w:rPr>
                <w:rFonts w:ascii="Arial" w:hAnsi="Arial"/>
                <w:sz w:val="20"/>
              </w:rPr>
            </w:r>
            <w:r>
              <w:rPr>
                <w:rFonts w:ascii="Arial" w:hAnsi="Arial"/>
                <w:sz w:val="20"/>
              </w:rPr>
              <w:t>Flexible: 100–260</w:t>
            </w:r>
          </w:p>
        </w:tc>
        <w:tc>
          <w:tcPr>
            <w:tcW w:type="dxa" w:w="3135"/>
          </w:tcPr>
          <w:p>
            <w:r>
              <w:rPr>
                <w:rFonts w:ascii="Arial" w:hAnsi="Arial"/>
                <w:sz w:val="20"/>
              </w:rPr>
            </w:r>
            <w:r>
              <w:rPr>
                <w:rFonts w:ascii="Arial" w:hAnsi="Arial"/>
                <w:sz w:val="20"/>
              </w:rPr>
              <w:t>°C</w:t>
            </w:r>
          </w:p>
        </w:tc>
      </w:tr>
      <w:tr>
        <w:tc>
          <w:tcPr>
            <w:tcW w:type="dxa" w:w="3135"/>
          </w:tcPr>
          <w:p>
            <w:r>
              <w:rPr>
                <w:rFonts w:ascii="Arial" w:hAnsi="Arial"/>
                <w:sz w:val="20"/>
              </w:rPr>
            </w:r>
            <w:r>
              <w:rPr>
                <w:rFonts w:ascii="Arial" w:hAnsi="Arial"/>
                <w:sz w:val="20"/>
              </w:rPr>
              <w:t>Modular design</w:t>
            </w:r>
          </w:p>
        </w:tc>
        <w:tc>
          <w:tcPr>
            <w:tcW w:type="dxa" w:w="3135"/>
          </w:tcPr>
          <w:p>
            <w:r>
              <w:rPr>
                <w:rFonts w:ascii="Arial" w:hAnsi="Arial"/>
                <w:sz w:val="20"/>
              </w:rPr>
            </w:r>
            <w:r>
              <w:rPr>
                <w:rFonts w:ascii="Arial" w:hAnsi="Arial"/>
                <w:sz w:val="20"/>
              </w:rPr>
              <w:t>Yes</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Construction duration (n-th unit)</w:t>
            </w:r>
          </w:p>
        </w:tc>
        <w:tc>
          <w:tcPr>
            <w:tcW w:type="dxa" w:w="3135"/>
          </w:tcPr>
          <w:p>
            <w:r>
              <w:rPr>
                <w:rFonts w:ascii="Arial" w:hAnsi="Arial"/>
                <w:sz w:val="20"/>
              </w:rPr>
            </w:r>
            <w:r>
              <w:rPr>
                <w:rFonts w:ascii="Arial" w:hAnsi="Arial"/>
                <w:sz w:val="20"/>
              </w:rPr>
              <w:t>&lt; 30</w:t>
            </w:r>
          </w:p>
        </w:tc>
        <w:tc>
          <w:tcPr>
            <w:tcW w:type="dxa" w:w="3135"/>
          </w:tcPr>
          <w:p>
            <w:r>
              <w:rPr>
                <w:rFonts w:ascii="Arial" w:hAnsi="Arial"/>
                <w:sz w:val="20"/>
              </w:rPr>
            </w:r>
            <w:r>
              <w:rPr>
                <w:rFonts w:ascii="Arial" w:hAnsi="Arial"/>
                <w:sz w:val="20"/>
              </w:rPr>
              <w:t>months (first concrete → criticality)</w:t>
            </w:r>
          </w:p>
        </w:tc>
      </w:tr>
    </w:tbl>
    <w:p/>
    <w:p>
      <w:pPr>
        <w:jc w:val="both"/>
      </w:pPr>
      <w:r>
        <w:rPr>
          <w:rFonts w:ascii="Arial" w:hAnsi="Arial"/>
          <w:i/>
          <w:color w:val="555555"/>
        </w:rPr>
        <w:t>[TODO: REVIEW — capacity factor: advertise the 95 % design target (consistent with the outage schedule in §8.1.5); note in §8.11 that the waste arisings used a conservative 0.90. Reconcile the two so the FER never shows both as "the" CF without explanation.]</w:t>
      </w:r>
    </w:p>
    <w:p>
      <w:pPr>
        <w:spacing w:before="200" w:after="80"/>
      </w:pPr>
      <w:r>
        <w:rPr>
          <w:rFonts w:ascii="Arial Black" w:hAnsi="Arial Black"/>
          <w:b/>
          <w:color w:val="1F4E79"/>
          <w:sz w:val="25"/>
        </w:rPr>
        <w:t>8.1.2 Primary system and thermal-hydraulics</w:t>
      </w:r>
    </w:p>
    <w:p>
      <w:pPr>
        <w:jc w:val="both"/>
      </w:pPr>
      <w:r>
        <w:rPr>
          <w:rFonts w:ascii="Arial" w:hAnsi="Arial"/>
          <w:b/>
        </w:rPr>
        <w:t>Table 8.1-2 — Primary coolant system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Parameter</w:t>
            </w:r>
          </w:p>
        </w:tc>
        <w:tc>
          <w:tcPr>
            <w:tcW w:type="dxa" w:w="3135"/>
            <w:shd w:val="clear" w:fill="DDE3EA"/>
          </w:tcPr>
          <w:p>
            <w:r>
              <w:rPr>
                <w:rFonts w:ascii="Arial" w:hAnsi="Arial"/>
                <w:b/>
                <w:sz w:val="20"/>
              </w:rPr>
            </w:r>
            <w:r>
              <w:rPr>
                <w:rFonts w:ascii="Arial" w:hAnsi="Arial"/>
                <w:b/>
                <w:sz w:val="20"/>
              </w:rPr>
              <w:t>Value</w:t>
            </w:r>
          </w:p>
        </w:tc>
        <w:tc>
          <w:tcPr>
            <w:tcW w:type="dxa" w:w="3135"/>
            <w:shd w:val="clear" w:fill="DDE3EA"/>
          </w:tcPr>
          <w:p>
            <w:r>
              <w:rPr>
                <w:rFonts w:ascii="Arial" w:hAnsi="Arial"/>
                <w:b/>
                <w:sz w:val="20"/>
              </w:rPr>
            </w:r>
            <w:r>
              <w:rPr>
                <w:rFonts w:ascii="Arial" w:hAnsi="Arial"/>
                <w:b/>
                <w:sz w:val="20"/>
              </w:rPr>
              <w:t>Unit</w:t>
            </w:r>
          </w:p>
        </w:tc>
      </w:tr>
      <w:tr>
        <w:tc>
          <w:tcPr>
            <w:tcW w:type="dxa" w:w="3135"/>
          </w:tcPr>
          <w:p>
            <w:r>
              <w:rPr>
                <w:rFonts w:ascii="Arial" w:hAnsi="Arial"/>
                <w:sz w:val="20"/>
              </w:rPr>
            </w:r>
            <w:r>
              <w:rPr>
                <w:rFonts w:ascii="Arial" w:hAnsi="Arial"/>
                <w:sz w:val="20"/>
              </w:rPr>
              <w:t>Primary system operating pressure</w:t>
            </w:r>
          </w:p>
        </w:tc>
        <w:tc>
          <w:tcPr>
            <w:tcW w:type="dxa" w:w="3135"/>
          </w:tcPr>
          <w:p>
            <w:r>
              <w:rPr>
                <w:rFonts w:ascii="Arial" w:hAnsi="Arial"/>
                <w:sz w:val="20"/>
              </w:rPr>
            </w:r>
            <w:r>
              <w:rPr>
                <w:rFonts w:ascii="Arial" w:hAnsi="Arial"/>
                <w:sz w:val="20"/>
              </w:rPr>
              <w:t>12.8</w:t>
            </w:r>
          </w:p>
        </w:tc>
        <w:tc>
          <w:tcPr>
            <w:tcW w:type="dxa" w:w="3135"/>
          </w:tcPr>
          <w:p>
            <w:r>
              <w:rPr>
                <w:rFonts w:ascii="Arial" w:hAnsi="Arial"/>
                <w:sz w:val="20"/>
              </w:rPr>
            </w:r>
            <w:r>
              <w:rPr>
                <w:rFonts w:ascii="Arial" w:hAnsi="Arial"/>
                <w:sz w:val="20"/>
              </w:rPr>
              <w:t>MPa</w:t>
            </w:r>
          </w:p>
        </w:tc>
      </w:tr>
      <w:tr>
        <w:tc>
          <w:tcPr>
            <w:tcW w:type="dxa" w:w="3135"/>
          </w:tcPr>
          <w:p>
            <w:r>
              <w:rPr>
                <w:rFonts w:ascii="Arial" w:hAnsi="Arial"/>
                <w:sz w:val="20"/>
              </w:rPr>
            </w:r>
            <w:r>
              <w:rPr>
                <w:rFonts w:ascii="Arial" w:hAnsi="Arial"/>
                <w:sz w:val="20"/>
              </w:rPr>
              <w:t>Core inlet / outlet temperature</w:t>
            </w:r>
          </w:p>
        </w:tc>
        <w:tc>
          <w:tcPr>
            <w:tcW w:type="dxa" w:w="3135"/>
          </w:tcPr>
          <w:p>
            <w:r>
              <w:rPr>
                <w:rFonts w:ascii="Arial" w:hAnsi="Arial"/>
                <w:sz w:val="20"/>
              </w:rPr>
            </w:r>
            <w:r>
              <w:rPr>
                <w:rFonts w:ascii="Arial" w:hAnsi="Arial"/>
                <w:sz w:val="20"/>
              </w:rPr>
              <w:t>258 / 308</w:t>
            </w:r>
          </w:p>
        </w:tc>
        <w:tc>
          <w:tcPr>
            <w:tcW w:type="dxa" w:w="3135"/>
          </w:tcPr>
          <w:p>
            <w:r>
              <w:rPr>
                <w:rFonts w:ascii="Arial" w:hAnsi="Arial"/>
                <w:sz w:val="20"/>
              </w:rPr>
            </w:r>
            <w:r>
              <w:rPr>
                <w:rFonts w:ascii="Arial" w:hAnsi="Arial"/>
                <w:sz w:val="20"/>
              </w:rPr>
              <w:t>°C / °C</w:t>
            </w:r>
          </w:p>
        </w:tc>
      </w:tr>
      <w:tr>
        <w:tc>
          <w:tcPr>
            <w:tcW w:type="dxa" w:w="3135"/>
          </w:tcPr>
          <w:p>
            <w:r>
              <w:rPr>
                <w:rFonts w:ascii="Arial" w:hAnsi="Arial"/>
                <w:sz w:val="20"/>
              </w:rPr>
            </w:r>
            <w:r>
              <w:rPr>
                <w:rFonts w:ascii="Arial" w:hAnsi="Arial"/>
                <w:sz w:val="20"/>
              </w:rPr>
              <w:t>Core temperature rise (ΔT)</w:t>
            </w:r>
          </w:p>
        </w:tc>
        <w:tc>
          <w:tcPr>
            <w:tcW w:type="dxa" w:w="3135"/>
          </w:tcPr>
          <w:p>
            <w:r>
              <w:rPr>
                <w:rFonts w:ascii="Arial" w:hAnsi="Arial"/>
                <w:sz w:val="20"/>
              </w:rPr>
            </w:r>
            <w:r>
              <w:rPr>
                <w:rFonts w:ascii="Arial" w:hAnsi="Arial"/>
                <w:sz w:val="20"/>
              </w:rPr>
              <w:t>50</w:t>
            </w:r>
          </w:p>
        </w:tc>
        <w:tc>
          <w:tcPr>
            <w:tcW w:type="dxa" w:w="3135"/>
          </w:tcPr>
          <w:p>
            <w:r>
              <w:rPr>
                <w:rFonts w:ascii="Arial" w:hAnsi="Arial"/>
                <w:sz w:val="20"/>
              </w:rPr>
            </w:r>
            <w:r>
              <w:rPr>
                <w:rFonts w:ascii="Arial" w:hAnsi="Arial"/>
                <w:sz w:val="20"/>
              </w:rPr>
              <w:t>K</w:t>
            </w:r>
          </w:p>
        </w:tc>
      </w:tr>
      <w:tr>
        <w:tc>
          <w:tcPr>
            <w:tcW w:type="dxa" w:w="3135"/>
          </w:tcPr>
          <w:p>
            <w:r>
              <w:rPr>
                <w:rFonts w:ascii="Arial" w:hAnsi="Arial"/>
                <w:sz w:val="20"/>
              </w:rPr>
            </w:r>
            <w:r>
              <w:rPr>
                <w:rFonts w:ascii="Arial" w:hAnsi="Arial"/>
                <w:sz w:val="20"/>
              </w:rPr>
              <w:t>Average primary mass flow rate</w:t>
            </w:r>
          </w:p>
        </w:tc>
        <w:tc>
          <w:tcPr>
            <w:tcW w:type="dxa" w:w="3135"/>
          </w:tcPr>
          <w:p>
            <w:r>
              <w:rPr>
                <w:rFonts w:ascii="Arial" w:hAnsi="Arial"/>
                <w:sz w:val="20"/>
              </w:rPr>
            </w:r>
            <w:r>
              <w:rPr>
                <w:rFonts w:ascii="Arial" w:hAnsi="Arial"/>
                <w:sz w:val="20"/>
              </w:rPr>
              <w:t>~483</w:t>
            </w:r>
          </w:p>
        </w:tc>
        <w:tc>
          <w:tcPr>
            <w:tcW w:type="dxa" w:w="3135"/>
          </w:tcPr>
          <w:p>
            <w:r>
              <w:rPr>
                <w:rFonts w:ascii="Arial" w:hAnsi="Arial"/>
                <w:sz w:val="20"/>
              </w:rPr>
            </w:r>
            <w:r>
              <w:rPr>
                <w:rFonts w:ascii="Arial" w:hAnsi="Arial"/>
                <w:sz w:val="20"/>
              </w:rPr>
              <w:t>kg/s</w:t>
            </w:r>
          </w:p>
        </w:tc>
      </w:tr>
      <w:tr>
        <w:tc>
          <w:tcPr>
            <w:tcW w:type="dxa" w:w="3135"/>
          </w:tcPr>
          <w:p>
            <w:r>
              <w:rPr>
                <w:rFonts w:ascii="Arial" w:hAnsi="Arial"/>
                <w:sz w:val="20"/>
              </w:rPr>
            </w:r>
            <w:r>
              <w:rPr>
                <w:rFonts w:ascii="Arial" w:hAnsi="Arial"/>
                <w:sz w:val="20"/>
              </w:rPr>
              <w:t>Primary coolant inventory</w:t>
            </w:r>
          </w:p>
        </w:tc>
        <w:tc>
          <w:tcPr>
            <w:tcW w:type="dxa" w:w="3135"/>
          </w:tcPr>
          <w:p>
            <w:r>
              <w:rPr>
                <w:rFonts w:ascii="Arial" w:hAnsi="Arial"/>
                <w:sz w:val="20"/>
              </w:rPr>
            </w:r>
            <w:r>
              <w:rPr>
                <w:rFonts w:ascii="Arial" w:hAnsi="Arial"/>
                <w:sz w:val="20"/>
              </w:rPr>
              <w:t>~25.6 (≈ 34.6 m³)</w:t>
            </w:r>
          </w:p>
        </w:tc>
        <w:tc>
          <w:tcPr>
            <w:tcW w:type="dxa" w:w="3135"/>
          </w:tcPr>
          <w:p>
            <w:r>
              <w:rPr>
                <w:rFonts w:ascii="Arial" w:hAnsi="Arial"/>
                <w:sz w:val="20"/>
              </w:rPr>
            </w:r>
            <w:r>
              <w:rPr>
                <w:rFonts w:ascii="Arial" w:hAnsi="Arial"/>
                <w:sz w:val="20"/>
              </w:rPr>
              <w:t>t</w:t>
            </w:r>
          </w:p>
        </w:tc>
      </w:tr>
      <w:tr>
        <w:tc>
          <w:tcPr>
            <w:tcW w:type="dxa" w:w="3135"/>
          </w:tcPr>
          <w:p>
            <w:r>
              <w:rPr>
                <w:rFonts w:ascii="Arial" w:hAnsi="Arial"/>
                <w:sz w:val="20"/>
              </w:rPr>
            </w:r>
            <w:r>
              <w:rPr>
                <w:rFonts w:ascii="Arial" w:hAnsi="Arial"/>
                <w:sz w:val="20"/>
              </w:rPr>
              <w:t>Steam-generator (secondary) operating pressure</w:t>
            </w:r>
          </w:p>
        </w:tc>
        <w:tc>
          <w:tcPr>
            <w:tcW w:type="dxa" w:w="3135"/>
          </w:tcPr>
          <w:p>
            <w:r>
              <w:rPr>
                <w:rFonts w:ascii="Arial" w:hAnsi="Arial"/>
                <w:sz w:val="20"/>
              </w:rPr>
            </w:r>
            <w:r>
              <w:rPr>
                <w:rFonts w:ascii="Arial" w:hAnsi="Arial"/>
                <w:sz w:val="20"/>
              </w:rPr>
              <w:t>4.5</w:t>
            </w:r>
          </w:p>
        </w:tc>
        <w:tc>
          <w:tcPr>
            <w:tcW w:type="dxa" w:w="3135"/>
          </w:tcPr>
          <w:p>
            <w:r>
              <w:rPr>
                <w:rFonts w:ascii="Arial" w:hAnsi="Arial"/>
                <w:sz w:val="20"/>
              </w:rPr>
            </w:r>
            <w:r>
              <w:rPr>
                <w:rFonts w:ascii="Arial" w:hAnsi="Arial"/>
                <w:sz w:val="20"/>
              </w:rPr>
              <w:t>MPa</w:t>
            </w:r>
          </w:p>
        </w:tc>
      </w:tr>
      <w:tr>
        <w:tc>
          <w:tcPr>
            <w:tcW w:type="dxa" w:w="3135"/>
          </w:tcPr>
          <w:p>
            <w:r>
              <w:rPr>
                <w:rFonts w:ascii="Arial" w:hAnsi="Arial"/>
                <w:sz w:val="20"/>
              </w:rPr>
            </w:r>
            <w:r>
              <w:rPr>
                <w:rFonts w:ascii="Arial" w:hAnsi="Arial"/>
                <w:sz w:val="20"/>
              </w:rPr>
              <w:t>Circulation mode</w:t>
            </w:r>
          </w:p>
        </w:tc>
        <w:tc>
          <w:tcPr>
            <w:tcW w:type="dxa" w:w="3135"/>
          </w:tcPr>
          <w:p>
            <w:r>
              <w:rPr>
                <w:rFonts w:ascii="Arial" w:hAnsi="Arial"/>
                <w:sz w:val="20"/>
              </w:rPr>
            </w:r>
            <w:r>
              <w:rPr>
                <w:rFonts w:ascii="Arial" w:hAnsi="Arial"/>
                <w:sz w:val="20"/>
              </w:rPr>
              <w:t>Natural circulation (no primary pumps)</w:t>
            </w:r>
          </w:p>
        </w:tc>
        <w:tc>
          <w:tcPr>
            <w:tcW w:type="dxa" w:w="3135"/>
          </w:tcPr>
          <w:p>
            <w:r>
              <w:rPr>
                <w:rFonts w:ascii="Arial" w:hAnsi="Arial"/>
                <w:sz w:val="20"/>
              </w:rPr>
            </w:r>
            <w:r>
              <w:rPr>
                <w:rFonts w:ascii="Arial" w:hAnsi="Arial"/>
                <w:sz w:val="20"/>
              </w:rPr>
              <w:t>—</w:t>
            </w:r>
          </w:p>
        </w:tc>
      </w:tr>
    </w:tbl>
    <w:p/>
    <w:p>
      <w:pPr>
        <w:jc w:val="both"/>
      </w:pPr>
      <w:r>
        <w:rPr>
          <w:rFonts w:ascii="Arial" w:hAnsi="Arial"/>
          <w:i/>
          <w:color w:val="555555"/>
        </w:rPr>
        <w:t>[TODO: REVIEW — primary coolant inventory ~25.6 t is a geometric estimate (`scripts/primary_inventory.py`, ±~25 %): sum of the documented in-vessel primary water regions (core lattice + reflector, lower plenum/head, riser, SG shell-side, downcomer, upper plenum/head) at ρ ≈ 740 kg/m³. It replaces the erroneous 1.82 Mkg large-PWR figure; confirm the precise value against the §8.4 T-H model.]</w:t>
      </w:r>
    </w:p>
    <w:p>
      <w:pPr>
        <w:jc w:val="both"/>
      </w:pPr>
      <w:r>
        <w:rPr>
          <w:rFonts w:ascii="Arial" w:hAnsi="Arial"/>
          <w:i/>
          <w:color w:val="555555"/>
        </w:rPr>
        <w:t>[TODO: RESOLVED — the 12.8 MPa / 258→308 °C (ΔT 50 K) primary boundary is now fixed by the §8.4 natural-circulation analysis (`scripts/natcirc_primary.py`). Saturation at 12.8 MPa is 329.7 °C, so the 308 °C outlet keeps 21.7 °C hot-leg subcooling — single-phase with margin. The §8.9 steam side is re-coupled to these legs (4.5 MPa / 296 °C, 8.8 °C OTSG pinch).]</w:t>
      </w:r>
    </w:p>
    <w:p>
      <w:pPr>
        <w:spacing w:before="200" w:after="80"/>
      </w:pPr>
      <w:r>
        <w:rPr>
          <w:rFonts w:ascii="Arial Black" w:hAnsi="Arial Black"/>
          <w:b/>
          <w:color w:val="1F4E79"/>
          <w:sz w:val="25"/>
        </w:rPr>
        <w:t>8.1.3 Fuel and core</w:t>
      </w:r>
    </w:p>
    <w:p>
      <w:pPr>
        <w:jc w:val="both"/>
      </w:pPr>
      <w:r>
        <w:rPr>
          <w:rFonts w:ascii="Arial" w:hAnsi="Arial"/>
          <w:b/>
        </w:rPr>
        <w:t>Table 8.1-3 — Fuel and core design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Parameter</w:t>
            </w:r>
          </w:p>
        </w:tc>
        <w:tc>
          <w:tcPr>
            <w:tcW w:type="dxa" w:w="3135"/>
            <w:shd w:val="clear" w:fill="DDE3EA"/>
          </w:tcPr>
          <w:p>
            <w:r>
              <w:rPr>
                <w:rFonts w:ascii="Arial" w:hAnsi="Arial"/>
                <w:b/>
                <w:sz w:val="20"/>
              </w:rPr>
            </w:r>
            <w:r>
              <w:rPr>
                <w:rFonts w:ascii="Arial" w:hAnsi="Arial"/>
                <w:b/>
                <w:sz w:val="20"/>
              </w:rPr>
              <w:t>Value</w:t>
            </w:r>
          </w:p>
        </w:tc>
        <w:tc>
          <w:tcPr>
            <w:tcW w:type="dxa" w:w="3135"/>
            <w:shd w:val="clear" w:fill="DDE3EA"/>
          </w:tcPr>
          <w:p>
            <w:r>
              <w:rPr>
                <w:rFonts w:ascii="Arial" w:hAnsi="Arial"/>
                <w:b/>
                <w:sz w:val="20"/>
              </w:rPr>
            </w:r>
            <w:r>
              <w:rPr>
                <w:rFonts w:ascii="Arial" w:hAnsi="Arial"/>
                <w:b/>
                <w:sz w:val="20"/>
              </w:rPr>
              <w:t>Unit</w:t>
            </w:r>
          </w:p>
        </w:tc>
      </w:tr>
      <w:tr>
        <w:tc>
          <w:tcPr>
            <w:tcW w:type="dxa" w:w="3135"/>
          </w:tcPr>
          <w:p>
            <w:r>
              <w:rPr>
                <w:rFonts w:ascii="Arial" w:hAnsi="Arial"/>
                <w:sz w:val="20"/>
              </w:rPr>
            </w:r>
            <w:r>
              <w:rPr>
                <w:rFonts w:ascii="Arial" w:hAnsi="Arial"/>
                <w:sz w:val="20"/>
              </w:rPr>
              <w:t>Number of fuel assemblies</w:t>
            </w:r>
          </w:p>
        </w:tc>
        <w:tc>
          <w:tcPr>
            <w:tcW w:type="dxa" w:w="3135"/>
          </w:tcPr>
          <w:p>
            <w:r>
              <w:rPr>
                <w:rFonts w:ascii="Arial" w:hAnsi="Arial"/>
                <w:sz w:val="20"/>
              </w:rPr>
            </w:r>
            <w:r>
              <w:rPr>
                <w:rFonts w:ascii="Arial" w:hAnsi="Arial"/>
                <w:sz w:val="20"/>
              </w:rPr>
              <w:t>21</w:t>
            </w:r>
          </w:p>
        </w:tc>
        <w:tc>
          <w:tcPr>
            <w:tcW w:type="dxa" w:w="3135"/>
          </w:tcPr>
          <w:p>
            <w:r>
              <w:rPr>
                <w:rFonts w:ascii="Arial" w:hAnsi="Arial"/>
                <w:sz w:val="20"/>
              </w:rPr>
            </w:r>
            <w:r>
              <w:rPr>
                <w:rFonts w:ascii="Arial" w:hAnsi="Arial"/>
                <w:sz w:val="20"/>
              </w:rPr>
              <w:t>— (17×17 square lattice)</w:t>
            </w:r>
          </w:p>
        </w:tc>
      </w:tr>
      <w:tr>
        <w:tc>
          <w:tcPr>
            <w:tcW w:type="dxa" w:w="3135"/>
          </w:tcPr>
          <w:p>
            <w:r>
              <w:rPr>
                <w:rFonts w:ascii="Arial" w:hAnsi="Arial"/>
                <w:sz w:val="20"/>
              </w:rPr>
            </w:r>
            <w:r>
              <w:rPr>
                <w:rFonts w:ascii="Arial" w:hAnsi="Arial"/>
                <w:sz w:val="20"/>
              </w:rPr>
              <w:t>Active core height</w:t>
            </w:r>
          </w:p>
        </w:tc>
        <w:tc>
          <w:tcPr>
            <w:tcW w:type="dxa" w:w="3135"/>
          </w:tcPr>
          <w:p>
            <w:r>
              <w:rPr>
                <w:rFonts w:ascii="Arial" w:hAnsi="Arial"/>
                <w:sz w:val="20"/>
              </w:rPr>
            </w:r>
            <w:r>
              <w:rPr>
                <w:rFonts w:ascii="Arial" w:hAnsi="Arial"/>
                <w:sz w:val="20"/>
              </w:rPr>
              <w:t>200</w:t>
            </w:r>
          </w:p>
        </w:tc>
        <w:tc>
          <w:tcPr>
            <w:tcW w:type="dxa" w:w="3135"/>
          </w:tcPr>
          <w:p>
            <w:r>
              <w:rPr>
                <w:rFonts w:ascii="Arial" w:hAnsi="Arial"/>
                <w:sz w:val="20"/>
              </w:rPr>
            </w:r>
            <w:r>
              <w:rPr>
                <w:rFonts w:ascii="Arial" w:hAnsi="Arial"/>
                <w:sz w:val="20"/>
              </w:rPr>
              <w:t>cm (+ 30 cm H₂O axial reflector each end)</w:t>
            </w:r>
          </w:p>
        </w:tc>
      </w:tr>
      <w:tr>
        <w:tc>
          <w:tcPr>
            <w:tcW w:type="dxa" w:w="3135"/>
          </w:tcPr>
          <w:p>
            <w:r>
              <w:rPr>
                <w:rFonts w:ascii="Arial" w:hAnsi="Arial"/>
                <w:sz w:val="20"/>
              </w:rPr>
            </w:r>
            <w:r>
              <w:rPr>
                <w:rFonts w:ascii="Arial" w:hAnsi="Arial"/>
                <w:sz w:val="20"/>
              </w:rPr>
              <w:t>Heavy-metal loading (fresh)</w:t>
            </w:r>
          </w:p>
        </w:tc>
        <w:tc>
          <w:tcPr>
            <w:tcW w:type="dxa" w:w="3135"/>
          </w:tcPr>
          <w:p>
            <w:r>
              <w:rPr>
                <w:rFonts w:ascii="Arial" w:hAnsi="Arial"/>
                <w:sz w:val="20"/>
              </w:rPr>
            </w:r>
            <w:r>
              <w:rPr>
                <w:rFonts w:ascii="Arial" w:hAnsi="Arial"/>
                <w:sz w:val="20"/>
              </w:rPr>
              <w:t>~5.3</w:t>
            </w:r>
          </w:p>
        </w:tc>
        <w:tc>
          <w:tcPr>
            <w:tcW w:type="dxa" w:w="3135"/>
          </w:tcPr>
          <w:p>
            <w:r>
              <w:rPr>
                <w:rFonts w:ascii="Arial" w:hAnsi="Arial"/>
                <w:sz w:val="20"/>
              </w:rPr>
            </w:r>
            <w:r>
              <w:rPr>
                <w:rFonts w:ascii="Arial" w:hAnsi="Arial"/>
                <w:sz w:val="20"/>
              </w:rPr>
              <w:t>tHM</w:t>
            </w:r>
          </w:p>
        </w:tc>
      </w:tr>
      <w:tr>
        <w:tc>
          <w:tcPr>
            <w:tcW w:type="dxa" w:w="3135"/>
          </w:tcPr>
          <w:p>
            <w:r>
              <w:rPr>
                <w:rFonts w:ascii="Arial" w:hAnsi="Arial"/>
                <w:sz w:val="20"/>
              </w:rPr>
            </w:r>
            <w:r>
              <w:rPr>
                <w:rFonts w:ascii="Arial" w:hAnsi="Arial"/>
                <w:sz w:val="20"/>
              </w:rPr>
              <w:t>Specific power</w:t>
            </w:r>
          </w:p>
        </w:tc>
        <w:tc>
          <w:tcPr>
            <w:tcW w:type="dxa" w:w="3135"/>
          </w:tcPr>
          <w:p>
            <w:r>
              <w:rPr>
                <w:rFonts w:ascii="Arial" w:hAnsi="Arial"/>
                <w:sz w:val="20"/>
              </w:rPr>
            </w:r>
            <w:r>
              <w:rPr>
                <w:rFonts w:ascii="Arial" w:hAnsi="Arial"/>
                <w:sz w:val="20"/>
              </w:rPr>
              <w:t>23.6</w:t>
            </w:r>
          </w:p>
        </w:tc>
        <w:tc>
          <w:tcPr>
            <w:tcW w:type="dxa" w:w="3135"/>
          </w:tcPr>
          <w:p>
            <w:r>
              <w:rPr>
                <w:rFonts w:ascii="Arial" w:hAnsi="Arial"/>
                <w:sz w:val="20"/>
              </w:rPr>
            </w:r>
            <w:r>
              <w:rPr>
                <w:rFonts w:ascii="Arial" w:hAnsi="Arial"/>
                <w:sz w:val="20"/>
              </w:rPr>
              <w:t>MW/tHM</w:t>
            </w:r>
          </w:p>
        </w:tc>
      </w:tr>
      <w:tr>
        <w:tc>
          <w:tcPr>
            <w:tcW w:type="dxa" w:w="3135"/>
          </w:tcPr>
          <w:p>
            <w:r>
              <w:rPr>
                <w:rFonts w:ascii="Arial" w:hAnsi="Arial"/>
                <w:sz w:val="20"/>
              </w:rPr>
            </w:r>
            <w:r>
              <w:rPr>
                <w:rFonts w:ascii="Arial" w:hAnsi="Arial"/>
                <w:sz w:val="20"/>
              </w:rPr>
              <w:t>Fuel material</w:t>
            </w:r>
          </w:p>
        </w:tc>
        <w:tc>
          <w:tcPr>
            <w:tcW w:type="dxa" w:w="3135"/>
          </w:tcPr>
          <w:p>
            <w:r>
              <w:rPr>
                <w:rFonts w:ascii="Arial" w:hAnsi="Arial"/>
                <w:sz w:val="20"/>
              </w:rPr>
            </w:r>
            <w:r>
              <w:rPr>
                <w:rFonts w:ascii="Arial" w:hAnsi="Arial"/>
                <w:sz w:val="20"/>
              </w:rPr>
              <w:t>UO₂</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Fuel enrichment (zoned inner/mid/outer)</w:t>
            </w:r>
          </w:p>
        </w:tc>
        <w:tc>
          <w:tcPr>
            <w:tcW w:type="dxa" w:w="3135"/>
          </w:tcPr>
          <w:p>
            <w:r>
              <w:rPr>
                <w:rFonts w:ascii="Arial" w:hAnsi="Arial"/>
                <w:sz w:val="20"/>
              </w:rPr>
            </w:r>
            <w:r>
              <w:rPr>
                <w:rFonts w:ascii="Arial" w:hAnsi="Arial"/>
                <w:sz w:val="20"/>
              </w:rPr>
              <w:t>4.95 / 4.70 / 4.40</w:t>
            </w:r>
          </w:p>
        </w:tc>
        <w:tc>
          <w:tcPr>
            <w:tcW w:type="dxa" w:w="3135"/>
          </w:tcPr>
          <w:p>
            <w:r>
              <w:rPr>
                <w:rFonts w:ascii="Arial" w:hAnsi="Arial"/>
                <w:sz w:val="20"/>
              </w:rPr>
            </w:r>
            <w:r>
              <w:rPr>
                <w:rFonts w:ascii="Arial" w:hAnsi="Arial"/>
                <w:sz w:val="20"/>
              </w:rPr>
              <w:t>wt% ²³⁵U</w:t>
            </w:r>
          </w:p>
        </w:tc>
      </w:tr>
      <w:tr>
        <w:tc>
          <w:tcPr>
            <w:tcW w:type="dxa" w:w="3135"/>
          </w:tcPr>
          <w:p>
            <w:r>
              <w:rPr>
                <w:rFonts w:ascii="Arial" w:hAnsi="Arial"/>
                <w:sz w:val="20"/>
              </w:rPr>
            </w:r>
            <w:r>
              <w:rPr>
                <w:rFonts w:ascii="Arial" w:hAnsi="Arial"/>
                <w:sz w:val="20"/>
              </w:rPr>
              <w:t>Fuel enrichment (core average / maximum)</w:t>
            </w:r>
          </w:p>
        </w:tc>
        <w:tc>
          <w:tcPr>
            <w:tcW w:type="dxa" w:w="3135"/>
          </w:tcPr>
          <w:p>
            <w:r>
              <w:rPr>
                <w:rFonts w:ascii="Arial" w:hAnsi="Arial"/>
                <w:sz w:val="20"/>
              </w:rPr>
            </w:r>
            <w:r>
              <w:rPr>
                <w:rFonts w:ascii="Arial" w:hAnsi="Arial"/>
                <w:sz w:val="20"/>
              </w:rPr>
              <w:t>4.54 / 4.95</w:t>
            </w:r>
          </w:p>
        </w:tc>
        <w:tc>
          <w:tcPr>
            <w:tcW w:type="dxa" w:w="3135"/>
          </w:tcPr>
          <w:p>
            <w:r>
              <w:rPr>
                <w:rFonts w:ascii="Arial" w:hAnsi="Arial"/>
                <w:sz w:val="20"/>
              </w:rPr>
            </w:r>
            <w:r>
              <w:rPr>
                <w:rFonts w:ascii="Arial" w:hAnsi="Arial"/>
                <w:sz w:val="20"/>
              </w:rPr>
              <w:t>wt%</w:t>
            </w:r>
          </w:p>
        </w:tc>
      </w:tr>
      <w:tr>
        <w:tc>
          <w:tcPr>
            <w:tcW w:type="dxa" w:w="3135"/>
          </w:tcPr>
          <w:p>
            <w:r>
              <w:rPr>
                <w:rFonts w:ascii="Arial" w:hAnsi="Arial"/>
                <w:sz w:val="20"/>
              </w:rPr>
            </w:r>
            <w:r>
              <w:rPr>
                <w:rFonts w:ascii="Arial" w:hAnsi="Arial"/>
                <w:sz w:val="20"/>
              </w:rPr>
              <w:t>Fuel cladding material</w:t>
            </w:r>
          </w:p>
        </w:tc>
        <w:tc>
          <w:tcPr>
            <w:tcW w:type="dxa" w:w="3135"/>
          </w:tcPr>
          <w:p>
            <w:r>
              <w:rPr>
                <w:rFonts w:ascii="Arial" w:hAnsi="Arial"/>
                <w:sz w:val="20"/>
              </w:rPr>
            </w:r>
            <w:r>
              <w:rPr>
                <w:rFonts w:ascii="Arial" w:hAnsi="Arial"/>
                <w:sz w:val="20"/>
              </w:rPr>
              <w:t>Zircaloy-4 (Zr-4)</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Primary burnable absorber</w:t>
            </w:r>
          </w:p>
        </w:tc>
        <w:tc>
          <w:tcPr>
            <w:tcW w:type="dxa" w:w="3135"/>
          </w:tcPr>
          <w:p>
            <w:r>
              <w:rPr>
                <w:rFonts w:ascii="Arial" w:hAnsi="Arial"/>
                <w:sz w:val="20"/>
              </w:rPr>
            </w:r>
            <w:r>
              <w:rPr>
                <w:rFonts w:ascii="Arial" w:hAnsi="Arial"/>
                <w:sz w:val="20"/>
              </w:rPr>
              <w:t>Gd₂O₃, 8 wt% (radially zoned)</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Secondary burnable absorber</w:t>
            </w:r>
          </w:p>
        </w:tc>
        <w:tc>
          <w:tcPr>
            <w:tcW w:type="dxa" w:w="3135"/>
          </w:tcPr>
          <w:p>
            <w:r>
              <w:rPr>
                <w:rFonts w:ascii="Arial" w:hAnsi="Arial"/>
                <w:sz w:val="20"/>
              </w:rPr>
            </w:r>
            <w:r>
              <w:rPr>
                <w:rFonts w:ascii="Arial" w:hAnsi="Arial"/>
                <w:sz w:val="20"/>
              </w:rPr>
              <w:t>Er₂O₃, 0.5 wt%</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Reload scheme</w:t>
            </w:r>
          </w:p>
        </w:tc>
        <w:tc>
          <w:tcPr>
            <w:tcW w:type="dxa" w:w="3135"/>
          </w:tcPr>
          <w:p>
            <w:r>
              <w:rPr>
                <w:rFonts w:ascii="Arial" w:hAnsi="Arial"/>
                <w:sz w:val="20"/>
              </w:rPr>
            </w:r>
            <w:r>
              <w:rPr>
                <w:rFonts w:ascii="Arial" w:hAnsi="Arial"/>
                <w:sz w:val="20"/>
              </w:rPr>
              <w:t>4-batch</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Cycle length</w:t>
            </w:r>
          </w:p>
        </w:tc>
        <w:tc>
          <w:tcPr>
            <w:tcW w:type="dxa" w:w="3135"/>
          </w:tcPr>
          <w:p>
            <w:r>
              <w:rPr>
                <w:rFonts w:ascii="Arial" w:hAnsi="Arial"/>
                <w:sz w:val="20"/>
              </w:rPr>
            </w:r>
            <w:r>
              <w:rPr>
                <w:rFonts w:ascii="Arial" w:hAnsi="Arial"/>
                <w:sz w:val="20"/>
              </w:rPr>
              <w:t>479 EFPD (~16)</w:t>
            </w:r>
          </w:p>
        </w:tc>
        <w:tc>
          <w:tcPr>
            <w:tcW w:type="dxa" w:w="3135"/>
          </w:tcPr>
          <w:p>
            <w:r>
              <w:rPr>
                <w:rFonts w:ascii="Arial" w:hAnsi="Arial"/>
                <w:sz w:val="20"/>
              </w:rPr>
            </w:r>
            <w:r>
              <w:rPr>
                <w:rFonts w:ascii="Arial" w:hAnsi="Arial"/>
                <w:sz w:val="20"/>
              </w:rPr>
              <w:t>EFPD (months)</w:t>
            </w:r>
          </w:p>
        </w:tc>
      </w:tr>
      <w:tr>
        <w:tc>
          <w:tcPr>
            <w:tcW w:type="dxa" w:w="3135"/>
          </w:tcPr>
          <w:p>
            <w:r>
              <w:rPr>
                <w:rFonts w:ascii="Arial" w:hAnsi="Arial"/>
                <w:sz w:val="20"/>
              </w:rPr>
            </w:r>
            <w:r>
              <w:rPr>
                <w:rFonts w:ascii="Arial" w:hAnsi="Arial"/>
                <w:sz w:val="20"/>
              </w:rPr>
              <w:t>Fuel reload interval</w:t>
            </w:r>
          </w:p>
        </w:tc>
        <w:tc>
          <w:tcPr>
            <w:tcW w:type="dxa" w:w="3135"/>
          </w:tcPr>
          <w:p>
            <w:r>
              <w:rPr>
                <w:rFonts w:ascii="Arial" w:hAnsi="Arial"/>
                <w:sz w:val="20"/>
              </w:rPr>
            </w:r>
            <w:r>
              <w:rPr>
                <w:rFonts w:ascii="Arial" w:hAnsi="Arial"/>
                <w:sz w:val="20"/>
              </w:rPr>
              <w:t>~16 (12–24 capable)</w:t>
            </w:r>
          </w:p>
        </w:tc>
        <w:tc>
          <w:tcPr>
            <w:tcW w:type="dxa" w:w="3135"/>
          </w:tcPr>
          <w:p>
            <w:r>
              <w:rPr>
                <w:rFonts w:ascii="Arial" w:hAnsi="Arial"/>
                <w:sz w:val="20"/>
              </w:rPr>
            </w:r>
            <w:r>
              <w:rPr>
                <w:rFonts w:ascii="Arial" w:hAnsi="Arial"/>
                <w:sz w:val="20"/>
              </w:rPr>
              <w:t>months</w:t>
            </w:r>
          </w:p>
        </w:tc>
      </w:tr>
      <w:tr>
        <w:tc>
          <w:tcPr>
            <w:tcW w:type="dxa" w:w="3135"/>
          </w:tcPr>
          <w:p>
            <w:r>
              <w:rPr>
                <w:rFonts w:ascii="Arial" w:hAnsi="Arial"/>
                <w:sz w:val="20"/>
              </w:rPr>
            </w:r>
            <w:r>
              <w:rPr>
                <w:rFonts w:ascii="Arial" w:hAnsi="Arial"/>
                <w:sz w:val="20"/>
              </w:rPr>
              <w:t>Discharge burnup</w:t>
            </w:r>
          </w:p>
        </w:tc>
        <w:tc>
          <w:tcPr>
            <w:tcW w:type="dxa" w:w="3135"/>
          </w:tcPr>
          <w:p>
            <w:r>
              <w:rPr>
                <w:rFonts w:ascii="Arial" w:hAnsi="Arial"/>
                <w:sz w:val="20"/>
              </w:rPr>
            </w:r>
            <w:r>
              <w:rPr>
                <w:rFonts w:ascii="Arial" w:hAnsi="Arial"/>
                <w:sz w:val="20"/>
              </w:rPr>
              <w:t>42.8</w:t>
            </w:r>
          </w:p>
        </w:tc>
        <w:tc>
          <w:tcPr>
            <w:tcW w:type="dxa" w:w="3135"/>
          </w:tcPr>
          <w:p>
            <w:r>
              <w:rPr>
                <w:rFonts w:ascii="Arial" w:hAnsi="Arial"/>
                <w:sz w:val="20"/>
              </w:rPr>
            </w:r>
            <w:r>
              <w:rPr>
                <w:rFonts w:ascii="Arial" w:hAnsi="Arial"/>
                <w:sz w:val="20"/>
              </w:rPr>
              <w:t>GWd/MTU</w:t>
            </w:r>
          </w:p>
        </w:tc>
      </w:tr>
      <w:tr>
        <w:tc>
          <w:tcPr>
            <w:tcW w:type="dxa" w:w="3135"/>
          </w:tcPr>
          <w:p>
            <w:r>
              <w:rPr>
                <w:rFonts w:ascii="Arial" w:hAnsi="Arial"/>
                <w:sz w:val="20"/>
              </w:rPr>
            </w:r>
            <w:r>
              <w:rPr>
                <w:rFonts w:ascii="Arial" w:hAnsi="Arial"/>
                <w:sz w:val="20"/>
              </w:rPr>
              <w:t>Primary reactivity control</w:t>
            </w:r>
          </w:p>
        </w:tc>
        <w:tc>
          <w:tcPr>
            <w:tcW w:type="dxa" w:w="3135"/>
          </w:tcPr>
          <w:p>
            <w:r>
              <w:rPr>
                <w:rFonts w:ascii="Arial" w:hAnsi="Arial"/>
                <w:sz w:val="20"/>
              </w:rPr>
            </w:r>
            <w:r>
              <w:rPr>
                <w:rFonts w:ascii="Arial" w:hAnsi="Arial"/>
                <w:sz w:val="20"/>
              </w:rPr>
              <w:t>Control rods + integral burnable absorbers</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Control-rod absorber material</w:t>
            </w:r>
          </w:p>
        </w:tc>
        <w:tc>
          <w:tcPr>
            <w:tcW w:type="dxa" w:w="3135"/>
          </w:tcPr>
          <w:p>
            <w:r>
              <w:rPr>
                <w:rFonts w:ascii="Arial" w:hAnsi="Arial"/>
                <w:sz w:val="20"/>
              </w:rPr>
            </w:r>
            <w:r>
              <w:rPr>
                <w:rFonts w:ascii="Arial" w:hAnsi="Arial"/>
                <w:sz w:val="20"/>
              </w:rPr>
              <w:t>B₄C / Hf (REVIEW)</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Fuel reprocessing</w:t>
            </w:r>
          </w:p>
        </w:tc>
        <w:tc>
          <w:tcPr>
            <w:tcW w:type="dxa" w:w="3135"/>
          </w:tcPr>
          <w:p>
            <w:r>
              <w:rPr>
                <w:rFonts w:ascii="Arial" w:hAnsi="Arial"/>
                <w:sz w:val="20"/>
              </w:rPr>
            </w:r>
            <w:r>
              <w:rPr>
                <w:rFonts w:ascii="Arial" w:hAnsi="Arial"/>
                <w:sz w:val="20"/>
              </w:rPr>
              <w:t>None (once-through)</w:t>
            </w:r>
          </w:p>
        </w:tc>
        <w:tc>
          <w:tcPr>
            <w:tcW w:type="dxa" w:w="3135"/>
          </w:tcPr>
          <w:p>
            <w:r>
              <w:rPr>
                <w:rFonts w:ascii="Arial" w:hAnsi="Arial"/>
                <w:sz w:val="20"/>
              </w:rPr>
            </w:r>
            <w:r>
              <w:rPr>
                <w:rFonts w:ascii="Arial" w:hAnsi="Arial"/>
                <w:sz w:val="20"/>
              </w:rPr>
              <w:t>—</w:t>
            </w:r>
          </w:p>
        </w:tc>
      </w:tr>
    </w:tbl>
    <w:p/>
    <w:p>
      <w:pPr>
        <w:jc w:val="both"/>
      </w:pPr>
      <w:r>
        <w:rPr>
          <w:rFonts w:ascii="Arial" w:hAnsi="Arial"/>
          <w:i/>
          <w:color w:val="555555"/>
        </w:rPr>
        <w:t>[TODO: RESOLVED — core-average enrichment = 4.54 wt%, assembly-weighted from the rev_3 loading map (`cad/core_map.csv`): r0/r1/r2 = 1/8/12 assemblies at 4.95/4.70/4.40 wt% → (1·4.95 + 8·4.70 + 12·4.40)/21 = 4.54. The old "3.81 %" was impossible (below the 4.40 minimum zone) and is dropped.]</w:t>
      </w:r>
    </w:p>
    <w:p>
      <w:pPr>
        <w:jc w:val="both"/>
      </w:pPr>
      <w:r>
        <w:rPr>
          <w:rFonts w:ascii="Arial" w:hAnsi="Arial"/>
          <w:i/>
          <w:color w:val="555555"/>
        </w:rPr>
        <w:t>[TODO: REVIEW — control-rod absorber material: confirm with §8.5/§8.6 (Azamkhon). B₄C and/or Hf are typical SBF-core choices; Gd₂O₃ is a *burnable absorber*, not a control-rod material, so the old "B₄C, Hf, Gd₂O₃" lumping is split here.]</w:t>
      </w:r>
    </w:p>
    <w:p>
      <w:pPr>
        <w:jc w:val="both"/>
      </w:pPr>
      <w:r>
        <w:rPr>
          <w:rFonts w:ascii="Arial" w:hAnsi="Arial"/>
          <w:i/>
          <w:color w:val="555555"/>
        </w:rPr>
        <w:t>[TODO: REVIEW — fresh heavy-metal loading: ~5.3 tHM is the as-modeled value; the depletion run gives 5.04 tHM at discharge. Confirm the exact fresh value with an OpenMC `--step 0` mass edit.]</w:t>
      </w:r>
    </w:p>
    <w:p>
      <w:pPr>
        <w:spacing w:before="200" w:after="80"/>
      </w:pPr>
      <w:r>
        <w:rPr>
          <w:rFonts w:ascii="Arial Black" w:hAnsi="Arial Black"/>
          <w:b/>
          <w:color w:val="1F4E79"/>
          <w:sz w:val="25"/>
        </w:rPr>
        <w:t>8.1.4 Safety systems and probabilistic targets</w:t>
      </w:r>
    </w:p>
    <w:p>
      <w:pPr>
        <w:spacing w:before="40"/>
        <w:ind w:left="340"/>
      </w:pPr>
      <w:r>
        <w:rPr>
          <w:rFonts w:ascii="Arial" w:hAnsi="Arial"/>
          <w:i/>
          <w:color w:val="555555"/>
          <w:sz w:val="21"/>
        </w:rPr>
        <w:t xml:space="preserve">▸ </w:t>
      </w:r>
      <w:r>
        <w:rPr>
          <w:rFonts w:ascii="Arial" w:hAnsi="Arial"/>
          <w:i/>
          <w:color w:val="555555"/>
          <w:sz w:val="21"/>
        </w:rPr>
        <w:t xml:space="preserve">These rows are owned by §8.5/§8.6/§8.7/§8.10 (Azamkhon). Values reproduced here for the front-page summary; </w:t>
      </w:r>
      <w:r>
        <w:rPr>
          <w:rFonts w:ascii="Arial" w:hAnsi="Arial"/>
          <w:b/>
          <w:i/>
          <w:color w:val="555555"/>
          <w:sz w:val="21"/>
        </w:rPr>
        <w:t>confirm counts and descriptions against those sections before submission.</w:t>
      </w:r>
    </w:p>
    <w:p>
      <w:pPr>
        <w:jc w:val="both"/>
      </w:pPr>
      <w:r>
        <w:rPr>
          <w:rFonts w:ascii="Arial" w:hAnsi="Arial"/>
          <w:b/>
        </w:rPr>
        <w:t>Table 8.1-4 — Engineered safety features and PSA targets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System / metric</w:t>
            </w:r>
          </w:p>
        </w:tc>
        <w:tc>
          <w:tcPr>
            <w:tcW w:type="dxa" w:w="3135"/>
            <w:shd w:val="clear" w:fill="DDE3EA"/>
          </w:tcPr>
          <w:p>
            <w:r>
              <w:rPr>
                <w:rFonts w:ascii="Arial" w:hAnsi="Arial"/>
                <w:b/>
                <w:sz w:val="20"/>
              </w:rPr>
            </w:r>
            <w:r>
              <w:rPr>
                <w:rFonts w:ascii="Arial" w:hAnsi="Arial"/>
                <w:b/>
                <w:sz w:val="20"/>
              </w:rPr>
              <w:t>Value</w:t>
            </w:r>
          </w:p>
        </w:tc>
        <w:tc>
          <w:tcPr>
            <w:tcW w:type="dxa" w:w="3135"/>
            <w:shd w:val="clear" w:fill="DDE3EA"/>
          </w:tcPr>
          <w:p>
            <w:r>
              <w:rPr>
                <w:rFonts w:ascii="Arial" w:hAnsi="Arial"/>
                <w:b/>
                <w:sz w:val="20"/>
              </w:rPr>
            </w:r>
            <w:r>
              <w:rPr>
                <w:rFonts w:ascii="Arial" w:hAnsi="Arial"/>
                <w:b/>
                <w:sz w:val="20"/>
              </w:rPr>
              <w:t>Note</w:t>
            </w:r>
          </w:p>
        </w:tc>
      </w:tr>
      <w:tr>
        <w:tc>
          <w:tcPr>
            <w:tcW w:type="dxa" w:w="3135"/>
          </w:tcPr>
          <w:p>
            <w:r>
              <w:rPr>
                <w:rFonts w:ascii="Arial" w:hAnsi="Arial"/>
                <w:sz w:val="20"/>
              </w:rPr>
            </w:r>
            <w:r>
              <w:rPr>
                <w:rFonts w:ascii="Arial" w:hAnsi="Arial"/>
                <w:sz w:val="20"/>
              </w:rPr>
              <w:t>Reactor shutdown systems</w:t>
            </w:r>
          </w:p>
        </w:tc>
        <w:tc>
          <w:tcPr>
            <w:tcW w:type="dxa" w:w="3135"/>
          </w:tcPr>
          <w:p>
            <w:r>
              <w:rPr>
                <w:rFonts w:ascii="Arial" w:hAnsi="Arial"/>
                <w:sz w:val="20"/>
              </w:rPr>
            </w:r>
            <w:r>
              <w:rPr>
                <w:rFonts w:ascii="Arial" w:hAnsi="Arial"/>
                <w:sz w:val="20"/>
              </w:rPr>
              <w:t>3</w:t>
            </w:r>
          </w:p>
        </w:tc>
        <w:tc>
          <w:tcPr>
            <w:tcW w:type="dxa" w:w="3135"/>
          </w:tcPr>
          <w:p>
            <w:r>
              <w:rPr>
                <w:rFonts w:ascii="Arial" w:hAnsi="Arial"/>
                <w:sz w:val="20"/>
              </w:rPr>
            </w:r>
            <w:r>
              <w:rPr>
                <w:rFonts w:ascii="Arial" w:hAnsi="Arial"/>
                <w:sz w:val="20"/>
              </w:rPr>
              <w:t>Hydraulic scram, electrically-driven control rods, redundant trains</w:t>
            </w:r>
          </w:p>
        </w:tc>
      </w:tr>
      <w:tr>
        <w:tc>
          <w:tcPr>
            <w:tcW w:type="dxa" w:w="3135"/>
          </w:tcPr>
          <w:p>
            <w:r>
              <w:rPr>
                <w:rFonts w:ascii="Arial" w:hAnsi="Arial"/>
                <w:sz w:val="20"/>
              </w:rPr>
            </w:r>
            <w:r>
              <w:rPr>
                <w:rFonts w:ascii="Arial" w:hAnsi="Arial"/>
                <w:sz w:val="20"/>
              </w:rPr>
              <w:t>Core water injection</w:t>
            </w:r>
          </w:p>
        </w:tc>
        <w:tc>
          <w:tcPr>
            <w:tcW w:type="dxa" w:w="3135"/>
          </w:tcPr>
          <w:p>
            <w:r>
              <w:rPr>
                <w:rFonts w:ascii="Arial" w:hAnsi="Arial"/>
                <w:sz w:val="20"/>
              </w:rPr>
            </w:r>
            <w:r>
              <w:rPr>
                <w:rFonts w:ascii="Arial" w:hAnsi="Arial"/>
                <w:sz w:val="20"/>
              </w:rPr>
              <w:t>2</w:t>
            </w:r>
          </w:p>
        </w:tc>
        <w:tc>
          <w:tcPr>
            <w:tcW w:type="dxa" w:w="3135"/>
          </w:tcPr>
          <w:p>
            <w:r>
              <w:rPr>
                <w:rFonts w:ascii="Arial" w:hAnsi="Arial"/>
                <w:sz w:val="20"/>
              </w:rPr>
            </w:r>
            <w:r>
              <w:rPr>
                <w:rFonts w:ascii="Arial" w:hAnsi="Arial"/>
                <w:sz w:val="20"/>
              </w:rPr>
              <w:t>Redundant</w:t>
            </w:r>
          </w:p>
        </w:tc>
      </w:tr>
      <w:tr>
        <w:tc>
          <w:tcPr>
            <w:tcW w:type="dxa" w:w="3135"/>
          </w:tcPr>
          <w:p>
            <w:r>
              <w:rPr>
                <w:rFonts w:ascii="Arial" w:hAnsi="Arial"/>
                <w:sz w:val="20"/>
              </w:rPr>
            </w:r>
            <w:r>
              <w:rPr>
                <w:rFonts w:ascii="Arial" w:hAnsi="Arial"/>
                <w:sz w:val="20"/>
              </w:rPr>
              <w:t>Residual heat removal</w:t>
            </w:r>
          </w:p>
        </w:tc>
        <w:tc>
          <w:tcPr>
            <w:tcW w:type="dxa" w:w="3135"/>
          </w:tcPr>
          <w:p>
            <w:r>
              <w:rPr>
                <w:rFonts w:ascii="Arial" w:hAnsi="Arial"/>
                <w:sz w:val="20"/>
              </w:rPr>
            </w:r>
            <w:r>
              <w:rPr>
                <w:rFonts w:ascii="Arial" w:hAnsi="Arial"/>
                <w:sz w:val="20"/>
              </w:rPr>
              <w:t>2</w:t>
            </w:r>
          </w:p>
        </w:tc>
        <w:tc>
          <w:tcPr>
            <w:tcW w:type="dxa" w:w="3135"/>
          </w:tcPr>
          <w:p>
            <w:r>
              <w:rPr>
                <w:rFonts w:ascii="Arial" w:hAnsi="Arial"/>
                <w:sz w:val="20"/>
              </w:rPr>
            </w:r>
            <w:r>
              <w:rPr>
                <w:rFonts w:ascii="Arial" w:hAnsi="Arial"/>
                <w:sz w:val="20"/>
              </w:rPr>
              <w:t>Two redundant 100 % units</w:t>
            </w:r>
          </w:p>
        </w:tc>
      </w:tr>
      <w:tr>
        <w:tc>
          <w:tcPr>
            <w:tcW w:type="dxa" w:w="3135"/>
          </w:tcPr>
          <w:p>
            <w:r>
              <w:rPr>
                <w:rFonts w:ascii="Arial" w:hAnsi="Arial"/>
                <w:sz w:val="20"/>
              </w:rPr>
            </w:r>
            <w:r>
              <w:rPr>
                <w:rFonts w:ascii="Arial" w:hAnsi="Arial"/>
                <w:sz w:val="20"/>
              </w:rPr>
              <w:t>Emergency core cooling</w:t>
            </w:r>
          </w:p>
        </w:tc>
        <w:tc>
          <w:tcPr>
            <w:tcW w:type="dxa" w:w="3135"/>
          </w:tcPr>
          <w:p>
            <w:r>
              <w:rPr>
                <w:rFonts w:ascii="Arial" w:hAnsi="Arial"/>
                <w:sz w:val="20"/>
              </w:rPr>
            </w:r>
            <w:r>
              <w:rPr>
                <w:rFonts w:ascii="Arial" w:hAnsi="Arial"/>
                <w:sz w:val="20"/>
              </w:rPr>
              <w:t>3</w:t>
            </w:r>
          </w:p>
        </w:tc>
        <w:tc>
          <w:tcPr>
            <w:tcW w:type="dxa" w:w="3135"/>
          </w:tcPr>
          <w:p>
            <w:r>
              <w:rPr>
                <w:rFonts w:ascii="Arial" w:hAnsi="Arial"/>
                <w:sz w:val="20"/>
              </w:rPr>
            </w:r>
            <w:r>
              <w:rPr>
                <w:rFonts w:ascii="Arial" w:hAnsi="Arial"/>
                <w:sz w:val="20"/>
              </w:rPr>
              <w:t xml:space="preserve">Three redundant </w:t>
            </w:r>
            <w:r>
              <w:rPr>
                <w:rFonts w:ascii="Arial" w:hAnsi="Arial"/>
                <w:b/>
                <w:sz w:val="20"/>
              </w:rPr>
              <w:t>passive</w:t>
            </w:r>
            <w:r>
              <w:rPr>
                <w:rFonts w:ascii="Arial" w:hAnsi="Arial"/>
                <w:sz w:val="20"/>
              </w:rPr>
              <w:t xml:space="preserve"> 100 % units</w:t>
            </w:r>
          </w:p>
        </w:tc>
      </w:tr>
      <w:tr>
        <w:tc>
          <w:tcPr>
            <w:tcW w:type="dxa" w:w="3135"/>
          </w:tcPr>
          <w:p>
            <w:r>
              <w:rPr>
                <w:rFonts w:ascii="Arial" w:hAnsi="Arial"/>
                <w:sz w:val="20"/>
              </w:rPr>
            </w:r>
            <w:r>
              <w:rPr>
                <w:rFonts w:ascii="Arial" w:hAnsi="Arial"/>
                <w:sz w:val="20"/>
              </w:rPr>
              <w:t>Containment isolation</w:t>
            </w:r>
          </w:p>
        </w:tc>
        <w:tc>
          <w:tcPr>
            <w:tcW w:type="dxa" w:w="3135"/>
          </w:tcPr>
          <w:p>
            <w:r>
              <w:rPr>
                <w:rFonts w:ascii="Arial" w:hAnsi="Arial"/>
                <w:sz w:val="20"/>
              </w:rPr>
            </w:r>
            <w:r>
              <w:rPr>
                <w:rFonts w:ascii="Arial" w:hAnsi="Arial"/>
                <w:sz w:val="20"/>
              </w:rPr>
              <w:t>3</w:t>
            </w:r>
          </w:p>
        </w:tc>
        <w:tc>
          <w:tcPr>
            <w:tcW w:type="dxa" w:w="3135"/>
          </w:tcPr>
          <w:p>
            <w:r>
              <w:rPr>
                <w:rFonts w:ascii="Arial" w:hAnsi="Arial"/>
                <w:sz w:val="20"/>
              </w:rPr>
            </w:r>
            <w:r>
              <w:rPr>
                <w:rFonts w:ascii="Arial" w:hAnsi="Arial"/>
                <w:sz w:val="20"/>
              </w:rPr>
              <w:t>Three redundant trains</w:t>
            </w:r>
          </w:p>
        </w:tc>
      </w:tr>
      <w:tr>
        <w:tc>
          <w:tcPr>
            <w:tcW w:type="dxa" w:w="3135"/>
          </w:tcPr>
          <w:p>
            <w:r>
              <w:rPr>
                <w:rFonts w:ascii="Arial" w:hAnsi="Arial"/>
                <w:sz w:val="20"/>
              </w:rPr>
            </w:r>
            <w:r>
              <w:rPr>
                <w:rFonts w:ascii="Arial" w:hAnsi="Arial"/>
                <w:sz w:val="20"/>
              </w:rPr>
              <w:t>Containment cooling</w:t>
            </w:r>
          </w:p>
        </w:tc>
        <w:tc>
          <w:tcPr>
            <w:tcW w:type="dxa" w:w="3135"/>
          </w:tcPr>
          <w:p>
            <w:r>
              <w:rPr>
                <w:rFonts w:ascii="Arial" w:hAnsi="Arial"/>
                <w:sz w:val="20"/>
              </w:rPr>
            </w:r>
            <w:r>
              <w:rPr>
                <w:rFonts w:ascii="Arial" w:hAnsi="Arial"/>
                <w:sz w:val="20"/>
              </w:rPr>
              <w:t>2</w:t>
            </w:r>
          </w:p>
        </w:tc>
        <w:tc>
          <w:tcPr>
            <w:tcW w:type="dxa" w:w="3135"/>
          </w:tcPr>
          <w:p>
            <w:r>
              <w:rPr>
                <w:rFonts w:ascii="Arial" w:hAnsi="Arial"/>
                <w:sz w:val="20"/>
              </w:rPr>
            </w:r>
            <w:r>
              <w:rPr>
                <w:rFonts w:ascii="Arial" w:hAnsi="Arial"/>
                <w:sz w:val="20"/>
              </w:rPr>
              <w:t>Two 100 % units</w:t>
            </w:r>
          </w:p>
        </w:tc>
      </w:tr>
      <w:tr>
        <w:tc>
          <w:tcPr>
            <w:tcW w:type="dxa" w:w="3135"/>
          </w:tcPr>
          <w:p>
            <w:r>
              <w:rPr>
                <w:rFonts w:ascii="Arial" w:hAnsi="Arial"/>
                <w:sz w:val="20"/>
              </w:rPr>
            </w:r>
            <w:r>
              <w:rPr>
                <w:rFonts w:ascii="Arial" w:hAnsi="Arial"/>
                <w:sz w:val="20"/>
              </w:rPr>
              <w:t>Passive containment</w:t>
            </w:r>
          </w:p>
        </w:tc>
        <w:tc>
          <w:tcPr>
            <w:tcW w:type="dxa" w:w="3135"/>
          </w:tcPr>
          <w:p>
            <w:r>
              <w:rPr>
                <w:rFonts w:ascii="Arial" w:hAnsi="Arial"/>
                <w:sz w:val="20"/>
              </w:rPr>
            </w:r>
            <w:r>
              <w:rPr>
                <w:rFonts w:ascii="Arial" w:hAnsi="Arial"/>
                <w:sz w:val="20"/>
              </w:rPr>
              <w:t>3</w:t>
            </w:r>
          </w:p>
        </w:tc>
        <w:tc>
          <w:tcPr>
            <w:tcW w:type="dxa" w:w="3135"/>
          </w:tcPr>
          <w:p>
            <w:r>
              <w:rPr>
                <w:rFonts w:ascii="Arial" w:hAnsi="Arial"/>
                <w:sz w:val="20"/>
              </w:rPr>
            </w:r>
            <w:r>
              <w:rPr>
                <w:rFonts w:ascii="Arial" w:hAnsi="Arial"/>
                <w:sz w:val="20"/>
              </w:rPr>
              <w:t>Three passive trains, continuously in service</w:t>
            </w:r>
          </w:p>
        </w:tc>
      </w:tr>
      <w:tr>
        <w:tc>
          <w:tcPr>
            <w:tcW w:type="dxa" w:w="3135"/>
          </w:tcPr>
          <w:p>
            <w:r>
              <w:rPr>
                <w:rFonts w:ascii="Arial" w:hAnsi="Arial"/>
                <w:sz w:val="20"/>
              </w:rPr>
            </w:r>
            <w:r>
              <w:rPr>
                <w:rFonts w:ascii="Arial" w:hAnsi="Arial"/>
                <w:sz w:val="20"/>
              </w:rPr>
              <w:t>Emergency power supplies</w:t>
            </w:r>
          </w:p>
        </w:tc>
        <w:tc>
          <w:tcPr>
            <w:tcW w:type="dxa" w:w="3135"/>
          </w:tcPr>
          <w:p>
            <w:r>
              <w:rPr>
                <w:rFonts w:ascii="Arial" w:hAnsi="Arial"/>
                <w:sz w:val="20"/>
              </w:rPr>
            </w:r>
            <w:r>
              <w:rPr>
                <w:rFonts w:ascii="Arial" w:hAnsi="Arial"/>
                <w:sz w:val="20"/>
              </w:rPr>
              <w:t>2</w:t>
            </w:r>
          </w:p>
        </w:tc>
        <w:tc>
          <w:tcPr>
            <w:tcW w:type="dxa" w:w="3135"/>
          </w:tcPr>
          <w:p>
            <w:r>
              <w:rPr>
                <w:rFonts w:ascii="Arial" w:hAnsi="Arial"/>
                <w:sz w:val="20"/>
              </w:rPr>
            </w:r>
            <w:r>
              <w:rPr>
                <w:rFonts w:ascii="Arial" w:hAnsi="Arial"/>
                <w:sz w:val="20"/>
              </w:rPr>
              <w:t>Facility protection only; not required for reactor safety</w:t>
            </w:r>
          </w:p>
        </w:tc>
      </w:tr>
      <w:tr>
        <w:tc>
          <w:tcPr>
            <w:tcW w:type="dxa" w:w="3135"/>
          </w:tcPr>
          <w:p>
            <w:r>
              <w:rPr>
                <w:rFonts w:ascii="Arial" w:hAnsi="Arial"/>
                <w:sz w:val="20"/>
              </w:rPr>
            </w:r>
            <w:r>
              <w:rPr>
                <w:rFonts w:ascii="Arial" w:hAnsi="Arial"/>
                <w:sz w:val="20"/>
              </w:rPr>
              <w:t>Containment type</w:t>
            </w:r>
          </w:p>
        </w:tc>
        <w:tc>
          <w:tcPr>
            <w:tcW w:type="dxa" w:w="3135"/>
          </w:tcPr>
          <w:p>
            <w:r>
              <w:rPr>
                <w:rFonts w:ascii="Arial" w:hAnsi="Arial"/>
                <w:sz w:val="20"/>
              </w:rPr>
            </w:r>
            <w:r>
              <w:rPr>
                <w:rFonts w:ascii="Arial" w:hAnsi="Arial"/>
                <w:sz w:val="20"/>
              </w:rPr>
              <w:t>Dry</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Containment design pressure</w:t>
            </w:r>
          </w:p>
        </w:tc>
        <w:tc>
          <w:tcPr>
            <w:tcW w:type="dxa" w:w="3135"/>
          </w:tcPr>
          <w:p>
            <w:r>
              <w:rPr>
                <w:rFonts w:ascii="Arial" w:hAnsi="Arial"/>
                <w:sz w:val="20"/>
              </w:rPr>
            </w:r>
            <w:r>
              <w:rPr>
                <w:rFonts w:ascii="Arial" w:hAnsi="Arial"/>
                <w:sz w:val="20"/>
              </w:rPr>
              <w:t>4.14 / 60 (REVIEW)</w:t>
            </w:r>
          </w:p>
        </w:tc>
        <w:tc>
          <w:tcPr>
            <w:tcW w:type="dxa" w:w="3135"/>
          </w:tcPr>
          <w:p>
            <w:r>
              <w:rPr>
                <w:rFonts w:ascii="Arial" w:hAnsi="Arial"/>
                <w:sz w:val="20"/>
              </w:rPr>
            </w:r>
            <w:r>
              <w:rPr>
                <w:rFonts w:ascii="Arial" w:hAnsi="Arial"/>
                <w:sz w:val="20"/>
              </w:rPr>
              <w:t>bar / psi</w:t>
            </w:r>
          </w:p>
        </w:tc>
      </w:tr>
      <w:tr>
        <w:tc>
          <w:tcPr>
            <w:tcW w:type="dxa" w:w="3135"/>
          </w:tcPr>
          <w:p>
            <w:r>
              <w:rPr>
                <w:rFonts w:ascii="Arial" w:hAnsi="Arial"/>
                <w:sz w:val="20"/>
              </w:rPr>
            </w:r>
            <w:r>
              <w:rPr>
                <w:rFonts w:ascii="Arial" w:hAnsi="Arial"/>
                <w:sz w:val="20"/>
              </w:rPr>
              <w:t>Core Damage Frequency (CDF)</w:t>
            </w:r>
          </w:p>
        </w:tc>
        <w:tc>
          <w:tcPr>
            <w:tcW w:type="dxa" w:w="3135"/>
          </w:tcPr>
          <w:p>
            <w:r>
              <w:rPr>
                <w:rFonts w:ascii="Arial" w:hAnsi="Arial"/>
                <w:sz w:val="20"/>
              </w:rPr>
            </w:r>
            <w:r>
              <w:rPr>
                <w:rFonts w:ascii="Arial" w:hAnsi="Arial"/>
                <w:sz w:val="20"/>
              </w:rPr>
              <w:t>&lt; 1×10⁻⁷ (projected)</w:t>
            </w:r>
          </w:p>
        </w:tc>
        <w:tc>
          <w:tcPr>
            <w:tcW w:type="dxa" w:w="3135"/>
          </w:tcPr>
          <w:p>
            <w:r>
              <w:rPr>
                <w:rFonts w:ascii="Arial" w:hAnsi="Arial"/>
                <w:sz w:val="20"/>
              </w:rPr>
            </w:r>
            <w:r>
              <w:rPr>
                <w:rFonts w:ascii="Arial" w:hAnsi="Arial"/>
                <w:sz w:val="20"/>
              </w:rPr>
              <w:t>per reactor-year</w:t>
            </w:r>
          </w:p>
        </w:tc>
      </w:tr>
      <w:tr>
        <w:tc>
          <w:tcPr>
            <w:tcW w:type="dxa" w:w="3135"/>
          </w:tcPr>
          <w:p>
            <w:r>
              <w:rPr>
                <w:rFonts w:ascii="Arial" w:hAnsi="Arial"/>
                <w:sz w:val="20"/>
              </w:rPr>
            </w:r>
            <w:r>
              <w:rPr>
                <w:rFonts w:ascii="Arial" w:hAnsi="Arial"/>
                <w:sz w:val="20"/>
              </w:rPr>
              <w:t>Large Release Frequency (LRF)</w:t>
            </w:r>
          </w:p>
        </w:tc>
        <w:tc>
          <w:tcPr>
            <w:tcW w:type="dxa" w:w="3135"/>
          </w:tcPr>
          <w:p>
            <w:r>
              <w:rPr>
                <w:rFonts w:ascii="Arial" w:hAnsi="Arial"/>
                <w:sz w:val="20"/>
              </w:rPr>
            </w:r>
            <w:r>
              <w:rPr>
                <w:rFonts w:ascii="Arial" w:hAnsi="Arial"/>
                <w:sz w:val="20"/>
              </w:rPr>
              <w:t>&lt; 1×10⁻⁸ (projected)</w:t>
            </w:r>
          </w:p>
        </w:tc>
        <w:tc>
          <w:tcPr>
            <w:tcW w:type="dxa" w:w="3135"/>
          </w:tcPr>
          <w:p>
            <w:r>
              <w:rPr>
                <w:rFonts w:ascii="Arial" w:hAnsi="Arial"/>
                <w:sz w:val="20"/>
              </w:rPr>
            </w:r>
            <w:r>
              <w:rPr>
                <w:rFonts w:ascii="Arial" w:hAnsi="Arial"/>
                <w:sz w:val="20"/>
              </w:rPr>
              <w:t>per reactor-year</w:t>
            </w:r>
          </w:p>
        </w:tc>
      </w:tr>
    </w:tbl>
    <w:p/>
    <w:p>
      <w:pPr>
        <w:jc w:val="both"/>
      </w:pPr>
      <w:r>
        <w:rPr>
          <w:rFonts w:ascii="Arial" w:hAnsi="Arial"/>
          <w:i/>
          <w:color w:val="555555"/>
        </w:rPr>
        <w:t>[TODO: REVIEW — containment design pressure: 4.14 bar (60 psi) is a *large-dry-PWR* value. A compact iPWR steel containment typically peaks higher; set this from the containment peak-pressure accident analysis (LOCA / steam-line break × margin). Owner: §8.5/§8.6.]</w:t>
      </w:r>
    </w:p>
    <w:p>
      <w:pPr>
        <w:jc w:val="both"/>
      </w:pPr>
      <w:r>
        <w:rPr>
          <w:rFonts w:ascii="Arial" w:hAnsi="Arial"/>
          <w:i/>
          <w:color w:val="555555"/>
        </w:rPr>
        <w:t>[TODO: REVIEW — CDF/LRF are projected targets benchmarked to the passive-iPWR class (a full PSA is out of FER scope). State them as "projected, consistent with passive SMR class," not as PSA results.]</w:t>
      </w:r>
    </w:p>
    <w:p>
      <w:pPr>
        <w:spacing w:before="200" w:after="80"/>
      </w:pPr>
      <w:r>
        <w:rPr>
          <w:rFonts w:ascii="Arial Black" w:hAnsi="Arial Black"/>
          <w:b/>
          <w:color w:val="1F4E79"/>
          <w:sz w:val="25"/>
        </w:rPr>
        <w:t>8.1.5 Site, construction, and outage schedule</w:t>
      </w:r>
    </w:p>
    <w:p>
      <w:pPr>
        <w:jc w:val="both"/>
      </w:pPr>
      <w:r>
        <w:rPr>
          <w:rFonts w:ascii="Arial" w:hAnsi="Arial"/>
          <w:b/>
        </w:rPr>
        <w:t>Table 8.1-5 — Site and operational design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Parameter</w:t>
            </w:r>
          </w:p>
        </w:tc>
        <w:tc>
          <w:tcPr>
            <w:tcW w:type="dxa" w:w="3135"/>
            <w:shd w:val="clear" w:fill="DDE3EA"/>
          </w:tcPr>
          <w:p>
            <w:r>
              <w:rPr>
                <w:rFonts w:ascii="Arial" w:hAnsi="Arial"/>
                <w:b/>
                <w:sz w:val="20"/>
              </w:rPr>
            </w:r>
            <w:r>
              <w:rPr>
                <w:rFonts w:ascii="Arial" w:hAnsi="Arial"/>
                <w:b/>
                <w:sz w:val="20"/>
              </w:rPr>
              <w:t>Value</w:t>
            </w:r>
          </w:p>
        </w:tc>
        <w:tc>
          <w:tcPr>
            <w:tcW w:type="dxa" w:w="3135"/>
            <w:shd w:val="clear" w:fill="DDE3EA"/>
          </w:tcPr>
          <w:p>
            <w:r>
              <w:rPr>
                <w:rFonts w:ascii="Arial" w:hAnsi="Arial"/>
                <w:b/>
                <w:sz w:val="20"/>
              </w:rPr>
            </w:r>
            <w:r>
              <w:rPr>
                <w:rFonts w:ascii="Arial" w:hAnsi="Arial"/>
                <w:b/>
                <w:sz w:val="20"/>
              </w:rPr>
              <w:t>Unit</w:t>
            </w:r>
          </w:p>
        </w:tc>
      </w:tr>
      <w:tr>
        <w:tc>
          <w:tcPr>
            <w:tcW w:type="dxa" w:w="3135"/>
          </w:tcPr>
          <w:p>
            <w:r>
              <w:rPr>
                <w:rFonts w:ascii="Arial" w:hAnsi="Arial"/>
                <w:sz w:val="20"/>
              </w:rPr>
            </w:r>
            <w:r>
              <w:rPr>
                <w:rFonts w:ascii="Arial" w:hAnsi="Arial"/>
                <w:sz w:val="20"/>
              </w:rPr>
              <w:t>Emergency planning zone (radius)</w:t>
            </w:r>
          </w:p>
        </w:tc>
        <w:tc>
          <w:tcPr>
            <w:tcW w:type="dxa" w:w="3135"/>
          </w:tcPr>
          <w:p>
            <w:r>
              <w:rPr>
                <w:rFonts w:ascii="Arial" w:hAnsi="Arial"/>
                <w:sz w:val="20"/>
              </w:rPr>
            </w:r>
            <w:r>
              <w:rPr>
                <w:rFonts w:ascii="Arial" w:hAnsi="Arial"/>
                <w:sz w:val="20"/>
              </w:rPr>
              <w:t>0.5</w:t>
            </w:r>
          </w:p>
        </w:tc>
        <w:tc>
          <w:tcPr>
            <w:tcW w:type="dxa" w:w="3135"/>
          </w:tcPr>
          <w:p>
            <w:r>
              <w:rPr>
                <w:rFonts w:ascii="Arial" w:hAnsi="Arial"/>
                <w:sz w:val="20"/>
              </w:rPr>
            </w:r>
            <w:r>
              <w:rPr>
                <w:rFonts w:ascii="Arial" w:hAnsi="Arial"/>
                <w:sz w:val="20"/>
              </w:rPr>
              <w:t>km</w:t>
            </w:r>
          </w:p>
        </w:tc>
      </w:tr>
      <w:tr>
        <w:tc>
          <w:tcPr>
            <w:tcW w:type="dxa" w:w="3135"/>
          </w:tcPr>
          <w:p>
            <w:r>
              <w:rPr>
                <w:rFonts w:ascii="Arial" w:hAnsi="Arial"/>
                <w:sz w:val="20"/>
              </w:rPr>
            </w:r>
            <w:r>
              <w:rPr>
                <w:rFonts w:ascii="Arial" w:hAnsi="Arial"/>
                <w:sz w:val="20"/>
              </w:rPr>
              <w:t>Seismic design (SSE)</w:t>
            </w:r>
          </w:p>
        </w:tc>
        <w:tc>
          <w:tcPr>
            <w:tcW w:type="dxa" w:w="3135"/>
          </w:tcPr>
          <w:p>
            <w:r>
              <w:rPr>
                <w:rFonts w:ascii="Arial" w:hAnsi="Arial"/>
                <w:sz w:val="20"/>
              </w:rPr>
            </w:r>
            <w:r>
              <w:rPr>
                <w:rFonts w:ascii="Arial" w:hAnsi="Arial"/>
                <w:sz w:val="20"/>
              </w:rPr>
              <w:t>0.3</w:t>
            </w:r>
          </w:p>
        </w:tc>
        <w:tc>
          <w:tcPr>
            <w:tcW w:type="dxa" w:w="3135"/>
          </w:tcPr>
          <w:p>
            <w:r>
              <w:rPr>
                <w:rFonts w:ascii="Arial" w:hAnsi="Arial"/>
                <w:sz w:val="20"/>
              </w:rPr>
            </w:r>
            <w:r>
              <w:rPr>
                <w:rFonts w:ascii="Arial" w:hAnsi="Arial"/>
                <w:sz w:val="20"/>
              </w:rPr>
              <w:t>g (Safe-Shutdown Earthquake)</w:t>
            </w:r>
          </w:p>
        </w:tc>
      </w:tr>
      <w:tr>
        <w:tc>
          <w:tcPr>
            <w:tcW w:type="dxa" w:w="3135"/>
          </w:tcPr>
          <w:p>
            <w:r>
              <w:rPr>
                <w:rFonts w:ascii="Arial" w:hAnsi="Arial"/>
                <w:sz w:val="20"/>
              </w:rPr>
            </w:r>
            <w:r>
              <w:rPr>
                <w:rFonts w:ascii="Arial" w:hAnsi="Arial"/>
                <w:sz w:val="20"/>
              </w:rPr>
              <w:t>Major outage — refuelling</w:t>
            </w:r>
          </w:p>
        </w:tc>
        <w:tc>
          <w:tcPr>
            <w:tcW w:type="dxa" w:w="3135"/>
          </w:tcPr>
          <w:p>
            <w:r>
              <w:rPr>
                <w:rFonts w:ascii="Arial" w:hAnsi="Arial"/>
                <w:sz w:val="20"/>
              </w:rPr>
            </w:r>
            <w:r>
              <w:rPr>
                <w:rFonts w:ascii="Arial" w:hAnsi="Arial"/>
                <w:sz w:val="20"/>
              </w:rPr>
              <w:t>15 days every 12 months</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Major outage — turbine / vessel ISI</w:t>
            </w:r>
          </w:p>
        </w:tc>
        <w:tc>
          <w:tcPr>
            <w:tcW w:type="dxa" w:w="3135"/>
          </w:tcPr>
          <w:p>
            <w:r>
              <w:rPr>
                <w:rFonts w:ascii="Arial" w:hAnsi="Arial"/>
                <w:sz w:val="20"/>
              </w:rPr>
            </w:r>
            <w:r>
              <w:rPr>
                <w:rFonts w:ascii="Arial" w:hAnsi="Arial"/>
                <w:sz w:val="20"/>
              </w:rPr>
              <w:t>30 days every 120 months</w:t>
            </w:r>
          </w:p>
        </w:tc>
        <w:tc>
          <w:tcPr>
            <w:tcW w:type="dxa" w:w="3135"/>
          </w:tcPr>
          <w:p>
            <w:r>
              <w:rPr>
                <w:rFonts w:ascii="Arial" w:hAnsi="Arial"/>
                <w:sz w:val="20"/>
              </w:rPr>
            </w:r>
            <w:r>
              <w:rPr>
                <w:rFonts w:ascii="Arial" w:hAnsi="Arial"/>
                <w:sz w:val="20"/>
              </w:rPr>
              <w:t>—</w:t>
            </w:r>
          </w:p>
        </w:tc>
      </w:tr>
    </w:tbl>
    <w:p/>
    <w:p>
      <w:pPr>
        <w:jc w:val="both"/>
      </w:pPr>
      <w:r>
        <w:rPr>
          <w:rFonts w:ascii="Arial" w:hAnsi="Arial"/>
          <w:b/>
        </w:rPr>
        <w:t>Derived relations (basis "C").</w:t>
      </w:r>
      <w:r>
        <w:rPr>
          <w:rFonts w:ascii="Arial" w:hAnsi="Arial"/>
        </w:rPr>
        <w:t xml:space="preserve"> Net efficiency = 40 MWe / 125 MWth = </w:t>
      </w:r>
      <w:r>
        <w:rPr>
          <w:rFonts w:ascii="Arial" w:hAnsi="Arial"/>
          <w:b/>
        </w:rPr>
        <w:t>32.0 %</w:t>
      </w:r>
      <w:r>
        <w:rPr>
          <w:rFonts w:ascii="Arial" w:hAnsi="Arial"/>
        </w:rPr>
        <w:t xml:space="preserve"> (nameplate); the detailed re-coupled heat balance gives 39.7 MWe / </w:t>
      </w:r>
      <w:r>
        <w:rPr>
          <w:rFonts w:ascii="Arial" w:hAnsi="Arial"/>
          <w:b/>
        </w:rPr>
        <w:t>31.8 %</w:t>
      </w:r>
      <w:r>
        <w:rPr>
          <w:rFonts w:ascii="Arial" w:hAnsi="Arial"/>
        </w:rPr>
        <w:t xml:space="preserve"> (§8.9), the 0.3 MWe difference being within the turbine-efficiency assumption. The primary flow follows from the heat-balance identity Q = ṁ·c_p·ΔT with Q = 125 MWth, ΔT = 308 − 258 = 50 K, and c_p ≈ 5.18 kJ/kg·K at 283 °C / 12.8 MPa → </w:t>
      </w:r>
      <w:r>
        <w:rPr>
          <w:rFonts w:ascii="Arial" w:hAnsi="Arial"/>
          <w:b/>
        </w:rPr>
        <w:t>ṁ ≈ 483 kg/s</w:t>
      </w:r>
      <w:r>
        <w:rPr>
          <w:rFonts w:ascii="Arial" w:hAnsi="Arial"/>
        </w:rPr>
        <w:t xml:space="preserve"> (flow and ΔT are coupled — they cannot be set independently; the natural-circulation loop settles at this ΔT, </w:t>
      </w:r>
      <w:r>
        <w:rPr>
          <w:rFonts w:ascii="Consolas" w:hAnsi="Consolas"/>
          <w:sz w:val="21"/>
        </w:rPr>
        <w:t>scripts/natcirc_primary.py</w:t>
      </w:r>
      <w:r>
        <w:rPr>
          <w:rFonts w:ascii="Arial" w:hAnsi="Arial"/>
        </w:rPr>
        <w:t xml:space="preserve">). Specific power = 125 MWth / 5.3 tHM = </w:t>
      </w:r>
      <w:r>
        <w:rPr>
          <w:rFonts w:ascii="Arial" w:hAnsi="Arial"/>
          <w:b/>
        </w:rPr>
        <w:t>23.6 MW/tHM</w:t>
      </w:r>
      <w:r>
        <w:rPr>
          <w:rFonts w:ascii="Arial" w:hAnsi="Arial"/>
        </w:rPr>
        <w:t>. The 95 % capacity-factor target is consistent with the outage schedule: 15 d/12 mo (4.1 %) + 30 d/120 mo (0.8 %) ⇒ planned availability ≈ 95 %.</w:t>
      </w:r>
    </w:p>
    <w:p>
      <w:pPr>
        <w:jc w:val="both"/>
      </w:pPr>
      <w:r>
        <w:rPr>
          <w:rFonts w:ascii="Arial" w:hAnsi="Arial"/>
          <w:i/>
          <w:color w:val="555555"/>
        </w:rPr>
        <w:t>[TODO: REVIEW — EPZ 0.5 km and SSE 0.3 g: the 0.5 km EPZ is a design goal that must be *closed* by the source-term/dose case (§8.11 + safety); 0.3 g is a generic site-bounding SSE — given Türkiye's seismicity, check whether the candidate site(s) warrant 0.5 g. Owner: site/safety.]</w:t>
      </w:r>
    </w:p>
    <w:p>
      <w:pPr>
        <w:spacing w:before="200" w:after="80"/>
      </w:pPr>
      <w:r>
        <w:rPr>
          <w:rFonts w:ascii="Arial Black" w:hAnsi="Arial Black"/>
          <w:b/>
          <w:color w:val="1F4E79"/>
          <w:sz w:val="25"/>
        </w:rPr>
        <w:t>8.1.6 Design phase, methodology, and basis documents</w:t>
      </w:r>
    </w:p>
    <w:p>
      <w:pPr>
        <w:jc w:val="both"/>
      </w:pPr>
      <w:r>
        <w:rPr>
          <w:rFonts w:ascii="Arial" w:hAnsi="Arial"/>
        </w:rPr>
        <w:t xml:space="preserve">The parameters above are the consolidated output of the </w:t>
      </w:r>
      <w:r>
        <w:rPr>
          <w:rFonts w:ascii="Arial" w:hAnsi="Arial"/>
          <w:b/>
        </w:rPr>
        <w:t>preliminary (conceptual/basic) design phase</w:t>
      </w:r>
      <w:r>
        <w:rPr>
          <w:rFonts w:ascii="Arial" w:hAnsi="Arial"/>
        </w:rPr>
        <w:t xml:space="preserve"> that precedes detailed engineering. Aegis-40 was developed through an integrated, reproducible analysis chain; each element produced a controlled record that becomes a verified input to detailed design. This subsection documents that preparatory work so the parameter set can be traced to its origin, in line with a graded, standards-based design process (IAEA SSG-52 §2; IAEA GSR Part 4 design-input control).</w:t>
      </w:r>
    </w:p>
    <w:p>
      <w:pPr>
        <w:jc w:val="both"/>
      </w:pPr>
      <w:r>
        <w:rPr>
          <w:rFonts w:ascii="Arial" w:hAnsi="Arial"/>
          <w:b/>
        </w:rPr>
        <w:t>Table 8.1-6 — Preliminary-design analyses and basis documents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Design domain</w:t>
            </w:r>
          </w:p>
        </w:tc>
        <w:tc>
          <w:tcPr>
            <w:tcW w:type="dxa" w:w="3135"/>
            <w:shd w:val="clear" w:fill="DDE3EA"/>
          </w:tcPr>
          <w:p>
            <w:r>
              <w:rPr>
                <w:rFonts w:ascii="Arial" w:hAnsi="Arial"/>
                <w:b/>
                <w:sz w:val="20"/>
              </w:rPr>
            </w:r>
            <w:r>
              <w:rPr>
                <w:rFonts w:ascii="Arial" w:hAnsi="Arial"/>
                <w:b/>
                <w:sz w:val="20"/>
              </w:rPr>
              <w:t>Method / tool</w:t>
            </w:r>
          </w:p>
        </w:tc>
        <w:tc>
          <w:tcPr>
            <w:tcW w:type="dxa" w:w="3135"/>
            <w:shd w:val="clear" w:fill="DDE3EA"/>
          </w:tcPr>
          <w:p>
            <w:r>
              <w:rPr>
                <w:rFonts w:ascii="Arial" w:hAnsi="Arial"/>
                <w:b/>
                <w:sz w:val="20"/>
              </w:rPr>
            </w:r>
            <w:r>
              <w:rPr>
                <w:rFonts w:ascii="Arial" w:hAnsi="Arial"/>
                <w:b/>
                <w:sz w:val="20"/>
              </w:rPr>
              <w:t>Controlled output (basis document)</w:t>
            </w:r>
          </w:p>
        </w:tc>
      </w:tr>
      <w:tr>
        <w:tc>
          <w:tcPr>
            <w:tcW w:type="dxa" w:w="3135"/>
          </w:tcPr>
          <w:p>
            <w:r>
              <w:rPr>
                <w:rFonts w:ascii="Arial" w:hAnsi="Arial"/>
                <w:sz w:val="20"/>
              </w:rPr>
            </w:r>
            <w:r>
              <w:rPr>
                <w:rFonts w:ascii="Arial" w:hAnsi="Arial"/>
                <w:sz w:val="20"/>
              </w:rPr>
              <w:t>Neutronics, depletion, reactivity coefficients</w:t>
            </w:r>
          </w:p>
        </w:tc>
        <w:tc>
          <w:tcPr>
            <w:tcW w:type="dxa" w:w="3135"/>
          </w:tcPr>
          <w:p>
            <w:r>
              <w:rPr>
                <w:rFonts w:ascii="Arial" w:hAnsi="Arial"/>
                <w:sz w:val="20"/>
              </w:rPr>
            </w:r>
            <w:r>
              <w:rPr>
                <w:rFonts w:ascii="Arial" w:hAnsi="Arial"/>
                <w:sz w:val="20"/>
              </w:rPr>
              <w:t>OpenMC Monte-Carlo (ENDF/B-VIII.0), 21-FA 3-D core + depletion</w:t>
            </w:r>
          </w:p>
        </w:tc>
        <w:tc>
          <w:tcPr>
            <w:tcW w:type="dxa" w:w="3135"/>
          </w:tcPr>
          <w:p>
            <w:r>
              <w:rPr>
                <w:rFonts w:ascii="Arial" w:hAnsi="Arial"/>
                <w:sz w:val="20"/>
              </w:rPr>
            </w:r>
            <w:r>
              <w:rPr>
                <w:rFonts w:ascii="Consolas" w:hAnsi="Consolas"/>
                <w:sz w:val="20"/>
              </w:rPr>
              <w:t>design-basis-locked.md</w:t>
            </w:r>
            <w:r>
              <w:rPr>
                <w:rFonts w:ascii="Arial" w:hAnsi="Arial"/>
                <w:sz w:val="20"/>
              </w:rPr>
              <w:t xml:space="preserve"> (rev_3); OpenMC model + tally outputs (§8.2)</w:t>
            </w:r>
          </w:p>
        </w:tc>
      </w:tr>
      <w:tr>
        <w:tc>
          <w:tcPr>
            <w:tcW w:type="dxa" w:w="3135"/>
          </w:tcPr>
          <w:p>
            <w:r>
              <w:rPr>
                <w:rFonts w:ascii="Arial" w:hAnsi="Arial"/>
                <w:sz w:val="20"/>
              </w:rPr>
            </w:r>
            <w:r>
              <w:rPr>
                <w:rFonts w:ascii="Arial" w:hAnsi="Arial"/>
                <w:sz w:val="20"/>
              </w:rPr>
              <w:t>Fuel performance (T_centerline, FGR, rod pressure)</w:t>
            </w:r>
          </w:p>
        </w:tc>
        <w:tc>
          <w:tcPr>
            <w:tcW w:type="dxa" w:w="3135"/>
          </w:tcPr>
          <w:p>
            <w:r>
              <w:rPr>
                <w:rFonts w:ascii="Arial" w:hAnsi="Arial"/>
                <w:sz w:val="20"/>
              </w:rPr>
            </w:r>
            <w:r>
              <w:rPr>
                <w:rFonts w:ascii="Arial" w:hAnsi="Arial"/>
                <w:sz w:val="20"/>
              </w:rPr>
              <w:t>Steady-state fuel-rod analysis vs SSG-52 limits</w:t>
            </w:r>
          </w:p>
        </w:tc>
        <w:tc>
          <w:tcPr>
            <w:tcW w:type="dxa" w:w="3135"/>
          </w:tcPr>
          <w:p>
            <w:r>
              <w:rPr>
                <w:rFonts w:ascii="Arial" w:hAnsi="Arial"/>
                <w:sz w:val="20"/>
              </w:rPr>
            </w:r>
            <w:r>
              <w:rPr>
                <w:rFonts w:ascii="Arial" w:hAnsi="Arial"/>
                <w:sz w:val="20"/>
              </w:rPr>
              <w:t>§8.3 fuel-performance tables</w:t>
            </w:r>
          </w:p>
        </w:tc>
      </w:tr>
      <w:tr>
        <w:tc>
          <w:tcPr>
            <w:tcW w:type="dxa" w:w="3135"/>
          </w:tcPr>
          <w:p>
            <w:r>
              <w:rPr>
                <w:rFonts w:ascii="Arial" w:hAnsi="Arial"/>
                <w:sz w:val="20"/>
              </w:rPr>
            </w:r>
            <w:r>
              <w:rPr>
                <w:rFonts w:ascii="Arial" w:hAnsi="Arial"/>
                <w:sz w:val="20"/>
              </w:rPr>
              <w:t>Primary thermal-hydraulics</w:t>
            </w:r>
          </w:p>
        </w:tc>
        <w:tc>
          <w:tcPr>
            <w:tcW w:type="dxa" w:w="3135"/>
          </w:tcPr>
          <w:p>
            <w:r>
              <w:rPr>
                <w:rFonts w:ascii="Arial" w:hAnsi="Arial"/>
                <w:sz w:val="20"/>
              </w:rPr>
            </w:r>
            <w:r>
              <w:rPr>
                <w:rFonts w:ascii="Arial" w:hAnsi="Arial"/>
                <w:sz w:val="20"/>
              </w:rPr>
              <w:t>Natural-circulation loop balance, IAPWS-IF97 (</w:t>
            </w:r>
            <w:r>
              <w:rPr>
                <w:rFonts w:ascii="Consolas" w:hAnsi="Consolas"/>
                <w:sz w:val="20"/>
              </w:rPr>
              <w:t>scripts/natcirc_primary.py</w:t>
            </w:r>
            <w:r>
              <w:rPr>
                <w:rFonts w:ascii="Arial" w:hAnsi="Arial"/>
                <w:sz w:val="20"/>
              </w:rPr>
              <w:t>); DNBR/hot-channel</w:t>
            </w:r>
          </w:p>
        </w:tc>
        <w:tc>
          <w:tcPr>
            <w:tcW w:type="dxa" w:w="3135"/>
          </w:tcPr>
          <w:p>
            <w:r>
              <w:rPr>
                <w:rFonts w:ascii="Arial" w:hAnsi="Arial"/>
                <w:sz w:val="20"/>
              </w:rPr>
            </w:r>
            <w:r>
              <w:rPr>
                <w:rFonts w:ascii="Arial" w:hAnsi="Arial"/>
                <w:sz w:val="20"/>
              </w:rPr>
              <w:t>§8.4 cooling-circuit analysis</w:t>
            </w:r>
          </w:p>
        </w:tc>
      </w:tr>
      <w:tr>
        <w:tc>
          <w:tcPr>
            <w:tcW w:type="dxa" w:w="3135"/>
          </w:tcPr>
          <w:p>
            <w:r>
              <w:rPr>
                <w:rFonts w:ascii="Arial" w:hAnsi="Arial"/>
                <w:sz w:val="20"/>
              </w:rPr>
            </w:r>
            <w:r>
              <w:rPr>
                <w:rFonts w:ascii="Arial" w:hAnsi="Arial"/>
                <w:sz w:val="20"/>
              </w:rPr>
              <w:t>Secondary power conversion</w:t>
            </w:r>
          </w:p>
        </w:tc>
        <w:tc>
          <w:tcPr>
            <w:tcW w:type="dxa" w:w="3135"/>
          </w:tcPr>
          <w:p>
            <w:r>
              <w:rPr>
                <w:rFonts w:ascii="Arial" w:hAnsi="Arial"/>
                <w:sz w:val="20"/>
              </w:rPr>
            </w:r>
            <w:r>
              <w:rPr>
                <w:rFonts w:ascii="Arial" w:hAnsi="Arial"/>
                <w:sz w:val="20"/>
              </w:rPr>
              <w:t>Regenerative Rankine + exergy model, IAPWS-IF97 (</w:t>
            </w:r>
            <w:r>
              <w:rPr>
                <w:rFonts w:ascii="Consolas" w:hAnsi="Consolas"/>
                <w:sz w:val="20"/>
              </w:rPr>
              <w:t>scripts/thermo_cycle.py</w:t>
            </w:r>
            <w:r>
              <w:rPr>
                <w:rFonts w:ascii="Arial" w:hAnsi="Arial"/>
                <w:sz w:val="20"/>
              </w:rPr>
              <w:t xml:space="preserve">, </w:t>
            </w:r>
            <w:r>
              <w:rPr>
                <w:rFonts w:ascii="Consolas" w:hAnsi="Consolas"/>
                <w:sz w:val="20"/>
              </w:rPr>
              <w:t>thermo_exergy.py</w:t>
            </w:r>
            <w:r>
              <w:rPr>
                <w:rFonts w:ascii="Arial" w:hAnsi="Arial"/>
                <w:sz w:val="20"/>
              </w:rPr>
              <w:t>)</w:t>
            </w:r>
          </w:p>
        </w:tc>
        <w:tc>
          <w:tcPr>
            <w:tcW w:type="dxa" w:w="3135"/>
          </w:tcPr>
          <w:p>
            <w:r>
              <w:rPr>
                <w:rFonts w:ascii="Arial" w:hAnsi="Arial"/>
                <w:sz w:val="20"/>
              </w:rPr>
            </w:r>
            <w:r>
              <w:rPr>
                <w:rFonts w:ascii="Arial" w:hAnsi="Arial"/>
                <w:sz w:val="20"/>
              </w:rPr>
              <w:t>§8.9 state points, heat balance, PFD</w:t>
            </w:r>
          </w:p>
        </w:tc>
      </w:tr>
      <w:tr>
        <w:tc>
          <w:tcPr>
            <w:tcW w:type="dxa" w:w="3135"/>
          </w:tcPr>
          <w:p>
            <w:r>
              <w:rPr>
                <w:rFonts w:ascii="Arial" w:hAnsi="Arial"/>
                <w:sz w:val="20"/>
              </w:rPr>
            </w:r>
            <w:r>
              <w:rPr>
                <w:rFonts w:ascii="Arial" w:hAnsi="Arial"/>
                <w:sz w:val="20"/>
              </w:rPr>
              <w:t>Shielding / dose</w:t>
            </w:r>
          </w:p>
        </w:tc>
        <w:tc>
          <w:tcPr>
            <w:tcW w:type="dxa" w:w="3135"/>
          </w:tcPr>
          <w:p>
            <w:r>
              <w:rPr>
                <w:rFonts w:ascii="Arial" w:hAnsi="Arial"/>
                <w:sz w:val="20"/>
              </w:rPr>
            </w:r>
            <w:r>
              <w:rPr>
                <w:rFonts w:ascii="Arial" w:hAnsi="Arial"/>
                <w:sz w:val="20"/>
              </w:rPr>
              <w:t>Attenuation + flux-to-dose (ICRP-116)</w:t>
            </w:r>
          </w:p>
        </w:tc>
        <w:tc>
          <w:tcPr>
            <w:tcW w:type="dxa" w:w="3135"/>
          </w:tcPr>
          <w:p>
            <w:r>
              <w:rPr>
                <w:rFonts w:ascii="Arial" w:hAnsi="Arial"/>
                <w:sz w:val="20"/>
              </w:rPr>
            </w:r>
            <w:r>
              <w:rPr>
                <w:rFonts w:ascii="Arial" w:hAnsi="Arial"/>
                <w:sz w:val="20"/>
              </w:rPr>
              <w:t>shielding spec + dose profiles</w:t>
            </w:r>
          </w:p>
        </w:tc>
      </w:tr>
      <w:tr>
        <w:tc>
          <w:tcPr>
            <w:tcW w:type="dxa" w:w="3135"/>
          </w:tcPr>
          <w:p>
            <w:r>
              <w:rPr>
                <w:rFonts w:ascii="Arial" w:hAnsi="Arial"/>
                <w:sz w:val="20"/>
              </w:rPr>
            </w:r>
            <w:r>
              <w:rPr>
                <w:rFonts w:ascii="Arial" w:hAnsi="Arial"/>
                <w:sz w:val="20"/>
              </w:rPr>
              <w:t>Waste / source term</w:t>
            </w:r>
          </w:p>
        </w:tc>
        <w:tc>
          <w:tcPr>
            <w:tcW w:type="dxa" w:w="3135"/>
          </w:tcPr>
          <w:p>
            <w:r>
              <w:rPr>
                <w:rFonts w:ascii="Arial" w:hAnsi="Arial"/>
                <w:sz w:val="20"/>
              </w:rPr>
            </w:r>
            <w:r>
              <w:rPr>
                <w:rFonts w:ascii="Arial" w:hAnsi="Arial"/>
                <w:sz w:val="20"/>
              </w:rPr>
              <w:t>Depletion inventory + ANSI/ANS-5.1 decay heat</w:t>
            </w:r>
          </w:p>
        </w:tc>
        <w:tc>
          <w:tcPr>
            <w:tcW w:type="dxa" w:w="3135"/>
          </w:tcPr>
          <w:p>
            <w:r>
              <w:rPr>
                <w:rFonts w:ascii="Arial" w:hAnsi="Arial"/>
                <w:sz w:val="20"/>
              </w:rPr>
            </w:r>
            <w:r>
              <w:rPr>
                <w:rFonts w:ascii="Arial" w:hAnsi="Arial"/>
                <w:sz w:val="20"/>
              </w:rPr>
              <w:t>§8.11</w:t>
            </w:r>
          </w:p>
        </w:tc>
      </w:tr>
      <w:tr>
        <w:tc>
          <w:tcPr>
            <w:tcW w:type="dxa" w:w="3135"/>
          </w:tcPr>
          <w:p>
            <w:r>
              <w:rPr>
                <w:rFonts w:ascii="Arial" w:hAnsi="Arial"/>
                <w:sz w:val="20"/>
              </w:rPr>
            </w:r>
            <w:r>
              <w:rPr>
                <w:rFonts w:ascii="Arial" w:hAnsi="Arial"/>
                <w:sz w:val="20"/>
              </w:rPr>
              <w:t>Geometry / layout</w:t>
            </w:r>
          </w:p>
        </w:tc>
        <w:tc>
          <w:tcPr>
            <w:tcW w:type="dxa" w:w="3135"/>
          </w:tcPr>
          <w:p>
            <w:r>
              <w:rPr>
                <w:rFonts w:ascii="Arial" w:hAnsi="Arial"/>
                <w:sz w:val="20"/>
              </w:rPr>
            </w:r>
            <w:r>
              <w:rPr>
                <w:rFonts w:ascii="Arial" w:hAnsi="Arial"/>
                <w:sz w:val="20"/>
              </w:rPr>
              <w:t>Parametric CAD (RPV, assembly, pin STEP models)</w:t>
            </w:r>
          </w:p>
        </w:tc>
        <w:tc>
          <w:tcPr>
            <w:tcW w:type="dxa" w:w="3135"/>
          </w:tcPr>
          <w:p>
            <w:r>
              <w:rPr>
                <w:rFonts w:ascii="Arial" w:hAnsi="Arial"/>
                <w:sz w:val="20"/>
              </w:rPr>
            </w:r>
            <w:r>
              <w:rPr>
                <w:rFonts w:ascii="Consolas" w:hAnsi="Consolas"/>
                <w:sz w:val="20"/>
              </w:rPr>
              <w:t>cad/</w:t>
            </w:r>
            <w:r>
              <w:rPr>
                <w:rFonts w:ascii="Arial" w:hAnsi="Arial"/>
                <w:sz w:val="20"/>
              </w:rPr>
              <w:t xml:space="preserve"> STEP files, GA drawings</w:t>
            </w:r>
          </w:p>
        </w:tc>
      </w:tr>
    </w:tbl>
    <w:p/>
    <w:p>
      <w:pPr>
        <w:jc w:val="both"/>
      </w:pPr>
      <w:r>
        <w:rPr>
          <w:rFonts w:ascii="Arial" w:hAnsi="Arial"/>
        </w:rPr>
        <w:t>Parameters that are not yet design-frozen — because they depend on another owner's detailed analysis or a confirmatory run — are tracked transparently in §8.1.9.</w:t>
      </w:r>
    </w:p>
    <w:p>
      <w:pPr>
        <w:spacing w:before="200" w:after="80"/>
      </w:pPr>
      <w:r>
        <w:rPr>
          <w:rFonts w:ascii="Arial Black" w:hAnsi="Arial Black"/>
          <w:b/>
          <w:color w:val="1F4E79"/>
          <w:sz w:val="25"/>
        </w:rPr>
        <w:t>8.1.7 Design codes and standards</w:t>
      </w:r>
    </w:p>
    <w:p>
      <w:pPr>
        <w:jc w:val="both"/>
      </w:pPr>
      <w:r>
        <w:rPr>
          <w:rFonts w:ascii="Arial" w:hAnsi="Arial"/>
        </w:rPr>
        <w:t xml:space="preserve">All systems, components, and materials are designed to recognised nuclear and conventional engineering codes. The pressure boundary and safety-related components follow the </w:t>
      </w:r>
      <w:r>
        <w:rPr>
          <w:rFonts w:ascii="Arial" w:hAnsi="Arial"/>
          <w:b/>
        </w:rPr>
        <w:t>ASME Boiler &amp; Pressure Vessel Code Section III</w:t>
      </w:r>
      <w:r>
        <w:rPr>
          <w:rFonts w:ascii="Arial" w:hAnsi="Arial"/>
        </w:rPr>
        <w:t xml:space="preserve"> (nuclear), with balance-of-plant items to </w:t>
      </w:r>
      <w:r>
        <w:rPr>
          <w:rFonts w:ascii="Arial" w:hAnsi="Arial"/>
          <w:b/>
        </w:rPr>
        <w:t>ASME Section VIII / B31.1</w:t>
      </w:r>
      <w:r>
        <w:rPr>
          <w:rFonts w:ascii="Arial" w:hAnsi="Arial"/>
        </w:rPr>
        <w:t xml:space="preserve"> (non-nuclear); materials are PWR-proven grades qualified for the operating envelope (§8.4).</w:t>
      </w:r>
    </w:p>
    <w:p>
      <w:pPr>
        <w:jc w:val="both"/>
      </w:pPr>
      <w:r>
        <w:rPr>
          <w:rFonts w:ascii="Arial" w:hAnsi="Arial"/>
          <w:b/>
        </w:rPr>
        <w:t>Table 8.1-7 — Codes and standards applied in the design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Design domain</w:t>
            </w:r>
          </w:p>
        </w:tc>
        <w:tc>
          <w:tcPr>
            <w:tcW w:type="dxa" w:w="3135"/>
            <w:shd w:val="clear" w:fill="DDE3EA"/>
          </w:tcPr>
          <w:p>
            <w:r>
              <w:rPr>
                <w:rFonts w:ascii="Arial" w:hAnsi="Arial"/>
                <w:b/>
                <w:sz w:val="20"/>
              </w:rPr>
            </w:r>
            <w:r>
              <w:rPr>
                <w:rFonts w:ascii="Arial" w:hAnsi="Arial"/>
                <w:b/>
                <w:sz w:val="20"/>
              </w:rPr>
              <w:t>Code / standard</w:t>
            </w:r>
          </w:p>
        </w:tc>
        <w:tc>
          <w:tcPr>
            <w:tcW w:type="dxa" w:w="3135"/>
            <w:shd w:val="clear" w:fill="DDE3EA"/>
          </w:tcPr>
          <w:p>
            <w:r>
              <w:rPr>
                <w:rFonts w:ascii="Arial" w:hAnsi="Arial"/>
                <w:b/>
                <w:sz w:val="20"/>
              </w:rPr>
            </w:r>
            <w:r>
              <w:rPr>
                <w:rFonts w:ascii="Arial" w:hAnsi="Arial"/>
                <w:b/>
                <w:sz w:val="20"/>
              </w:rPr>
              <w:t>Application in Aegis-40</w:t>
            </w:r>
          </w:p>
        </w:tc>
      </w:tr>
      <w:tr>
        <w:tc>
          <w:tcPr>
            <w:tcW w:type="dxa" w:w="3135"/>
          </w:tcPr>
          <w:p>
            <w:r>
              <w:rPr>
                <w:rFonts w:ascii="Arial" w:hAnsi="Arial"/>
                <w:sz w:val="20"/>
              </w:rPr>
            </w:r>
            <w:r>
              <w:rPr>
                <w:rFonts w:ascii="Arial" w:hAnsi="Arial"/>
                <w:sz w:val="20"/>
              </w:rPr>
              <w:t>Class-1 nuclear pressure boundary</w:t>
            </w:r>
          </w:p>
        </w:tc>
        <w:tc>
          <w:tcPr>
            <w:tcW w:type="dxa" w:w="3135"/>
          </w:tcPr>
          <w:p>
            <w:r>
              <w:rPr>
                <w:rFonts w:ascii="Arial" w:hAnsi="Arial"/>
                <w:sz w:val="20"/>
              </w:rPr>
            </w:r>
            <w:r>
              <w:rPr>
                <w:rFonts w:ascii="Arial" w:hAnsi="Arial"/>
                <w:b/>
                <w:sz w:val="20"/>
              </w:rPr>
              <w:t>ASME BPVC Section III</w:t>
            </w:r>
            <w:r>
              <w:rPr>
                <w:rFonts w:ascii="Arial" w:hAnsi="Arial"/>
                <w:sz w:val="20"/>
              </w:rPr>
              <w:t>, Div. 1 (NB / NG)</w:t>
            </w:r>
          </w:p>
        </w:tc>
        <w:tc>
          <w:tcPr>
            <w:tcW w:type="dxa" w:w="3135"/>
          </w:tcPr>
          <w:p>
            <w:r>
              <w:rPr>
                <w:rFonts w:ascii="Arial" w:hAnsi="Arial"/>
                <w:sz w:val="20"/>
              </w:rPr>
            </w:r>
            <w:r>
              <w:rPr>
                <w:rFonts w:ascii="Arial" w:hAnsi="Arial"/>
                <w:sz w:val="20"/>
              </w:rPr>
              <w:t>RPV, OTSG, self-pressurizer, in-vessel CRDM, core support (§8.4)</w:t>
            </w:r>
          </w:p>
        </w:tc>
      </w:tr>
      <w:tr>
        <w:tc>
          <w:tcPr>
            <w:tcW w:type="dxa" w:w="3135"/>
          </w:tcPr>
          <w:p>
            <w:r>
              <w:rPr>
                <w:rFonts w:ascii="Arial" w:hAnsi="Arial"/>
                <w:sz w:val="20"/>
              </w:rPr>
            </w:r>
            <w:r>
              <w:rPr>
                <w:rFonts w:ascii="Arial" w:hAnsi="Arial"/>
                <w:sz w:val="20"/>
              </w:rPr>
              <w:t>Non-nuclear pressure parts / BOP</w:t>
            </w:r>
          </w:p>
        </w:tc>
        <w:tc>
          <w:tcPr>
            <w:tcW w:type="dxa" w:w="3135"/>
          </w:tcPr>
          <w:p>
            <w:r>
              <w:rPr>
                <w:rFonts w:ascii="Arial" w:hAnsi="Arial"/>
                <w:sz w:val="20"/>
              </w:rPr>
            </w:r>
            <w:r>
              <w:rPr>
                <w:rFonts w:ascii="Arial" w:hAnsi="Arial"/>
                <w:b/>
                <w:sz w:val="20"/>
              </w:rPr>
              <w:t>ASME BPVC Section VIII</w:t>
            </w:r>
            <w:r>
              <w:rPr>
                <w:rFonts w:ascii="Arial" w:hAnsi="Arial"/>
                <w:sz w:val="20"/>
              </w:rPr>
              <w:t xml:space="preserve">; </w:t>
            </w:r>
            <w:r>
              <w:rPr>
                <w:rFonts w:ascii="Arial" w:hAnsi="Arial"/>
                <w:b/>
                <w:sz w:val="20"/>
              </w:rPr>
              <w:t>ASME B31.1</w:t>
            </w:r>
          </w:p>
        </w:tc>
        <w:tc>
          <w:tcPr>
            <w:tcW w:type="dxa" w:w="3135"/>
          </w:tcPr>
          <w:p>
            <w:r>
              <w:rPr>
                <w:rFonts w:ascii="Arial" w:hAnsi="Arial"/>
                <w:sz w:val="20"/>
              </w:rPr>
            </w:r>
            <w:r>
              <w:rPr>
                <w:rFonts w:ascii="Arial" w:hAnsi="Arial"/>
                <w:sz w:val="20"/>
              </w:rPr>
              <w:t>Condenser, feedwater heaters, secondary piping (§8.9)</w:t>
            </w:r>
          </w:p>
        </w:tc>
      </w:tr>
      <w:tr>
        <w:tc>
          <w:tcPr>
            <w:tcW w:type="dxa" w:w="3135"/>
          </w:tcPr>
          <w:p>
            <w:r>
              <w:rPr>
                <w:rFonts w:ascii="Arial" w:hAnsi="Arial"/>
                <w:sz w:val="20"/>
              </w:rPr>
            </w:r>
            <w:r>
              <w:rPr>
                <w:rFonts w:ascii="Arial" w:hAnsi="Arial"/>
                <w:sz w:val="20"/>
              </w:rPr>
              <w:t>Pressure-boundary &amp; internals materials</w:t>
            </w:r>
          </w:p>
        </w:tc>
        <w:tc>
          <w:tcPr>
            <w:tcW w:type="dxa" w:w="3135"/>
          </w:tcPr>
          <w:p>
            <w:r>
              <w:rPr>
                <w:rFonts w:ascii="Arial" w:hAnsi="Arial"/>
                <w:sz w:val="20"/>
              </w:rPr>
            </w:r>
            <w:r>
              <w:rPr>
                <w:rFonts w:ascii="Arial" w:hAnsi="Arial"/>
                <w:sz w:val="20"/>
              </w:rPr>
              <w:t xml:space="preserve">SA-508 Gr.3 Cl.1, SA-533B (RPV); </w:t>
            </w:r>
            <w:r>
              <w:rPr>
                <w:rFonts w:ascii="Arial" w:hAnsi="Arial"/>
                <w:b/>
                <w:sz w:val="20"/>
              </w:rPr>
              <w:t>ASTM A240</w:t>
            </w:r>
            <w:r>
              <w:rPr>
                <w:rFonts w:ascii="Arial" w:hAnsi="Arial"/>
                <w:sz w:val="20"/>
              </w:rPr>
              <w:t xml:space="preserve"> 304/316L; Inconel-690 TT; Incoloy-800</w:t>
            </w:r>
          </w:p>
        </w:tc>
        <w:tc>
          <w:tcPr>
            <w:tcW w:type="dxa" w:w="3135"/>
          </w:tcPr>
          <w:p>
            <w:r>
              <w:rPr>
                <w:rFonts w:ascii="Arial" w:hAnsi="Arial"/>
                <w:sz w:val="20"/>
              </w:rPr>
            </w:r>
            <w:r>
              <w:rPr>
                <w:rFonts w:ascii="Arial" w:hAnsi="Arial"/>
                <w:sz w:val="20"/>
              </w:rPr>
              <w:t>Forgings, plate, OTSG tubes, heater sheaths (§8.4)</w:t>
            </w:r>
          </w:p>
        </w:tc>
      </w:tr>
      <w:tr>
        <w:tc>
          <w:tcPr>
            <w:tcW w:type="dxa" w:w="3135"/>
          </w:tcPr>
          <w:p>
            <w:r>
              <w:rPr>
                <w:rFonts w:ascii="Arial" w:hAnsi="Arial"/>
                <w:sz w:val="20"/>
              </w:rPr>
            </w:r>
            <w:r>
              <w:rPr>
                <w:rFonts w:ascii="Arial" w:hAnsi="Arial"/>
                <w:sz w:val="20"/>
              </w:rPr>
              <w:t>Fuel cladding</w:t>
            </w:r>
          </w:p>
        </w:tc>
        <w:tc>
          <w:tcPr>
            <w:tcW w:type="dxa" w:w="3135"/>
          </w:tcPr>
          <w:p>
            <w:r>
              <w:rPr>
                <w:rFonts w:ascii="Arial" w:hAnsi="Arial"/>
                <w:sz w:val="20"/>
              </w:rPr>
            </w:r>
            <w:r>
              <w:rPr>
                <w:rFonts w:ascii="Arial" w:hAnsi="Arial"/>
                <w:sz w:val="20"/>
              </w:rPr>
              <w:t>Zircaloy-4 (</w:t>
            </w:r>
            <w:r>
              <w:rPr>
                <w:rFonts w:ascii="Arial" w:hAnsi="Arial"/>
                <w:b/>
                <w:sz w:val="20"/>
              </w:rPr>
              <w:t>ASTM B811</w:t>
            </w:r>
            <w:r>
              <w:rPr>
                <w:rFonts w:ascii="Arial" w:hAnsi="Arial"/>
                <w:sz w:val="20"/>
              </w:rPr>
              <w:t>)</w:t>
            </w:r>
          </w:p>
        </w:tc>
        <w:tc>
          <w:tcPr>
            <w:tcW w:type="dxa" w:w="3135"/>
          </w:tcPr>
          <w:p>
            <w:r>
              <w:rPr>
                <w:rFonts w:ascii="Arial" w:hAnsi="Arial"/>
                <w:sz w:val="20"/>
              </w:rPr>
            </w:r>
            <w:r>
              <w:rPr>
                <w:rFonts w:ascii="Arial" w:hAnsi="Arial"/>
                <w:sz w:val="20"/>
              </w:rPr>
              <w:t>Fuel-rod cladding (§8.3)</w:t>
            </w:r>
          </w:p>
        </w:tc>
      </w:tr>
      <w:tr>
        <w:tc>
          <w:tcPr>
            <w:tcW w:type="dxa" w:w="3135"/>
          </w:tcPr>
          <w:p>
            <w:r>
              <w:rPr>
                <w:rFonts w:ascii="Arial" w:hAnsi="Arial"/>
                <w:sz w:val="20"/>
              </w:rPr>
            </w:r>
            <w:r>
              <w:rPr>
                <w:rFonts w:ascii="Arial" w:hAnsi="Arial"/>
                <w:sz w:val="20"/>
              </w:rPr>
              <w:t>Reactor-core nuclear design limits</w:t>
            </w:r>
          </w:p>
        </w:tc>
        <w:tc>
          <w:tcPr>
            <w:tcW w:type="dxa" w:w="3135"/>
          </w:tcPr>
          <w:p>
            <w:r>
              <w:rPr>
                <w:rFonts w:ascii="Arial" w:hAnsi="Arial"/>
                <w:sz w:val="20"/>
              </w:rPr>
            </w:r>
            <w:r>
              <w:rPr>
                <w:rFonts w:ascii="Arial" w:hAnsi="Arial"/>
                <w:b/>
                <w:sz w:val="20"/>
              </w:rPr>
              <w:t>IAEA SSG-52</w:t>
            </w:r>
            <w:r>
              <w:rPr>
                <w:rFonts w:ascii="Arial" w:hAnsi="Arial"/>
                <w:sz w:val="20"/>
              </w:rPr>
              <w:t xml:space="preserve">; </w:t>
            </w:r>
            <w:r>
              <w:rPr>
                <w:rFonts w:ascii="Arial" w:hAnsi="Arial"/>
                <w:b/>
                <w:sz w:val="20"/>
              </w:rPr>
              <w:t>NUREG-1431</w:t>
            </w:r>
            <w:r>
              <w:rPr>
                <w:rFonts w:ascii="Arial" w:hAnsi="Arial"/>
                <w:sz w:val="20"/>
              </w:rPr>
              <w:t xml:space="preserve"> Rev. 5</w:t>
            </w:r>
          </w:p>
        </w:tc>
        <w:tc>
          <w:tcPr>
            <w:tcW w:type="dxa" w:w="3135"/>
          </w:tcPr>
          <w:p>
            <w:r>
              <w:rPr>
                <w:rFonts w:ascii="Arial" w:hAnsi="Arial"/>
                <w:sz w:val="20"/>
              </w:rPr>
            </w:r>
            <w:r>
              <w:rPr>
                <w:rFonts w:ascii="Arial" w:hAnsi="Arial"/>
                <w:sz w:val="20"/>
              </w:rPr>
              <w:t>Peaking (F_Q, F_ΔH), reactivity coefficients, SDM (§8.2)</w:t>
            </w:r>
          </w:p>
        </w:tc>
      </w:tr>
      <w:tr>
        <w:tc>
          <w:tcPr>
            <w:tcW w:type="dxa" w:w="3135"/>
          </w:tcPr>
          <w:p>
            <w:r>
              <w:rPr>
                <w:rFonts w:ascii="Arial" w:hAnsi="Arial"/>
                <w:sz w:val="20"/>
              </w:rPr>
            </w:r>
            <w:r>
              <w:rPr>
                <w:rFonts w:ascii="Arial" w:hAnsi="Arial"/>
                <w:sz w:val="20"/>
              </w:rPr>
              <w:t>Neutronics method &amp; nuclear data</w:t>
            </w:r>
          </w:p>
        </w:tc>
        <w:tc>
          <w:tcPr>
            <w:tcW w:type="dxa" w:w="3135"/>
          </w:tcPr>
          <w:p>
            <w:r>
              <w:rPr>
                <w:rFonts w:ascii="Arial" w:hAnsi="Arial"/>
                <w:sz w:val="20"/>
              </w:rPr>
            </w:r>
            <w:r>
              <w:rPr>
                <w:rFonts w:ascii="Arial" w:hAnsi="Arial"/>
                <w:sz w:val="20"/>
              </w:rPr>
              <w:t>OpenMC (Romano &amp; Forget 2013); ENDF/B-VIII.0; benchmarked to ICSBEP / BEAVRS</w:t>
            </w:r>
          </w:p>
        </w:tc>
        <w:tc>
          <w:tcPr>
            <w:tcW w:type="dxa" w:w="3135"/>
          </w:tcPr>
          <w:p>
            <w:r>
              <w:rPr>
                <w:rFonts w:ascii="Arial" w:hAnsi="Arial"/>
                <w:sz w:val="20"/>
              </w:rPr>
            </w:r>
            <w:r>
              <w:rPr>
                <w:rFonts w:ascii="Arial" w:hAnsi="Arial"/>
                <w:sz w:val="20"/>
              </w:rPr>
              <w:t>Core physics (§8.2)</w:t>
            </w:r>
          </w:p>
        </w:tc>
      </w:tr>
      <w:tr>
        <w:tc>
          <w:tcPr>
            <w:tcW w:type="dxa" w:w="3135"/>
          </w:tcPr>
          <w:p>
            <w:r>
              <w:rPr>
                <w:rFonts w:ascii="Arial" w:hAnsi="Arial"/>
                <w:sz w:val="20"/>
              </w:rPr>
            </w:r>
            <w:r>
              <w:rPr>
                <w:rFonts w:ascii="Arial" w:hAnsi="Arial"/>
                <w:sz w:val="20"/>
              </w:rPr>
              <w:t>Decay heat</w:t>
            </w:r>
          </w:p>
        </w:tc>
        <w:tc>
          <w:tcPr>
            <w:tcW w:type="dxa" w:w="3135"/>
          </w:tcPr>
          <w:p>
            <w:r>
              <w:rPr>
                <w:rFonts w:ascii="Arial" w:hAnsi="Arial"/>
                <w:sz w:val="20"/>
              </w:rPr>
            </w:r>
            <w:r>
              <w:rPr>
                <w:rFonts w:ascii="Arial" w:hAnsi="Arial"/>
                <w:b/>
                <w:sz w:val="20"/>
              </w:rPr>
              <w:t>ANSI/ANS-5.1</w:t>
            </w:r>
          </w:p>
        </w:tc>
        <w:tc>
          <w:tcPr>
            <w:tcW w:type="dxa" w:w="3135"/>
          </w:tcPr>
          <w:p>
            <w:r>
              <w:rPr>
                <w:rFonts w:ascii="Arial" w:hAnsi="Arial"/>
                <w:sz w:val="20"/>
              </w:rPr>
            </w:r>
            <w:r>
              <w:rPr>
                <w:rFonts w:ascii="Arial" w:hAnsi="Arial"/>
                <w:sz w:val="20"/>
              </w:rPr>
              <w:t>DHRS sizing, post-shutdown source term (§8.4, §8.11)</w:t>
            </w:r>
          </w:p>
        </w:tc>
      </w:tr>
      <w:tr>
        <w:tc>
          <w:tcPr>
            <w:tcW w:type="dxa" w:w="3135"/>
          </w:tcPr>
          <w:p>
            <w:r>
              <w:rPr>
                <w:rFonts w:ascii="Arial" w:hAnsi="Arial"/>
                <w:sz w:val="20"/>
              </w:rPr>
            </w:r>
            <w:r>
              <w:rPr>
                <w:rFonts w:ascii="Arial" w:hAnsi="Arial"/>
                <w:sz w:val="20"/>
              </w:rPr>
              <w:t>Water/steam thermodynamic properties</w:t>
            </w:r>
          </w:p>
        </w:tc>
        <w:tc>
          <w:tcPr>
            <w:tcW w:type="dxa" w:w="3135"/>
          </w:tcPr>
          <w:p>
            <w:r>
              <w:rPr>
                <w:rFonts w:ascii="Arial" w:hAnsi="Arial"/>
                <w:sz w:val="20"/>
              </w:rPr>
            </w:r>
            <w:r>
              <w:rPr>
                <w:rFonts w:ascii="Arial" w:hAnsi="Arial"/>
                <w:b/>
                <w:sz w:val="20"/>
              </w:rPr>
              <w:t>IAPWS-IF97</w:t>
            </w:r>
          </w:p>
        </w:tc>
        <w:tc>
          <w:tcPr>
            <w:tcW w:type="dxa" w:w="3135"/>
          </w:tcPr>
          <w:p>
            <w:r>
              <w:rPr>
                <w:rFonts w:ascii="Arial" w:hAnsi="Arial"/>
                <w:sz w:val="20"/>
              </w:rPr>
            </w:r>
            <w:r>
              <w:rPr>
                <w:rFonts w:ascii="Arial" w:hAnsi="Arial"/>
                <w:sz w:val="20"/>
              </w:rPr>
              <w:t>Primary &amp; secondary T-H (§8.4, §8.9)</w:t>
            </w:r>
          </w:p>
        </w:tc>
      </w:tr>
      <w:tr>
        <w:tc>
          <w:tcPr>
            <w:tcW w:type="dxa" w:w="3135"/>
          </w:tcPr>
          <w:p>
            <w:r>
              <w:rPr>
                <w:rFonts w:ascii="Arial" w:hAnsi="Arial"/>
                <w:sz w:val="20"/>
              </w:rPr>
            </w:r>
            <w:r>
              <w:rPr>
                <w:rFonts w:ascii="Arial" w:hAnsi="Arial"/>
                <w:sz w:val="20"/>
              </w:rPr>
              <w:t>Radiation shielding / dose conversion</w:t>
            </w:r>
          </w:p>
        </w:tc>
        <w:tc>
          <w:tcPr>
            <w:tcW w:type="dxa" w:w="3135"/>
          </w:tcPr>
          <w:p>
            <w:r>
              <w:rPr>
                <w:rFonts w:ascii="Arial" w:hAnsi="Arial"/>
                <w:sz w:val="20"/>
              </w:rPr>
            </w:r>
            <w:r>
              <w:rPr>
                <w:rFonts w:ascii="Arial" w:hAnsi="Arial"/>
                <w:b/>
                <w:sz w:val="20"/>
              </w:rPr>
              <w:t>ANSI/ANS-6.4</w:t>
            </w:r>
            <w:r>
              <w:rPr>
                <w:rFonts w:ascii="Arial" w:hAnsi="Arial"/>
                <w:sz w:val="20"/>
              </w:rPr>
              <w:t xml:space="preserve">; </w:t>
            </w:r>
            <w:r>
              <w:rPr>
                <w:rFonts w:ascii="Arial" w:hAnsi="Arial"/>
                <w:b/>
                <w:sz w:val="20"/>
              </w:rPr>
              <w:t>ICRP-116</w:t>
            </w:r>
            <w:r>
              <w:rPr>
                <w:rFonts w:ascii="Arial" w:hAnsi="Arial"/>
                <w:sz w:val="20"/>
              </w:rPr>
              <w:t xml:space="preserve"> flux-to-dose</w:t>
            </w:r>
          </w:p>
        </w:tc>
        <w:tc>
          <w:tcPr>
            <w:tcW w:type="dxa" w:w="3135"/>
          </w:tcPr>
          <w:p>
            <w:r>
              <w:rPr>
                <w:rFonts w:ascii="Arial" w:hAnsi="Arial"/>
                <w:sz w:val="20"/>
              </w:rPr>
            </w:r>
            <w:r>
              <w:rPr>
                <w:rFonts w:ascii="Arial" w:hAnsi="Arial"/>
                <w:sz w:val="20"/>
              </w:rPr>
              <w:t>Shield design, dose profiles (§8.2.6)</w:t>
            </w:r>
          </w:p>
        </w:tc>
      </w:tr>
      <w:tr>
        <w:tc>
          <w:tcPr>
            <w:tcW w:type="dxa" w:w="3135"/>
          </w:tcPr>
          <w:p>
            <w:r>
              <w:rPr>
                <w:rFonts w:ascii="Arial" w:hAnsi="Arial"/>
                <w:sz w:val="20"/>
              </w:rPr>
            </w:r>
            <w:r>
              <w:rPr>
                <w:rFonts w:ascii="Arial" w:hAnsi="Arial"/>
                <w:sz w:val="20"/>
              </w:rPr>
              <w:t>Spent-fuel storage criticality</w:t>
            </w:r>
          </w:p>
        </w:tc>
        <w:tc>
          <w:tcPr>
            <w:tcW w:type="dxa" w:w="3135"/>
          </w:tcPr>
          <w:p>
            <w:r>
              <w:rPr>
                <w:rFonts w:ascii="Arial" w:hAnsi="Arial"/>
                <w:sz w:val="20"/>
              </w:rPr>
            </w:r>
            <w:r>
              <w:rPr>
                <w:rFonts w:ascii="Arial" w:hAnsi="Arial"/>
                <w:b/>
                <w:sz w:val="20"/>
              </w:rPr>
              <w:t>NUREG-0800</w:t>
            </w:r>
            <w:r>
              <w:rPr>
                <w:rFonts w:ascii="Arial" w:hAnsi="Arial"/>
                <w:sz w:val="20"/>
              </w:rPr>
              <w:t xml:space="preserve"> §9.1.1; </w:t>
            </w:r>
            <w:r>
              <w:rPr>
                <w:rFonts w:ascii="Arial" w:hAnsi="Arial"/>
                <w:b/>
                <w:sz w:val="20"/>
              </w:rPr>
              <w:t>10 CFR 50.68</w:t>
            </w:r>
            <w:r>
              <w:rPr>
                <w:rFonts w:ascii="Arial" w:hAnsi="Arial"/>
                <w:sz w:val="20"/>
              </w:rPr>
              <w:t xml:space="preserve"> (k_eff(95/95) ≤ 0.95)</w:t>
            </w:r>
          </w:p>
        </w:tc>
        <w:tc>
          <w:tcPr>
            <w:tcW w:type="dxa" w:w="3135"/>
          </w:tcPr>
          <w:p>
            <w:r>
              <w:rPr>
                <w:rFonts w:ascii="Arial" w:hAnsi="Arial"/>
                <w:sz w:val="20"/>
              </w:rPr>
            </w:r>
            <w:r>
              <w:rPr>
                <w:rFonts w:ascii="Arial" w:hAnsi="Arial"/>
                <w:sz w:val="20"/>
              </w:rPr>
              <w:t>Wet/dry storage (§8.11)</w:t>
            </w:r>
          </w:p>
        </w:tc>
      </w:tr>
      <w:tr>
        <w:tc>
          <w:tcPr>
            <w:tcW w:type="dxa" w:w="3135"/>
          </w:tcPr>
          <w:p>
            <w:r>
              <w:rPr>
                <w:rFonts w:ascii="Arial" w:hAnsi="Arial"/>
                <w:sz w:val="20"/>
              </w:rPr>
            </w:r>
            <w:r>
              <w:rPr>
                <w:rFonts w:ascii="Arial" w:hAnsi="Arial"/>
                <w:sz w:val="20"/>
              </w:rPr>
              <w:t>Instrumentation &amp; safety systems</w:t>
            </w:r>
          </w:p>
        </w:tc>
        <w:tc>
          <w:tcPr>
            <w:tcW w:type="dxa" w:w="3135"/>
          </w:tcPr>
          <w:p>
            <w:r>
              <w:rPr>
                <w:rFonts w:ascii="Arial" w:hAnsi="Arial"/>
                <w:sz w:val="20"/>
              </w:rPr>
            </w:r>
            <w:r>
              <w:rPr>
                <w:rFonts w:ascii="Arial" w:hAnsi="Arial"/>
                <w:b/>
                <w:sz w:val="20"/>
              </w:rPr>
              <w:t>IEEE Std 603-2018</w:t>
            </w:r>
            <w:r>
              <w:rPr>
                <w:rFonts w:ascii="Arial" w:hAnsi="Arial"/>
                <w:sz w:val="20"/>
              </w:rPr>
              <w:t xml:space="preserve">; </w:t>
            </w:r>
            <w:r>
              <w:rPr>
                <w:rFonts w:ascii="Arial" w:hAnsi="Arial"/>
                <w:b/>
                <w:sz w:val="20"/>
              </w:rPr>
              <w:t>IAEA SSG-39</w:t>
            </w:r>
          </w:p>
        </w:tc>
        <w:tc>
          <w:tcPr>
            <w:tcW w:type="dxa" w:w="3135"/>
          </w:tcPr>
          <w:p>
            <w:r>
              <w:rPr>
                <w:rFonts w:ascii="Arial" w:hAnsi="Arial"/>
                <w:sz w:val="20"/>
              </w:rPr>
            </w:r>
            <w:r>
              <w:rPr>
                <w:rFonts w:ascii="Arial" w:hAnsi="Arial"/>
                <w:sz w:val="20"/>
              </w:rPr>
              <w:t>Protection system, I&amp;C (§8.7)</w:t>
            </w:r>
          </w:p>
        </w:tc>
      </w:tr>
      <w:tr>
        <w:tc>
          <w:tcPr>
            <w:tcW w:type="dxa" w:w="3135"/>
          </w:tcPr>
          <w:p>
            <w:r>
              <w:rPr>
                <w:rFonts w:ascii="Arial" w:hAnsi="Arial"/>
                <w:sz w:val="20"/>
              </w:rPr>
            </w:r>
            <w:r>
              <w:rPr>
                <w:rFonts w:ascii="Arial" w:hAnsi="Arial"/>
                <w:sz w:val="20"/>
              </w:rPr>
              <w:t>Predisposal waste management</w:t>
            </w:r>
          </w:p>
        </w:tc>
        <w:tc>
          <w:tcPr>
            <w:tcW w:type="dxa" w:w="3135"/>
          </w:tcPr>
          <w:p>
            <w:r>
              <w:rPr>
                <w:rFonts w:ascii="Arial" w:hAnsi="Arial"/>
                <w:sz w:val="20"/>
              </w:rPr>
            </w:r>
            <w:r>
              <w:rPr>
                <w:rFonts w:ascii="Arial" w:hAnsi="Arial"/>
                <w:b/>
                <w:sz w:val="20"/>
              </w:rPr>
              <w:t>IAEA GSR Part 5</w:t>
            </w:r>
          </w:p>
        </w:tc>
        <w:tc>
          <w:tcPr>
            <w:tcW w:type="dxa" w:w="3135"/>
          </w:tcPr>
          <w:p>
            <w:r>
              <w:rPr>
                <w:rFonts w:ascii="Arial" w:hAnsi="Arial"/>
                <w:sz w:val="20"/>
              </w:rPr>
            </w:r>
            <w:r>
              <w:rPr>
                <w:rFonts w:ascii="Arial" w:hAnsi="Arial"/>
                <w:sz w:val="20"/>
              </w:rPr>
              <w:t>Secondary-waste handling (§8.11)</w:t>
            </w:r>
          </w:p>
        </w:tc>
      </w:tr>
    </w:tbl>
    <w:p/>
    <w:p>
      <w:pPr>
        <w:spacing w:before="200" w:after="80"/>
      </w:pPr>
      <w:r>
        <w:rPr>
          <w:rFonts w:ascii="Arial Black" w:hAnsi="Arial Black"/>
          <w:b/>
          <w:color w:val="1F4E79"/>
          <w:sz w:val="25"/>
        </w:rPr>
        <w:t>8.1.8 Reference regulatory and nuclear-safety requirements</w:t>
      </w:r>
    </w:p>
    <w:p>
      <w:pPr>
        <w:jc w:val="both"/>
      </w:pPr>
      <w:r>
        <w:rPr>
          <w:rFonts w:ascii="Arial" w:hAnsi="Arial"/>
        </w:rPr>
        <w:t>Nuclear safety is integrated into the design from the outset through a standard, defence-in-depth approach: the four fundamental safety functions (control of reactivity, fuel cooling, confinement of radioactivity, and radiation protection) are each met by inherent characteristics and independent, redundant provisions. The candidate site being in Türkiye, the licensing basis is the</w:t>
      </w:r>
    </w:p>
    <w:p>
      <w:pPr>
        <w:jc w:val="both"/>
      </w:pPr>
      <w:r>
        <w:rPr>
          <w:rFonts w:ascii="Arial" w:hAnsi="Arial"/>
          <w:b/>
        </w:rPr>
        <w:t>Nuclear Regulation Authority (NDK)</w:t>
      </w:r>
      <w:r>
        <w:rPr>
          <w:rFonts w:ascii="Arial" w:hAnsi="Arial"/>
        </w:rPr>
        <w:t xml:space="preserve"> framework, whose design regulations adopt the </w:t>
      </w:r>
      <w:r>
        <w:rPr>
          <w:rFonts w:ascii="Arial" w:hAnsi="Arial"/>
          <w:b/>
        </w:rPr>
        <w:t>IAEA Safety Standards</w:t>
      </w:r>
      <w:r>
        <w:rPr>
          <w:rFonts w:ascii="Arial" w:hAnsi="Arial"/>
        </w:rPr>
        <w:t>; the table below lists the reference safety-requirement documents and where each is addressed in this FER.</w:t>
      </w:r>
    </w:p>
    <w:p>
      <w:pPr>
        <w:jc w:val="both"/>
      </w:pPr>
      <w:r>
        <w:rPr>
          <w:rFonts w:ascii="Arial" w:hAnsi="Arial"/>
          <w:b/>
        </w:rPr>
        <w:t>Table 8.1-8 — Reference regulatory documents (nuclear-safety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Document</w:t>
            </w:r>
          </w:p>
        </w:tc>
        <w:tc>
          <w:tcPr>
            <w:tcW w:type="dxa" w:w="3135"/>
            <w:shd w:val="clear" w:fill="DDE3EA"/>
          </w:tcPr>
          <w:p>
            <w:r>
              <w:rPr>
                <w:rFonts w:ascii="Arial" w:hAnsi="Arial"/>
                <w:b/>
                <w:sz w:val="20"/>
              </w:rPr>
            </w:r>
            <w:r>
              <w:rPr>
                <w:rFonts w:ascii="Arial" w:hAnsi="Arial"/>
                <w:b/>
                <w:sz w:val="20"/>
              </w:rPr>
              <w:t>Scope</w:t>
            </w:r>
          </w:p>
        </w:tc>
        <w:tc>
          <w:tcPr>
            <w:tcW w:type="dxa" w:w="3135"/>
            <w:shd w:val="clear" w:fill="DDE3EA"/>
          </w:tcPr>
          <w:p>
            <w:r>
              <w:rPr>
                <w:rFonts w:ascii="Arial" w:hAnsi="Arial"/>
                <w:b/>
                <w:sz w:val="20"/>
              </w:rPr>
            </w:r>
            <w:r>
              <w:rPr>
                <w:rFonts w:ascii="Arial" w:hAnsi="Arial"/>
                <w:b/>
                <w:sz w:val="20"/>
              </w:rPr>
              <w:t>How addressed in the Aegis-40 design</w:t>
            </w:r>
          </w:p>
        </w:tc>
      </w:tr>
      <w:tr>
        <w:tc>
          <w:tcPr>
            <w:tcW w:type="dxa" w:w="3135"/>
          </w:tcPr>
          <w:p>
            <w:r>
              <w:rPr>
                <w:rFonts w:ascii="Arial" w:hAnsi="Arial"/>
                <w:sz w:val="20"/>
              </w:rPr>
            </w:r>
            <w:r>
              <w:rPr>
                <w:rFonts w:ascii="Arial" w:hAnsi="Arial"/>
                <w:b/>
                <w:sz w:val="20"/>
              </w:rPr>
              <w:t>IAEA SSR-2/1 (Rev. 1)</w:t>
            </w:r>
            <w:r>
              <w:rPr>
                <w:rFonts w:ascii="Arial" w:hAnsi="Arial"/>
                <w:sz w:val="20"/>
              </w:rPr>
              <w:t xml:space="preserve"> — *Safety of NPPs: Design*</w:t>
            </w:r>
          </w:p>
        </w:tc>
        <w:tc>
          <w:tcPr>
            <w:tcW w:type="dxa" w:w="3135"/>
          </w:tcPr>
          <w:p>
            <w:r>
              <w:rPr>
                <w:rFonts w:ascii="Arial" w:hAnsi="Arial"/>
                <w:sz w:val="20"/>
              </w:rPr>
            </w:r>
            <w:r>
              <w:rPr>
                <w:rFonts w:ascii="Arial" w:hAnsi="Arial"/>
                <w:sz w:val="20"/>
              </w:rPr>
              <w:t>Top-level design safety requirements; defence-in-depth</w:t>
            </w:r>
          </w:p>
        </w:tc>
        <w:tc>
          <w:tcPr>
            <w:tcW w:type="dxa" w:w="3135"/>
          </w:tcPr>
          <w:p>
            <w:r>
              <w:rPr>
                <w:rFonts w:ascii="Arial" w:hAnsi="Arial"/>
                <w:sz w:val="20"/>
              </w:rPr>
            </w:r>
            <w:r>
              <w:rPr>
                <w:rFonts w:ascii="Arial" w:hAnsi="Arial"/>
                <w:sz w:val="20"/>
              </w:rPr>
              <w:t>Req. 24–25 redundant/independent reactivity control (rods + EBIS diverse shutdown); Req. 35 reactivity-feedback design; Req. 45 inherent stability (all coefficients &lt; 0); Req. 46 ≥ 2 diverse shutdown systems (§8.2)</w:t>
            </w:r>
          </w:p>
        </w:tc>
      </w:tr>
      <w:tr>
        <w:tc>
          <w:tcPr>
            <w:tcW w:type="dxa" w:w="3135"/>
          </w:tcPr>
          <w:p>
            <w:r>
              <w:rPr>
                <w:rFonts w:ascii="Arial" w:hAnsi="Arial"/>
                <w:sz w:val="20"/>
              </w:rPr>
            </w:r>
            <w:r>
              <w:rPr>
                <w:rFonts w:ascii="Arial" w:hAnsi="Arial"/>
                <w:b/>
                <w:sz w:val="20"/>
              </w:rPr>
              <w:t>IAEA SSG-52</w:t>
            </w:r>
            <w:r>
              <w:rPr>
                <w:rFonts w:ascii="Arial" w:hAnsi="Arial"/>
                <w:sz w:val="20"/>
              </w:rPr>
              <w:t xml:space="preserve"> — *Design of the Reactor Core for NPPs*</w:t>
            </w:r>
          </w:p>
        </w:tc>
        <w:tc>
          <w:tcPr>
            <w:tcW w:type="dxa" w:w="3135"/>
          </w:tcPr>
          <w:p>
            <w:r>
              <w:rPr>
                <w:rFonts w:ascii="Arial" w:hAnsi="Arial"/>
                <w:sz w:val="20"/>
              </w:rPr>
            </w:r>
            <w:r>
              <w:rPr>
                <w:rFonts w:ascii="Arial" w:hAnsi="Arial"/>
                <w:sz w:val="20"/>
              </w:rPr>
              <w:t>Core design limits and methods</w:t>
            </w:r>
          </w:p>
        </w:tc>
        <w:tc>
          <w:tcPr>
            <w:tcW w:type="dxa" w:w="3135"/>
          </w:tcPr>
          <w:p>
            <w:r>
              <w:rPr>
                <w:rFonts w:ascii="Arial" w:hAnsi="Arial"/>
                <w:sz w:val="20"/>
              </w:rPr>
            </w:r>
            <w:r>
              <w:rPr>
                <w:rFonts w:ascii="Arial" w:hAnsi="Arial"/>
                <w:sz w:val="20"/>
              </w:rPr>
              <w:t>Peaking, DNBR, reactivity coefficients, LHGR margins (§8.2)</w:t>
            </w:r>
          </w:p>
        </w:tc>
      </w:tr>
      <w:tr>
        <w:tc>
          <w:tcPr>
            <w:tcW w:type="dxa" w:w="3135"/>
          </w:tcPr>
          <w:p>
            <w:r>
              <w:rPr>
                <w:rFonts w:ascii="Arial" w:hAnsi="Arial"/>
                <w:sz w:val="20"/>
              </w:rPr>
            </w:r>
            <w:r>
              <w:rPr>
                <w:rFonts w:ascii="Arial" w:hAnsi="Arial"/>
                <w:b/>
                <w:sz w:val="20"/>
              </w:rPr>
              <w:t>IAEA GSR Part 4 (Rev. 1)</w:t>
            </w:r>
            <w:r>
              <w:rPr>
                <w:rFonts w:ascii="Arial" w:hAnsi="Arial"/>
                <w:sz w:val="20"/>
              </w:rPr>
              <w:t xml:space="preserve"> — *Safety Assessment for Facilities and Activities*</w:t>
            </w:r>
          </w:p>
        </w:tc>
        <w:tc>
          <w:tcPr>
            <w:tcW w:type="dxa" w:w="3135"/>
          </w:tcPr>
          <w:p>
            <w:r>
              <w:rPr>
                <w:rFonts w:ascii="Arial" w:hAnsi="Arial"/>
                <w:sz w:val="20"/>
              </w:rPr>
            </w:r>
            <w:r>
              <w:rPr>
                <w:rFonts w:ascii="Arial" w:hAnsi="Arial"/>
                <w:sz w:val="20"/>
              </w:rPr>
              <w:t>Safety-assessment methodology</w:t>
            </w:r>
          </w:p>
        </w:tc>
        <w:tc>
          <w:tcPr>
            <w:tcW w:type="dxa" w:w="3135"/>
          </w:tcPr>
          <w:p>
            <w:r>
              <w:rPr>
                <w:rFonts w:ascii="Arial" w:hAnsi="Arial"/>
                <w:sz w:val="20"/>
              </w:rPr>
            </w:r>
            <w:r>
              <w:rPr>
                <w:rFonts w:ascii="Arial" w:hAnsi="Arial"/>
                <w:sz w:val="20"/>
              </w:rPr>
              <w:t>Deterministic analysis + projected-PSA framing (§8.5/§8.6)</w:t>
            </w:r>
          </w:p>
        </w:tc>
      </w:tr>
      <w:tr>
        <w:tc>
          <w:tcPr>
            <w:tcW w:type="dxa" w:w="3135"/>
          </w:tcPr>
          <w:p>
            <w:r>
              <w:rPr>
                <w:rFonts w:ascii="Arial" w:hAnsi="Arial"/>
                <w:sz w:val="20"/>
              </w:rPr>
            </w:r>
            <w:r>
              <w:rPr>
                <w:rFonts w:ascii="Arial" w:hAnsi="Arial"/>
                <w:b/>
                <w:sz w:val="20"/>
              </w:rPr>
              <w:t>IAEA SSG-3 / SSG-4</w:t>
            </w:r>
            <w:r>
              <w:rPr>
                <w:rFonts w:ascii="Arial" w:hAnsi="Arial"/>
                <w:sz w:val="20"/>
              </w:rPr>
              <w:t xml:space="preserve"> — Level-1 / Level-2 PSA</w:t>
            </w:r>
          </w:p>
        </w:tc>
        <w:tc>
          <w:tcPr>
            <w:tcW w:type="dxa" w:w="3135"/>
          </w:tcPr>
          <w:p>
            <w:r>
              <w:rPr>
                <w:rFonts w:ascii="Arial" w:hAnsi="Arial"/>
                <w:sz w:val="20"/>
              </w:rPr>
            </w:r>
            <w:r>
              <w:rPr>
                <w:rFonts w:ascii="Arial" w:hAnsi="Arial"/>
                <w:sz w:val="20"/>
              </w:rPr>
              <w:t>PSA methodology</w:t>
            </w:r>
          </w:p>
        </w:tc>
        <w:tc>
          <w:tcPr>
            <w:tcW w:type="dxa" w:w="3135"/>
          </w:tcPr>
          <w:p>
            <w:r>
              <w:rPr>
                <w:rFonts w:ascii="Arial" w:hAnsi="Arial"/>
                <w:sz w:val="20"/>
              </w:rPr>
            </w:r>
            <w:r>
              <w:rPr>
                <w:rFonts w:ascii="Arial" w:hAnsi="Arial"/>
                <w:sz w:val="20"/>
              </w:rPr>
              <w:t>CDF / LRF class targets (§8.6)</w:t>
            </w:r>
          </w:p>
        </w:tc>
      </w:tr>
      <w:tr>
        <w:tc>
          <w:tcPr>
            <w:tcW w:type="dxa" w:w="3135"/>
          </w:tcPr>
          <w:p>
            <w:r>
              <w:rPr>
                <w:rFonts w:ascii="Arial" w:hAnsi="Arial"/>
                <w:sz w:val="20"/>
              </w:rPr>
            </w:r>
            <w:r>
              <w:rPr>
                <w:rFonts w:ascii="Arial" w:hAnsi="Arial"/>
                <w:b/>
                <w:sz w:val="20"/>
              </w:rPr>
              <w:t>IAEA GSR Part 5</w:t>
            </w:r>
            <w:r>
              <w:rPr>
                <w:rFonts w:ascii="Arial" w:hAnsi="Arial"/>
                <w:sz w:val="20"/>
              </w:rPr>
              <w:t xml:space="preserve"> — *Predisposal Management of Radioactive Waste*</w:t>
            </w:r>
          </w:p>
        </w:tc>
        <w:tc>
          <w:tcPr>
            <w:tcW w:type="dxa" w:w="3135"/>
          </w:tcPr>
          <w:p>
            <w:r>
              <w:rPr>
                <w:rFonts w:ascii="Arial" w:hAnsi="Arial"/>
                <w:sz w:val="20"/>
              </w:rPr>
            </w:r>
            <w:r>
              <w:rPr>
                <w:rFonts w:ascii="Arial" w:hAnsi="Arial"/>
                <w:sz w:val="20"/>
              </w:rPr>
              <w:t>Waste-safety requirements</w:t>
            </w:r>
          </w:p>
        </w:tc>
        <w:tc>
          <w:tcPr>
            <w:tcW w:type="dxa" w:w="3135"/>
          </w:tcPr>
          <w:p>
            <w:r>
              <w:rPr>
                <w:rFonts w:ascii="Arial" w:hAnsi="Arial"/>
                <w:sz w:val="20"/>
              </w:rPr>
            </w:r>
            <w:r>
              <w:rPr>
                <w:rFonts w:ascii="Arial" w:hAnsi="Arial"/>
                <w:sz w:val="20"/>
              </w:rPr>
              <w:t>On-site storage &amp; conditioning (§8.11)</w:t>
            </w:r>
          </w:p>
        </w:tc>
      </w:tr>
      <w:tr>
        <w:tc>
          <w:tcPr>
            <w:tcW w:type="dxa" w:w="3135"/>
          </w:tcPr>
          <w:p>
            <w:r>
              <w:rPr>
                <w:rFonts w:ascii="Arial" w:hAnsi="Arial"/>
                <w:sz w:val="20"/>
              </w:rPr>
            </w:r>
            <w:r>
              <w:rPr>
                <w:rFonts w:ascii="Arial" w:hAnsi="Arial"/>
                <w:b/>
                <w:sz w:val="20"/>
              </w:rPr>
              <w:t>US NRC 10 CFR 50 App. A</w:t>
            </w:r>
            <w:r>
              <w:rPr>
                <w:rFonts w:ascii="Arial" w:hAnsi="Arial"/>
                <w:sz w:val="20"/>
              </w:rPr>
              <w:t xml:space="preserve"> — General Design Criteria</w:t>
            </w:r>
          </w:p>
        </w:tc>
        <w:tc>
          <w:tcPr>
            <w:tcW w:type="dxa" w:w="3135"/>
          </w:tcPr>
          <w:p>
            <w:r>
              <w:rPr>
                <w:rFonts w:ascii="Arial" w:hAnsi="Arial"/>
                <w:sz w:val="20"/>
              </w:rPr>
            </w:r>
            <w:r>
              <w:rPr>
                <w:rFonts w:ascii="Arial" w:hAnsi="Arial"/>
                <w:sz w:val="20"/>
              </w:rPr>
              <w:t>Generic design criteria</w:t>
            </w:r>
          </w:p>
        </w:tc>
        <w:tc>
          <w:tcPr>
            <w:tcW w:type="dxa" w:w="3135"/>
          </w:tcPr>
          <w:p>
            <w:r>
              <w:rPr>
                <w:rFonts w:ascii="Arial" w:hAnsi="Arial"/>
                <w:sz w:val="20"/>
              </w:rPr>
            </w:r>
            <w:r>
              <w:rPr>
                <w:rFonts w:ascii="Arial" w:hAnsi="Arial"/>
                <w:sz w:val="20"/>
              </w:rPr>
              <w:t>GDC 11 (reactivity feedback), 26/27 (reactivity control), 35 (ECCS) (§8.2, §8.5)</w:t>
            </w:r>
          </w:p>
        </w:tc>
      </w:tr>
      <w:tr>
        <w:tc>
          <w:tcPr>
            <w:tcW w:type="dxa" w:w="3135"/>
          </w:tcPr>
          <w:p>
            <w:r>
              <w:rPr>
                <w:rFonts w:ascii="Arial" w:hAnsi="Arial"/>
                <w:sz w:val="20"/>
              </w:rPr>
            </w:r>
            <w:r>
              <w:rPr>
                <w:rFonts w:ascii="Arial" w:hAnsi="Arial"/>
                <w:b/>
                <w:sz w:val="20"/>
              </w:rPr>
              <w:t>US NRC NUREG-1431 Rev. 5</w:t>
            </w:r>
            <w:r>
              <w:rPr>
                <w:rFonts w:ascii="Arial" w:hAnsi="Arial"/>
                <w:sz w:val="20"/>
              </w:rPr>
              <w:t xml:space="preserve"> — Standard Technical Specifications</w:t>
            </w:r>
          </w:p>
        </w:tc>
        <w:tc>
          <w:tcPr>
            <w:tcW w:type="dxa" w:w="3135"/>
          </w:tcPr>
          <w:p>
            <w:r>
              <w:rPr>
                <w:rFonts w:ascii="Arial" w:hAnsi="Arial"/>
                <w:sz w:val="20"/>
              </w:rPr>
            </w:r>
            <w:r>
              <w:rPr>
                <w:rFonts w:ascii="Arial" w:hAnsi="Arial"/>
                <w:sz w:val="20"/>
              </w:rPr>
              <w:t>Requirement forms / LCOs</w:t>
            </w:r>
          </w:p>
        </w:tc>
        <w:tc>
          <w:tcPr>
            <w:tcW w:type="dxa" w:w="3135"/>
          </w:tcPr>
          <w:p>
            <w:r>
              <w:rPr>
                <w:rFonts w:ascii="Arial" w:hAnsi="Arial"/>
                <w:sz w:val="20"/>
              </w:rPr>
            </w:r>
            <w:r>
              <w:rPr>
                <w:rFonts w:ascii="Arial" w:hAnsi="Arial"/>
                <w:sz w:val="20"/>
              </w:rPr>
              <w:t>SDM, MTC, F_Q, F_ΔH limits (§8.2)</w:t>
            </w:r>
          </w:p>
        </w:tc>
      </w:tr>
      <w:tr>
        <w:tc>
          <w:tcPr>
            <w:tcW w:type="dxa" w:w="3135"/>
          </w:tcPr>
          <w:p>
            <w:r>
              <w:rPr>
                <w:rFonts w:ascii="Arial" w:hAnsi="Arial"/>
                <w:sz w:val="20"/>
              </w:rPr>
            </w:r>
            <w:r>
              <w:rPr>
                <w:rFonts w:ascii="Arial" w:hAnsi="Arial"/>
                <w:b/>
                <w:sz w:val="20"/>
              </w:rPr>
              <w:t>US NRC NUREG-0800 / 10 CFR 50.68</w:t>
            </w:r>
          </w:p>
        </w:tc>
        <w:tc>
          <w:tcPr>
            <w:tcW w:type="dxa" w:w="3135"/>
          </w:tcPr>
          <w:p>
            <w:r>
              <w:rPr>
                <w:rFonts w:ascii="Arial" w:hAnsi="Arial"/>
                <w:sz w:val="20"/>
              </w:rPr>
            </w:r>
            <w:r>
              <w:rPr>
                <w:rFonts w:ascii="Arial" w:hAnsi="Arial"/>
                <w:sz w:val="20"/>
              </w:rPr>
              <w:t>Standard Review Plan; SFP criticality</w:t>
            </w:r>
          </w:p>
        </w:tc>
        <w:tc>
          <w:tcPr>
            <w:tcW w:type="dxa" w:w="3135"/>
          </w:tcPr>
          <w:p>
            <w:r>
              <w:rPr>
                <w:rFonts w:ascii="Arial" w:hAnsi="Arial"/>
                <w:sz w:val="20"/>
              </w:rPr>
            </w:r>
            <w:r>
              <w:rPr>
                <w:rFonts w:ascii="Arial" w:hAnsi="Arial"/>
                <w:sz w:val="20"/>
              </w:rPr>
              <w:t>k_eff(95/95) ≤ 0.95 (§8.11)</w:t>
            </w:r>
          </w:p>
        </w:tc>
      </w:tr>
      <w:tr>
        <w:tc>
          <w:tcPr>
            <w:tcW w:type="dxa" w:w="3135"/>
          </w:tcPr>
          <w:p>
            <w:r>
              <w:rPr>
                <w:rFonts w:ascii="Arial" w:hAnsi="Arial"/>
                <w:sz w:val="20"/>
              </w:rPr>
            </w:r>
            <w:r>
              <w:rPr>
                <w:rFonts w:ascii="Arial" w:hAnsi="Arial"/>
                <w:b/>
                <w:sz w:val="20"/>
              </w:rPr>
              <w:t>Türkiye NDK — Nuclear Regulation Law No. 7381 (2022)</w:t>
            </w:r>
            <w:r>
              <w:rPr>
                <w:rFonts w:ascii="Arial" w:hAnsi="Arial"/>
                <w:sz w:val="20"/>
              </w:rPr>
              <w:t xml:space="preserve"> + NDK design regulation</w:t>
            </w:r>
          </w:p>
        </w:tc>
        <w:tc>
          <w:tcPr>
            <w:tcW w:type="dxa" w:w="3135"/>
          </w:tcPr>
          <w:p>
            <w:r>
              <w:rPr>
                <w:rFonts w:ascii="Arial" w:hAnsi="Arial"/>
                <w:sz w:val="20"/>
              </w:rPr>
            </w:r>
            <w:r>
              <w:rPr>
                <w:rFonts w:ascii="Arial" w:hAnsi="Arial"/>
                <w:sz w:val="20"/>
              </w:rPr>
              <w:t>National licensing basis</w:t>
            </w:r>
          </w:p>
        </w:tc>
        <w:tc>
          <w:tcPr>
            <w:tcW w:type="dxa" w:w="3135"/>
          </w:tcPr>
          <w:p>
            <w:r>
              <w:rPr>
                <w:rFonts w:ascii="Arial" w:hAnsi="Arial"/>
                <w:sz w:val="20"/>
              </w:rPr>
            </w:r>
            <w:r>
              <w:rPr>
                <w:rFonts w:ascii="Arial" w:hAnsi="Arial"/>
                <w:sz w:val="20"/>
              </w:rPr>
              <w:t>Primary regulatory framework; adopts the IAEA Safety Standards above</w:t>
            </w:r>
          </w:p>
        </w:tc>
      </w:tr>
    </w:tbl>
    <w:p/>
    <w:p>
      <w:pPr>
        <w:spacing w:before="200" w:after="80"/>
      </w:pPr>
      <w:r>
        <w:rPr>
          <w:rFonts w:ascii="Arial Black" w:hAnsi="Arial Black"/>
          <w:b/>
          <w:color w:val="1F4E79"/>
          <w:sz w:val="25"/>
        </w:rPr>
        <w:t>8.1.9 Parameters requiring confirmation or pending analysis</w:t>
      </w:r>
    </w:p>
    <w:p>
      <w:pPr>
        <w:jc w:val="both"/>
      </w:pPr>
      <w:r>
        <w:rPr>
          <w:rFonts w:ascii="Arial" w:hAnsi="Arial"/>
        </w:rPr>
        <w:t>The following are not yet design-frozen and are tracked for the review buffer:</w:t>
      </w:r>
    </w:p>
    <w:p>
      <w:pPr>
        <w:pStyle w:val="ListNumber"/>
        <w:jc w:val="both"/>
      </w:pPr>
      <w:r>
        <w:rPr>
          <w:rFonts w:ascii="Arial" w:hAnsi="Arial"/>
        </w:rPr>
        <w:t xml:space="preserve">~~Primary coolant inventory~~ — </w:t>
      </w:r>
      <w:r>
        <w:rPr>
          <w:rFonts w:ascii="Arial" w:hAnsi="Arial"/>
          <w:b/>
        </w:rPr>
        <w:t>CLOSED:</w:t>
      </w:r>
      <w:r>
        <w:rPr>
          <w:rFonts w:ascii="Arial" w:hAnsi="Arial"/>
        </w:rPr>
        <w:t xml:space="preserve"> ~25.6 t estimated (</w:t>
      </w:r>
      <w:r>
        <w:rPr>
          <w:rFonts w:ascii="Consolas" w:hAnsi="Consolas"/>
          <w:sz w:val="21"/>
        </w:rPr>
        <w:t>scripts/primary_inventory.py</w:t>
      </w:r>
      <w:r>
        <w:rPr>
          <w:rFonts w:ascii="Arial" w:hAnsi="Arial"/>
        </w:rPr>
        <w:t>); confirm precise value against the §8.4 T-H model. *(Samira → Adilbek)*</w:t>
      </w:r>
    </w:p>
    <w:p>
      <w:pPr>
        <w:pStyle w:val="ListNumber"/>
        <w:jc w:val="both"/>
      </w:pPr>
      <w:r>
        <w:rPr>
          <w:rFonts w:ascii="Arial" w:hAnsi="Arial"/>
        </w:rPr>
        <w:t xml:space="preserve">~~Core-average enrichment~~ — </w:t>
      </w:r>
      <w:r>
        <w:rPr>
          <w:rFonts w:ascii="Arial" w:hAnsi="Arial"/>
          <w:b/>
        </w:rPr>
        <w:t>CLOSED:</w:t>
      </w:r>
      <w:r>
        <w:rPr>
          <w:rFonts w:ascii="Arial" w:hAnsi="Arial"/>
        </w:rPr>
        <w:t xml:space="preserve"> 4.54 wt% (assembly-weighted, </w:t>
      </w:r>
      <w:r>
        <w:rPr>
          <w:rFonts w:ascii="Consolas" w:hAnsi="Consolas"/>
          <w:sz w:val="21"/>
        </w:rPr>
        <w:t>cad/core_map.csv</w:t>
      </w:r>
      <w:r>
        <w:rPr>
          <w:rFonts w:ascii="Arial" w:hAnsi="Arial"/>
        </w:rPr>
        <w:t>).</w:t>
      </w:r>
    </w:p>
    <w:p>
      <w:pPr>
        <w:jc w:val="both"/>
      </w:pPr>
      <w:r>
        <w:rPr>
          <w:rFonts w:ascii="Arial" w:hAnsi="Arial"/>
        </w:rPr>
        <w:t>*(Samira)*</w:t>
      </w:r>
    </w:p>
    <w:p>
      <w:pPr>
        <w:pStyle w:val="ListNumber"/>
        <w:jc w:val="both"/>
      </w:pPr>
      <w:r>
        <w:rPr>
          <w:rFonts w:ascii="Arial" w:hAnsi="Arial"/>
          <w:b/>
        </w:rPr>
        <w:t>Fresh heavy-metal loading</w:t>
      </w:r>
      <w:r>
        <w:rPr>
          <w:rFonts w:ascii="Arial" w:hAnsi="Arial"/>
        </w:rPr>
        <w:t xml:space="preserve"> — confirm exact value via OpenMC </w:t>
      </w:r>
      <w:r>
        <w:rPr>
          <w:rFonts w:ascii="Consolas" w:hAnsi="Consolas"/>
          <w:sz w:val="21"/>
        </w:rPr>
        <w:t>--step 0</w:t>
      </w:r>
      <w:r>
        <w:rPr>
          <w:rFonts w:ascii="Arial" w:hAnsi="Arial"/>
        </w:rPr>
        <w:t xml:space="preserve"> (§8.1.3). *(Samira)*</w:t>
      </w:r>
    </w:p>
    <w:p>
      <w:pPr>
        <w:pStyle w:val="ListNumber"/>
        <w:jc w:val="both"/>
      </w:pPr>
      <w:r>
        <w:rPr>
          <w:rFonts w:ascii="Arial" w:hAnsi="Arial"/>
          <w:b/>
        </w:rPr>
        <w:t>Primary pressure &amp; core ΔT</w:t>
      </w:r>
      <w:r>
        <w:rPr>
          <w:rFonts w:ascii="Arial" w:hAnsi="Arial"/>
        </w:rPr>
        <w:t xml:space="preserve"> — lock against the §8.4 steady-state T-H model. *(Adilbek)*</w:t>
      </w:r>
    </w:p>
    <w:p>
      <w:pPr>
        <w:pStyle w:val="ListNumber"/>
        <w:jc w:val="both"/>
      </w:pPr>
      <w:r>
        <w:rPr>
          <w:rFonts w:ascii="Arial" w:hAnsi="Arial"/>
          <w:b/>
        </w:rPr>
        <w:t>Control-rod absorber material</w:t>
      </w:r>
      <w:r>
        <w:rPr>
          <w:rFonts w:ascii="Arial" w:hAnsi="Arial"/>
        </w:rPr>
        <w:t xml:space="preserve"> — confirm B₄C / Hf selection. *(Azamkhon, §8.5/§8.6)*</w:t>
      </w:r>
    </w:p>
    <w:p>
      <w:pPr>
        <w:pStyle w:val="ListNumber"/>
        <w:jc w:val="both"/>
      </w:pPr>
      <w:r>
        <w:rPr>
          <w:rFonts w:ascii="Arial" w:hAnsi="Arial"/>
          <w:b/>
        </w:rPr>
        <w:t>Containment design pressure</w:t>
      </w:r>
      <w:r>
        <w:rPr>
          <w:rFonts w:ascii="Arial" w:hAnsi="Arial"/>
        </w:rPr>
        <w:t xml:space="preserve"> — set from containment accident analysis. *(Azamkhon, §8.5/§8.6)*</w:t>
      </w:r>
    </w:p>
    <w:p>
      <w:pPr>
        <w:pStyle w:val="ListNumber"/>
        <w:jc w:val="both"/>
      </w:pPr>
      <w:r>
        <w:rPr>
          <w:rFonts w:ascii="Arial" w:hAnsi="Arial"/>
          <w:b/>
        </w:rPr>
        <w:t>Safety-system counts / descriptions</w:t>
      </w:r>
      <w:r>
        <w:rPr>
          <w:rFonts w:ascii="Arial" w:hAnsi="Arial"/>
        </w:rPr>
        <w:t xml:space="preserve"> — confirm Table 8.1-4 against §8.5–§8.7, §8.10.</w:t>
      </w:r>
    </w:p>
    <w:p>
      <w:pPr>
        <w:jc w:val="both"/>
      </w:pPr>
      <w:r>
        <w:rPr>
          <w:rFonts w:ascii="Arial" w:hAnsi="Arial"/>
        </w:rPr>
        <w:t>*(Azamkhon)*</w:t>
      </w:r>
    </w:p>
    <w:p>
      <w:pPr>
        <w:pStyle w:val="ListNumber"/>
        <w:jc w:val="both"/>
      </w:pPr>
      <w:r>
        <w:rPr>
          <w:rFonts w:ascii="Arial" w:hAnsi="Arial"/>
          <w:b/>
        </w:rPr>
        <w:t>CDF / LRF</w:t>
      </w:r>
      <w:r>
        <w:rPr>
          <w:rFonts w:ascii="Arial" w:hAnsi="Arial"/>
        </w:rPr>
        <w:t xml:space="preserve"> — confirm framing as projected class targets, not computed PSA. *(safety)*</w:t>
      </w:r>
    </w:p>
    <w:p>
      <w:pPr>
        <w:pStyle w:val="ListNumber"/>
        <w:jc w:val="both"/>
      </w:pPr>
      <w:r>
        <w:rPr>
          <w:rFonts w:ascii="Arial" w:hAnsi="Arial"/>
          <w:b/>
        </w:rPr>
        <w:t>EPZ / SSE</w:t>
      </w:r>
      <w:r>
        <w:rPr>
          <w:rFonts w:ascii="Arial" w:hAnsi="Arial"/>
        </w:rPr>
        <w:t xml:space="preserve"> — close EPZ with the dose case; confirm SSE against candidate-site seismicity.</w:t>
      </w:r>
    </w:p>
    <w:p>
      <w:pPr>
        <w:jc w:val="both"/>
      </w:pPr>
      <w:r>
        <w:rPr>
          <w:rFonts w:ascii="Arial" w:hAnsi="Arial"/>
        </w:rPr>
        <w:t>*(site / safety)*</w:t>
      </w:r>
    </w:p>
    <w:p>
      <w:pPr>
        <w:pStyle w:val="ListNumber"/>
        <w:jc w:val="both"/>
      </w:pPr>
      <w:r>
        <w:rPr>
          <w:rFonts w:ascii="Arial" w:hAnsi="Arial"/>
          <w:b/>
        </w:rPr>
        <w:t>Capacity factor</w:t>
      </w:r>
      <w:r>
        <w:rPr>
          <w:rFonts w:ascii="Arial" w:hAnsi="Arial"/>
        </w:rPr>
        <w:t xml:space="preserve"> — reconcile the 95 % design target with the 0.90 used in §8.11. *(Samira)*</w:t>
      </w:r>
    </w:p>
    <w:p>
      <w:r>
        <w:br w:type="page"/>
      </w:r>
    </w:p>
    <w:p>
      <w:pPr>
        <w:jc w:val="both"/>
      </w:pPr>
      <w:r>
        <w:rPr>
          <w:rFonts w:ascii="Arial" w:hAnsi="Arial"/>
        </w:rPr>
        <w:t>---</w:t>
      </w:r>
    </w:p>
    <w:p>
      <w:pPr>
        <w:spacing w:before="200" w:after="80"/>
      </w:pPr>
      <w:r>
        <w:rPr>
          <w:rFonts w:ascii="Arial Black" w:hAnsi="Arial Black"/>
          <w:b/>
          <w:color w:val="1F4E79"/>
          <w:sz w:val="28"/>
        </w:rPr>
        <w:t>8.2 Core Design</w:t>
      </w:r>
    </w:p>
    <w:p>
      <w:pPr>
        <w:jc w:val="both"/>
      </w:pPr>
      <w:r>
        <w:rPr>
          <w:rFonts w:ascii="Arial" w:hAnsi="Arial"/>
        </w:rPr>
        <w:t>The Aegis-40 reactor core is the integral-PWR (iPWR) heat source for a 40 MWe / 125 MWth soluble-boron-free (SBF) modular plant. The core is a compact light-water-moderated, light-water-cooled lattice of 21 fuel assemblies (FAs) on a 17×17 square pin array, operated on a four-batch reload to an equilibrium cycle of ~16 months. The defining design choice — operation</w:t>
      </w:r>
    </w:p>
    <w:p>
      <w:pPr>
        <w:jc w:val="both"/>
      </w:pPr>
      <w:r>
        <w:rPr>
          <w:rFonts w:ascii="Arial" w:hAnsi="Arial"/>
          <w:b/>
        </w:rPr>
        <w:t>without soluble boron</w:t>
      </w:r>
      <w:r>
        <w:rPr>
          <w:rFonts w:ascii="Arial" w:hAnsi="Arial"/>
        </w:rPr>
        <w:t xml:space="preserve"> — removes the chemical-shim system and its dilution-accident pathway, but transfers all excess-reactivity hold-down to </w:t>
      </w:r>
      <w:r>
        <w:rPr>
          <w:rFonts w:ascii="Arial" w:hAnsi="Arial"/>
          <w:b/>
        </w:rPr>
        <w:t>solid burnable absorbers (Gd₂O₃ + Er₂O₃)</w:t>
      </w:r>
      <w:r>
        <w:rPr>
          <w:rFonts w:ascii="Arial" w:hAnsi="Arial"/>
        </w:rPr>
        <w:t xml:space="preserve"> and</w:t>
      </w:r>
    </w:p>
    <w:p>
      <w:pPr>
        <w:jc w:val="both"/>
      </w:pPr>
      <w:r>
        <w:rPr>
          <w:rFonts w:ascii="Arial" w:hAnsi="Arial"/>
          <w:b/>
        </w:rPr>
        <w:t>control-rod clusters</w:t>
      </w:r>
      <w:r>
        <w:rPr>
          <w:rFonts w:ascii="Arial" w:hAnsi="Arial"/>
        </w:rPr>
        <w:t>. The sections below present the material selection and its behaviour under irradiation and temperature, the core geometry and layout and the criteria behind it, and the neutronic analysis from beginning-of-cycle (BOC) toward the equilibrium cycle.</w:t>
      </w:r>
    </w:p>
    <w:tbl>
      <w:tblPr>
        <w:tblStyle w:val="TableGrid"/>
        <w:tblW w:type="auto" w:w="0"/>
        <w:jc w:val="center"/>
        <w:tblLook w:firstColumn="1" w:firstRow="1" w:lastColumn="0" w:lastRow="0" w:noHBand="0" w:noVBand="1" w:val="04A0"/>
      </w:tblPr>
      <w:tblGrid>
        <w:gridCol w:w="9406"/>
      </w:tblGrid>
      <w:tr>
        <w:tc>
          <w:tcPr>
            <w:tcW w:type="dxa" w:w="9406"/>
            <w:shd w:val="clear" w:fill="FFF3CD"/>
          </w:tcPr>
          <w:p>
            <w:r>
              <w:rPr>
                <w:b/>
                <w:color w:val="9C2712"/>
                <w:sz w:val="22"/>
              </w:rPr>
              <w:t>■ 3D TECH DRAWING TO INSERT</w:t>
            </w:r>
            <w:r>
              <w:rPr>
                <w:b/>
                <w:sz w:val="20"/>
              </w:rPr>
              <w:t xml:space="preserve">   (Figure 8.2-1)</w:t>
            </w:r>
          </w:p>
          <w:p>
            <w:r>
              <w:rPr>
                <w:rFonts w:ascii="Arial" w:hAnsi="Arial"/>
                <w:sz w:val="20"/>
              </w:rPr>
              <w:t>Core isometric / RPV cutaway (3D CAD, in preparation in Fusion 360 / Creo). Show the 21-FA array, core barrel, and reflector. Until the render is ready, the 2D core loading map (Figure 8.2-4) carries this.</w:t>
            </w:r>
          </w:p>
          <w:p>
            <w:r>
              <w:rPr>
                <w:i/>
                <w:color w:val="555555"/>
                <w:sz w:val="19"/>
              </w:rPr>
              <w:t>Suggested source: render aegis_rpv.step (or aegis_core_context.step) — quarter-cut isometric — in Creo.</w:t>
            </w:r>
          </w:p>
        </w:tc>
      </w:tr>
    </w:tbl>
    <w:p/>
    <w:p>
      <w:pPr>
        <w:spacing w:before="200" w:after="80"/>
      </w:pPr>
      <w:r>
        <w:rPr>
          <w:rFonts w:ascii="Arial Black" w:hAnsi="Arial Black"/>
          <w:b/>
          <w:color w:val="1F4E79"/>
          <w:sz w:val="25"/>
        </w:rPr>
        <w:t>8.2.1 Material Selection</w:t>
      </w:r>
    </w:p>
    <w:p>
      <w:pPr>
        <w:jc w:val="both"/>
      </w:pPr>
      <w:r>
        <w:rPr>
          <w:rFonts w:ascii="Arial" w:hAnsi="Arial"/>
        </w:rPr>
        <w:t>Material selection follows three criteria, in priority order: (i) neutronic suitability for an SBF high-burnup core, (ii) demonstrated in-pile performance and a qualified property database to ~50 GWd/MTU, and (iii) compatibility across the steady-state, transient (anticipated operational occurrence, AOO), and accident temperature ranges. The selections are summarised in Table 8.2-1.</w:t>
      </w:r>
    </w:p>
    <w:p>
      <w:pPr>
        <w:jc w:val="both"/>
      </w:pPr>
      <w:r>
        <w:rPr>
          <w:rFonts w:ascii="Arial" w:hAnsi="Arial"/>
          <w:b/>
        </w:rPr>
        <w:t>Table 8.2-1 — Core material selection and rationale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Core component</w:t>
            </w:r>
          </w:p>
        </w:tc>
        <w:tc>
          <w:tcPr>
            <w:tcW w:type="dxa" w:w="3135"/>
            <w:shd w:val="clear" w:fill="DDE3EA"/>
          </w:tcPr>
          <w:p>
            <w:r>
              <w:rPr>
                <w:rFonts w:ascii="Arial" w:hAnsi="Arial"/>
                <w:b/>
                <w:sz w:val="20"/>
              </w:rPr>
            </w:r>
            <w:r>
              <w:rPr>
                <w:rFonts w:ascii="Arial" w:hAnsi="Arial"/>
                <w:b/>
                <w:sz w:val="20"/>
              </w:rPr>
              <w:t>Material</w:t>
            </w:r>
          </w:p>
        </w:tc>
        <w:tc>
          <w:tcPr>
            <w:tcW w:type="dxa" w:w="3135"/>
            <w:shd w:val="clear" w:fill="DDE3EA"/>
          </w:tcPr>
          <w:p>
            <w:r>
              <w:rPr>
                <w:rFonts w:ascii="Arial" w:hAnsi="Arial"/>
                <w:b/>
                <w:sz w:val="20"/>
              </w:rPr>
            </w:r>
            <w:r>
              <w:rPr>
                <w:rFonts w:ascii="Arial" w:hAnsi="Arial"/>
                <w:b/>
                <w:sz w:val="20"/>
              </w:rPr>
              <w:t>Selection rationale</w:t>
            </w:r>
          </w:p>
        </w:tc>
      </w:tr>
      <w:tr>
        <w:tc>
          <w:tcPr>
            <w:tcW w:type="dxa" w:w="3135"/>
          </w:tcPr>
          <w:p>
            <w:r>
              <w:rPr>
                <w:rFonts w:ascii="Arial" w:hAnsi="Arial"/>
                <w:sz w:val="20"/>
              </w:rPr>
            </w:r>
            <w:r>
              <w:rPr>
                <w:rFonts w:ascii="Arial" w:hAnsi="Arial"/>
                <w:sz w:val="20"/>
              </w:rPr>
              <w:t>Fuel</w:t>
            </w:r>
          </w:p>
        </w:tc>
        <w:tc>
          <w:tcPr>
            <w:tcW w:type="dxa" w:w="3135"/>
          </w:tcPr>
          <w:p>
            <w:r>
              <w:rPr>
                <w:rFonts w:ascii="Arial" w:hAnsi="Arial"/>
                <w:sz w:val="20"/>
              </w:rPr>
            </w:r>
            <w:r>
              <w:rPr>
                <w:rFonts w:ascii="Arial" w:hAnsi="Arial"/>
                <w:sz w:val="20"/>
              </w:rPr>
              <w:t>UO₂, enriched 4.95 / 4.70 / 4.40 wt% ²³⁵U (radial zones)</w:t>
            </w:r>
          </w:p>
        </w:tc>
        <w:tc>
          <w:tcPr>
            <w:tcW w:type="dxa" w:w="3135"/>
          </w:tcPr>
          <w:p>
            <w:r>
              <w:rPr>
                <w:rFonts w:ascii="Arial" w:hAnsi="Arial"/>
                <w:sz w:val="20"/>
              </w:rPr>
            </w:r>
            <w:r>
              <w:rPr>
                <w:rFonts w:ascii="Arial" w:hAnsi="Arial"/>
                <w:sz w:val="20"/>
              </w:rPr>
              <w:t>Reference LWR fuel; highest qualification base; high melting point (~2840 °C); enrichment ≤ 5.0 wt% keeps within the commercial LEU licensing/fabrication envelope.</w:t>
            </w:r>
          </w:p>
        </w:tc>
      </w:tr>
      <w:tr>
        <w:tc>
          <w:tcPr>
            <w:tcW w:type="dxa" w:w="3135"/>
          </w:tcPr>
          <w:p>
            <w:r>
              <w:rPr>
                <w:rFonts w:ascii="Arial" w:hAnsi="Arial"/>
                <w:sz w:val="20"/>
              </w:rPr>
            </w:r>
            <w:r>
              <w:rPr>
                <w:rFonts w:ascii="Arial" w:hAnsi="Arial"/>
                <w:sz w:val="20"/>
              </w:rPr>
              <w:t>Cladding</w:t>
            </w:r>
          </w:p>
        </w:tc>
        <w:tc>
          <w:tcPr>
            <w:tcW w:type="dxa" w:w="3135"/>
          </w:tcPr>
          <w:p>
            <w:r>
              <w:rPr>
                <w:rFonts w:ascii="Arial" w:hAnsi="Arial"/>
                <w:sz w:val="20"/>
              </w:rPr>
            </w:r>
            <w:r>
              <w:rPr>
                <w:rFonts w:ascii="Arial" w:hAnsi="Arial"/>
                <w:sz w:val="20"/>
              </w:rPr>
              <w:t>Zircaloy-4 (Zr-4)</w:t>
            </w:r>
          </w:p>
        </w:tc>
        <w:tc>
          <w:tcPr>
            <w:tcW w:type="dxa" w:w="3135"/>
          </w:tcPr>
          <w:p>
            <w:r>
              <w:rPr>
                <w:rFonts w:ascii="Arial" w:hAnsi="Arial"/>
                <w:sz w:val="20"/>
              </w:rPr>
            </w:r>
            <w:r>
              <w:rPr>
                <w:rFonts w:ascii="Arial" w:hAnsi="Arial"/>
                <w:sz w:val="20"/>
              </w:rPr>
              <w:t>Low thermal-neutron absorption, qualified to high burnup, well-characterised corrosion/creep database; locked design choice.</w:t>
            </w:r>
          </w:p>
        </w:tc>
      </w:tr>
      <w:tr>
        <w:tc>
          <w:tcPr>
            <w:tcW w:type="dxa" w:w="3135"/>
          </w:tcPr>
          <w:p>
            <w:r>
              <w:rPr>
                <w:rFonts w:ascii="Arial" w:hAnsi="Arial"/>
                <w:sz w:val="20"/>
              </w:rPr>
            </w:r>
            <w:r>
              <w:rPr>
                <w:rFonts w:ascii="Arial" w:hAnsi="Arial"/>
                <w:sz w:val="20"/>
              </w:rPr>
              <w:t>Burnable absorber (primary)</w:t>
            </w:r>
          </w:p>
        </w:tc>
        <w:tc>
          <w:tcPr>
            <w:tcW w:type="dxa" w:w="3135"/>
          </w:tcPr>
          <w:p>
            <w:r>
              <w:rPr>
                <w:rFonts w:ascii="Arial" w:hAnsi="Arial"/>
                <w:sz w:val="20"/>
              </w:rPr>
            </w:r>
            <w:r>
              <w:rPr>
                <w:rFonts w:ascii="Arial" w:hAnsi="Arial"/>
                <w:sz w:val="20"/>
              </w:rPr>
              <w:t>Gd₂O₃ at 8 wt%, admixed in UO₂, radially zoned</w:t>
            </w:r>
          </w:p>
        </w:tc>
        <w:tc>
          <w:tcPr>
            <w:tcW w:type="dxa" w:w="3135"/>
          </w:tcPr>
          <w:p>
            <w:r>
              <w:rPr>
                <w:rFonts w:ascii="Arial" w:hAnsi="Arial"/>
                <w:sz w:val="20"/>
              </w:rPr>
            </w:r>
            <w:r>
              <w:rPr>
                <w:rFonts w:ascii="Arial" w:hAnsi="Arial"/>
                <w:sz w:val="20"/>
              </w:rPr>
              <w:t>Strong BOC hold-down (Gd-155/157); burns out by ~10 GWd/t; integral (no separate hardware) — the SBF excess-reactivity solution.</w:t>
            </w:r>
          </w:p>
        </w:tc>
      </w:tr>
      <w:tr>
        <w:tc>
          <w:tcPr>
            <w:tcW w:type="dxa" w:w="3135"/>
          </w:tcPr>
          <w:p>
            <w:r>
              <w:rPr>
                <w:rFonts w:ascii="Arial" w:hAnsi="Arial"/>
                <w:sz w:val="20"/>
              </w:rPr>
            </w:r>
            <w:r>
              <w:rPr>
                <w:rFonts w:ascii="Arial" w:hAnsi="Arial"/>
                <w:sz w:val="20"/>
              </w:rPr>
              <w:t>Burnable absorber (secondary)</w:t>
            </w:r>
          </w:p>
        </w:tc>
        <w:tc>
          <w:tcPr>
            <w:tcW w:type="dxa" w:w="3135"/>
          </w:tcPr>
          <w:p>
            <w:r>
              <w:rPr>
                <w:rFonts w:ascii="Arial" w:hAnsi="Arial"/>
                <w:sz w:val="20"/>
              </w:rPr>
            </w:r>
            <w:r>
              <w:rPr>
                <w:rFonts w:ascii="Arial" w:hAnsi="Arial"/>
                <w:sz w:val="20"/>
              </w:rPr>
              <w:t>Er₂O₃ at 0.5 wt%, admixed in UO₂</w:t>
            </w:r>
          </w:p>
        </w:tc>
        <w:tc>
          <w:tcPr>
            <w:tcW w:type="dxa" w:w="3135"/>
          </w:tcPr>
          <w:p>
            <w:r>
              <w:rPr>
                <w:rFonts w:ascii="Arial" w:hAnsi="Arial"/>
                <w:sz w:val="20"/>
              </w:rPr>
            </w:r>
            <w:r>
              <w:rPr>
                <w:rFonts w:ascii="Arial" w:hAnsi="Arial"/>
                <w:sz w:val="20"/>
              </w:rPr>
              <w:t>Slow-depleting "residual" hold-down that flattens reactivity through mid/late cycle and adds cold shutdown margin; the erbia-credit enabler of long SBF cycles.</w:t>
            </w:r>
          </w:p>
        </w:tc>
      </w:tr>
      <w:tr>
        <w:tc>
          <w:tcPr>
            <w:tcW w:type="dxa" w:w="3135"/>
          </w:tcPr>
          <w:p>
            <w:r>
              <w:rPr>
                <w:rFonts w:ascii="Arial" w:hAnsi="Arial"/>
                <w:sz w:val="20"/>
              </w:rPr>
            </w:r>
            <w:r>
              <w:rPr>
                <w:rFonts w:ascii="Arial" w:hAnsi="Arial"/>
                <w:sz w:val="20"/>
              </w:rPr>
              <w:t>Coolant / moderator</w:t>
            </w:r>
          </w:p>
        </w:tc>
        <w:tc>
          <w:tcPr>
            <w:tcW w:type="dxa" w:w="3135"/>
          </w:tcPr>
          <w:p>
            <w:r>
              <w:rPr>
                <w:rFonts w:ascii="Arial" w:hAnsi="Arial"/>
                <w:sz w:val="20"/>
              </w:rPr>
            </w:r>
            <w:r>
              <w:rPr>
                <w:rFonts w:ascii="Arial" w:hAnsi="Arial"/>
                <w:sz w:val="20"/>
              </w:rPr>
              <w:t>Light water (H₂O)</w:t>
            </w:r>
          </w:p>
        </w:tc>
        <w:tc>
          <w:tcPr>
            <w:tcW w:type="dxa" w:w="3135"/>
          </w:tcPr>
          <w:p>
            <w:r>
              <w:rPr>
                <w:rFonts w:ascii="Arial" w:hAnsi="Arial"/>
                <w:sz w:val="20"/>
              </w:rPr>
            </w:r>
            <w:r>
              <w:rPr>
                <w:rFonts w:ascii="Arial" w:hAnsi="Arial"/>
                <w:sz w:val="20"/>
              </w:rPr>
              <w:t>Reference PWR coolant and moderator; negative moderator temperature coefficient by design; self-regulating.</w:t>
            </w:r>
          </w:p>
        </w:tc>
      </w:tr>
      <w:tr>
        <w:tc>
          <w:tcPr>
            <w:tcW w:type="dxa" w:w="3135"/>
          </w:tcPr>
          <w:p>
            <w:r>
              <w:rPr>
                <w:rFonts w:ascii="Arial" w:hAnsi="Arial"/>
                <w:sz w:val="20"/>
              </w:rPr>
            </w:r>
            <w:r>
              <w:rPr>
                <w:rFonts w:ascii="Arial" w:hAnsi="Arial"/>
                <w:sz w:val="20"/>
              </w:rPr>
              <w:t>Reflector</w:t>
            </w:r>
          </w:p>
        </w:tc>
        <w:tc>
          <w:tcPr>
            <w:tcW w:type="dxa" w:w="3135"/>
          </w:tcPr>
          <w:p>
            <w:r>
              <w:rPr>
                <w:rFonts w:ascii="Arial" w:hAnsi="Arial"/>
                <w:sz w:val="20"/>
              </w:rPr>
            </w:r>
            <w:r>
              <w:rPr>
                <w:rFonts w:ascii="Arial" w:hAnsi="Arial"/>
                <w:sz w:val="20"/>
              </w:rPr>
              <w:t>Light water (radial 20 cm, axial 30 cm each end)</w:t>
            </w:r>
          </w:p>
        </w:tc>
        <w:tc>
          <w:tcPr>
            <w:tcW w:type="dxa" w:w="3135"/>
          </w:tcPr>
          <w:p>
            <w:r>
              <w:rPr>
                <w:rFonts w:ascii="Arial" w:hAnsi="Arial"/>
                <w:sz w:val="20"/>
              </w:rPr>
            </w:r>
            <w:r>
              <w:rPr>
                <w:rFonts w:ascii="Arial" w:hAnsi="Arial"/>
                <w:sz w:val="20"/>
              </w:rPr>
              <w:t>Returns leakage neutrons, flattens the power shape, and protects the barrel/vessel; no separate solid reflector required at this size.</w:t>
            </w:r>
          </w:p>
        </w:tc>
      </w:tr>
    </w:tbl>
    <w:p/>
    <w:p>
      <w:pPr>
        <w:jc w:val="both"/>
      </w:pPr>
      <w:r>
        <w:rPr>
          <w:rFonts w:ascii="Arial" w:hAnsi="Arial"/>
          <w:b/>
        </w:rPr>
        <w:t>Behaviour under irradiation and across the temperature range.</w:t>
      </w:r>
      <w:r>
        <w:rPr>
          <w:rFonts w:ascii="Arial" w:hAnsi="Arial"/>
        </w:rPr>
        <w:t xml:space="preserve"> The materials are demonstrably suitable across the operating envelope:</w:t>
      </w:r>
    </w:p>
    <w:p>
      <w:pPr>
        <w:pStyle w:val="ListBullet"/>
        <w:jc w:val="both"/>
      </w:pPr>
      <w:r>
        <w:rPr>
          <w:rFonts w:ascii="Arial" w:hAnsi="Arial"/>
          <w:b/>
        </w:rPr>
        <w:t>UO₂ fuel.</w:t>
      </w:r>
      <w:r>
        <w:rPr>
          <w:rFonts w:ascii="Arial" w:hAnsi="Arial"/>
        </w:rPr>
        <w:t xml:space="preserve"> Stable fluorite-structure ceramic with a high melting point (~2840 °C fresh, decreasing ~0.5 °C per GWd/t with burnup). Thermal conductivity degrades with both temperature and burnup (Lucuta/Halden correlations), which is bounded in §8.3 by the centerline-temperature analysis. At the Aegis-40 </w:t>
      </w:r>
      <w:r>
        <w:rPr>
          <w:rFonts w:ascii="Arial" w:hAnsi="Arial"/>
          <w:b/>
        </w:rPr>
        <w:t>low core specific power (~24 MW/tHM)</w:t>
      </w:r>
      <w:r>
        <w:rPr>
          <w:rFonts w:ascii="Arial" w:hAnsi="Arial"/>
        </w:rPr>
        <w:t xml:space="preserve"> the linear heat rates are modest (§8.3), so fuel temperatures stay far below melting in steady state and in the bounding AOO. Fission-gas release and pellet swelling are accommodated by the as-built dish/chamfer and the gas plenum (§8.3).</w:t>
      </w:r>
    </w:p>
    <w:p>
      <w:pPr>
        <w:pStyle w:val="ListBullet"/>
        <w:jc w:val="both"/>
      </w:pPr>
      <w:r>
        <w:rPr>
          <w:rFonts w:ascii="Arial" w:hAnsi="Arial"/>
          <w:b/>
        </w:rPr>
        <w:t>Gd₂O₃ / Er₂O₃ absorbers.</w:t>
      </w:r>
      <w:r>
        <w:rPr>
          <w:rFonts w:ascii="Arial" w:hAnsi="Arial"/>
        </w:rPr>
        <w:t xml:space="preserve"> Admixed in the UO₂ matrix; their only "transient" behaviour is intended burn-out, which is the reactivity-management mechanism itself (§8.2.3). The 8 wt% Gd loading is within qualified gadolinia-fuel practice; the small (≤1 wt%) reduction in local melting margin from gadolinia is bounded because Gd rods sit in the lower-power interior of the zoning map.</w:t>
      </w:r>
    </w:p>
    <w:p>
      <w:pPr>
        <w:pStyle w:val="ListBullet"/>
        <w:jc w:val="both"/>
      </w:pPr>
      <w:r>
        <w:rPr>
          <w:rFonts w:ascii="Arial" w:hAnsi="Arial"/>
          <w:b/>
        </w:rPr>
        <w:t>Zircaloy-4 cladding.</w:t>
      </w:r>
      <w:r>
        <w:rPr>
          <w:rFonts w:ascii="Arial" w:hAnsi="Arial"/>
        </w:rPr>
        <w:t xml:space="preserve"> Low thermal-neutron absorption with a property database qualified to high burnup; all clad damage mechanisms are bounded by the moderate </w:t>
      </w:r>
      <w:r>
        <w:rPr>
          <w:rFonts w:ascii="Arial" w:hAnsi="Arial"/>
          <w:b/>
        </w:rPr>
        <w:t>42.8 GWd/MTU</w:t>
      </w:r>
      <w:r>
        <w:rPr>
          <w:rFonts w:ascii="Arial" w:hAnsi="Arial"/>
        </w:rPr>
        <w:t xml:space="preserve"> discharge burnup (below the 62 GWd/MTU rod-average Zr-4 ceiling) and are quantified in §8.3.4. Accident heat-up behaviour (oxidation, ballooning, the 1204 °C peak-clad-temperature limit) underlies the §8.5 LOCA criteria.</w:t>
      </w:r>
    </w:p>
    <w:p>
      <w:pPr>
        <w:pStyle w:val="ListBullet"/>
        <w:jc w:val="both"/>
      </w:pPr>
      <w:r>
        <w:rPr>
          <w:rFonts w:ascii="Arial" w:hAnsi="Arial"/>
          <w:b/>
        </w:rPr>
        <w:t>Light water.</w:t>
      </w:r>
      <w:r>
        <w:rPr>
          <w:rFonts w:ascii="Arial" w:hAnsi="Arial"/>
        </w:rPr>
        <w:t xml:space="preserve"> Reference behaviour; the strongly negative moderator and void coefficients (Table 8.2-3) make the coolant a passive stabiliser under power and temperature excursions.</w:t>
      </w:r>
    </w:p>
    <w:p>
      <w:pPr>
        <w:jc w:val="center"/>
      </w:pPr>
      <w:r>
        <w:drawing>
          <wp:inline xmlns:a="http://schemas.openxmlformats.org/drawingml/2006/main" xmlns:pic="http://schemas.openxmlformats.org/drawingml/2006/picture">
            <wp:extent cx="5486400" cy="4094897"/>
            <wp:docPr id="1" name="Picture 1"/>
            <wp:cNvGraphicFramePr>
              <a:graphicFrameLocks noChangeAspect="1"/>
            </wp:cNvGraphicFramePr>
            <a:graphic>
              <a:graphicData uri="http://schemas.openxmlformats.org/drawingml/2006/picture">
                <pic:pic>
                  <pic:nvPicPr>
                    <pic:cNvPr id="0" name="end_plug_detail.png"/>
                    <pic:cNvPicPr/>
                  </pic:nvPicPr>
                  <pic:blipFill>
                    <a:blip r:embed="rId9"/>
                    <a:stretch>
                      <a:fillRect/>
                    </a:stretch>
                  </pic:blipFill>
                  <pic:spPr>
                    <a:xfrm>
                      <a:off x="0" y="0"/>
                      <a:ext cx="5486400" cy="4094897"/>
                    </a:xfrm>
                    <a:prstGeom prst="rect"/>
                  </pic:spPr>
                </pic:pic>
              </a:graphicData>
            </a:graphic>
          </wp:inline>
        </w:drawing>
      </w:r>
    </w:p>
    <w:p>
      <w:pPr>
        <w:jc w:val="center"/>
      </w:pPr>
      <w:r>
        <w:rPr>
          <w:i/>
          <w:color w:val="555555"/>
          <w:sz w:val="19"/>
        </w:rPr>
        <w:t>Figure 8.2-2 — Sectioned fuel-rod cutaway (pellet / gap / Zr-4 clad / end plugs / plenum)</w:t>
      </w:r>
    </w:p>
    <w:p>
      <w:pPr>
        <w:spacing w:before="200" w:after="80"/>
      </w:pPr>
      <w:r>
        <w:rPr>
          <w:rFonts w:ascii="Arial Black" w:hAnsi="Arial Black"/>
          <w:b/>
          <w:color w:val="1F4E79"/>
          <w:sz w:val="25"/>
        </w:rPr>
        <w:t>8.2.2 Geometry and Layout</w:t>
      </w:r>
    </w:p>
    <w:p>
      <w:pPr>
        <w:jc w:val="both"/>
      </w:pPr>
      <w:r>
        <w:rPr>
          <w:rFonts w:ascii="Arial" w:hAnsi="Arial"/>
        </w:rPr>
        <w:t xml:space="preserve">The core geometry is the standard Westinghouse-type 17×17 lattice, sized down to 21 assemblies for the 125 MWth rating. Choosing a </w:t>
      </w:r>
      <w:r>
        <w:rPr>
          <w:rFonts w:ascii="Arial" w:hAnsi="Arial"/>
          <w:b/>
        </w:rPr>
        <w:t>qualified 17×17 geometry</w:t>
      </w:r>
      <w:r>
        <w:rPr>
          <w:rFonts w:ascii="Arial" w:hAnsi="Arial"/>
        </w:rPr>
        <w:t xml:space="preserve"> (rather than a novel lattice) maximises the credibility of the borrowed fuel/clad property database and the thermal-hydraulic correlations, and concentrates the originality where it belongs — the boron-free reactivity scheme. Dimensions are taken directly from the as-built OpenMC geometry and are listed in Table 8.2-2.</w:t>
      </w:r>
    </w:p>
    <w:p>
      <w:pPr>
        <w:jc w:val="both"/>
      </w:pPr>
      <w:r>
        <w:rPr>
          <w:rFonts w:ascii="Arial" w:hAnsi="Arial"/>
          <w:b/>
        </w:rPr>
        <w:t>Table 8.2-2 — Core and fuel geometry (as-modeled, LOCKED)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Feature</w:t>
            </w:r>
          </w:p>
        </w:tc>
        <w:tc>
          <w:tcPr>
            <w:tcW w:type="dxa" w:w="3135"/>
            <w:shd w:val="clear" w:fill="DDE3EA"/>
          </w:tcPr>
          <w:p>
            <w:r>
              <w:rPr>
                <w:rFonts w:ascii="Arial" w:hAnsi="Arial"/>
                <w:b/>
                <w:sz w:val="20"/>
              </w:rPr>
            </w:r>
            <w:r>
              <w:rPr>
                <w:rFonts w:ascii="Arial" w:hAnsi="Arial"/>
                <w:b/>
                <w:sz w:val="20"/>
              </w:rPr>
              <w:t>Value</w:t>
            </w:r>
          </w:p>
        </w:tc>
        <w:tc>
          <w:tcPr>
            <w:tcW w:type="dxa" w:w="3135"/>
            <w:shd w:val="clear" w:fill="DDE3EA"/>
          </w:tcPr>
          <w:p>
            <w:r>
              <w:rPr>
                <w:rFonts w:ascii="Arial" w:hAnsi="Arial"/>
                <w:b/>
                <w:sz w:val="20"/>
              </w:rPr>
            </w:r>
            <w:r>
              <w:rPr>
                <w:rFonts w:ascii="Arial" w:hAnsi="Arial"/>
                <w:b/>
                <w:sz w:val="20"/>
              </w:rPr>
              <w:t>Note</w:t>
            </w:r>
          </w:p>
        </w:tc>
      </w:tr>
      <w:tr>
        <w:tc>
          <w:tcPr>
            <w:tcW w:type="dxa" w:w="3135"/>
          </w:tcPr>
          <w:p>
            <w:r>
              <w:rPr>
                <w:rFonts w:ascii="Arial" w:hAnsi="Arial"/>
                <w:sz w:val="20"/>
              </w:rPr>
            </w:r>
            <w:r>
              <w:rPr>
                <w:rFonts w:ascii="Arial" w:hAnsi="Arial"/>
                <w:sz w:val="20"/>
              </w:rPr>
              <w:t>Lattice</w:t>
            </w:r>
          </w:p>
        </w:tc>
        <w:tc>
          <w:tcPr>
            <w:tcW w:type="dxa" w:w="3135"/>
          </w:tcPr>
          <w:p>
            <w:r>
              <w:rPr>
                <w:rFonts w:ascii="Arial" w:hAnsi="Arial"/>
                <w:sz w:val="20"/>
              </w:rPr>
            </w:r>
            <w:r>
              <w:rPr>
                <w:rFonts w:ascii="Arial" w:hAnsi="Arial"/>
                <w:sz w:val="20"/>
              </w:rPr>
              <w:t>17 × 17 square, 289 positions/FA</w:t>
            </w:r>
          </w:p>
        </w:tc>
        <w:tc>
          <w:tcPr>
            <w:tcW w:type="dxa" w:w="3135"/>
          </w:tcPr>
          <w:p>
            <w:r>
              <w:rPr>
                <w:rFonts w:ascii="Arial" w:hAnsi="Arial"/>
                <w:sz w:val="20"/>
              </w:rPr>
            </w:r>
            <w:r>
              <w:rPr>
                <w:rFonts w:ascii="Arial" w:hAnsi="Arial"/>
                <w:sz w:val="20"/>
              </w:rPr>
              <w:t>264 fuel + 24 guide + 1 instrument</w:t>
            </w:r>
          </w:p>
        </w:tc>
      </w:tr>
      <w:tr>
        <w:tc>
          <w:tcPr>
            <w:tcW w:type="dxa" w:w="3135"/>
          </w:tcPr>
          <w:p>
            <w:r>
              <w:rPr>
                <w:rFonts w:ascii="Arial" w:hAnsi="Arial"/>
                <w:sz w:val="20"/>
              </w:rPr>
            </w:r>
            <w:r>
              <w:rPr>
                <w:rFonts w:ascii="Arial" w:hAnsi="Arial"/>
                <w:sz w:val="20"/>
              </w:rPr>
              <w:t>Fuel pellet diameter</w:t>
            </w:r>
          </w:p>
        </w:tc>
        <w:tc>
          <w:tcPr>
            <w:tcW w:type="dxa" w:w="3135"/>
          </w:tcPr>
          <w:p>
            <w:r>
              <w:rPr>
                <w:rFonts w:ascii="Arial" w:hAnsi="Arial"/>
                <w:sz w:val="20"/>
              </w:rPr>
            </w:r>
            <w:r>
              <w:rPr>
                <w:rFonts w:ascii="Arial" w:hAnsi="Arial"/>
                <w:sz w:val="20"/>
              </w:rPr>
              <w:t>8.192 mm</w:t>
            </w:r>
          </w:p>
        </w:tc>
        <w:tc>
          <w:tcPr>
            <w:tcW w:type="dxa" w:w="3135"/>
          </w:tcPr>
          <w:p>
            <w:r>
              <w:rPr>
                <w:sz w:val="20"/>
              </w:rPr>
            </w:r>
          </w:p>
        </w:tc>
      </w:tr>
      <w:tr>
        <w:tc>
          <w:tcPr>
            <w:tcW w:type="dxa" w:w="3135"/>
          </w:tcPr>
          <w:p>
            <w:r>
              <w:rPr>
                <w:rFonts w:ascii="Arial" w:hAnsi="Arial"/>
                <w:sz w:val="20"/>
              </w:rPr>
            </w:r>
            <w:r>
              <w:rPr>
                <w:rFonts w:ascii="Arial" w:hAnsi="Arial"/>
                <w:sz w:val="20"/>
              </w:rPr>
              <w:t>Pellet–clad radial gap</w:t>
            </w:r>
          </w:p>
        </w:tc>
        <w:tc>
          <w:tcPr>
            <w:tcW w:type="dxa" w:w="3135"/>
          </w:tcPr>
          <w:p>
            <w:r>
              <w:rPr>
                <w:rFonts w:ascii="Arial" w:hAnsi="Arial"/>
                <w:sz w:val="20"/>
              </w:rPr>
            </w:r>
            <w:r>
              <w:rPr>
                <w:rFonts w:ascii="Arial" w:hAnsi="Arial"/>
                <w:sz w:val="20"/>
              </w:rPr>
              <w:t>0.0915 mm</w:t>
            </w:r>
          </w:p>
        </w:tc>
        <w:tc>
          <w:tcPr>
            <w:tcW w:type="dxa" w:w="3135"/>
          </w:tcPr>
          <w:p>
            <w:r>
              <w:rPr>
                <w:sz w:val="20"/>
              </w:rPr>
            </w:r>
          </w:p>
        </w:tc>
      </w:tr>
      <w:tr>
        <w:tc>
          <w:tcPr>
            <w:tcW w:type="dxa" w:w="3135"/>
          </w:tcPr>
          <w:p>
            <w:r>
              <w:rPr>
                <w:rFonts w:ascii="Arial" w:hAnsi="Arial"/>
                <w:sz w:val="20"/>
              </w:rPr>
            </w:r>
            <w:r>
              <w:rPr>
                <w:rFonts w:ascii="Arial" w:hAnsi="Arial"/>
                <w:sz w:val="20"/>
              </w:rPr>
              <w:t>Cladding OD / ID</w:t>
            </w:r>
          </w:p>
        </w:tc>
        <w:tc>
          <w:tcPr>
            <w:tcW w:type="dxa" w:w="3135"/>
          </w:tcPr>
          <w:p>
            <w:r>
              <w:rPr>
                <w:rFonts w:ascii="Arial" w:hAnsi="Arial"/>
                <w:sz w:val="20"/>
              </w:rPr>
            </w:r>
            <w:r>
              <w:rPr>
                <w:rFonts w:ascii="Arial" w:hAnsi="Arial"/>
                <w:sz w:val="20"/>
              </w:rPr>
              <w:t>9.520 / 8.375 mm (0.573 mm wall)</w:t>
            </w:r>
          </w:p>
        </w:tc>
        <w:tc>
          <w:tcPr>
            <w:tcW w:type="dxa" w:w="3135"/>
          </w:tcPr>
          <w:p>
            <w:r>
              <w:rPr>
                <w:rFonts w:ascii="Arial" w:hAnsi="Arial"/>
                <w:sz w:val="20"/>
              </w:rPr>
            </w:r>
            <w:r>
              <w:rPr>
                <w:rFonts w:ascii="Arial" w:hAnsi="Arial"/>
                <w:sz w:val="20"/>
              </w:rPr>
              <w:t>Zr-4</w:t>
            </w:r>
          </w:p>
        </w:tc>
      </w:tr>
      <w:tr>
        <w:tc>
          <w:tcPr>
            <w:tcW w:type="dxa" w:w="3135"/>
          </w:tcPr>
          <w:p>
            <w:r>
              <w:rPr>
                <w:rFonts w:ascii="Arial" w:hAnsi="Arial"/>
                <w:sz w:val="20"/>
              </w:rPr>
            </w:r>
            <w:r>
              <w:rPr>
                <w:rFonts w:ascii="Arial" w:hAnsi="Arial"/>
                <w:sz w:val="20"/>
              </w:rPr>
              <w:t>Pin pitch</w:t>
            </w:r>
          </w:p>
        </w:tc>
        <w:tc>
          <w:tcPr>
            <w:tcW w:type="dxa" w:w="3135"/>
          </w:tcPr>
          <w:p>
            <w:r>
              <w:rPr>
                <w:rFonts w:ascii="Arial" w:hAnsi="Arial"/>
                <w:sz w:val="20"/>
              </w:rPr>
            </w:r>
            <w:r>
              <w:rPr>
                <w:rFonts w:ascii="Arial" w:hAnsi="Arial"/>
                <w:sz w:val="20"/>
              </w:rPr>
              <w:t>12.623 mm</w:t>
            </w:r>
          </w:p>
        </w:tc>
        <w:tc>
          <w:tcPr>
            <w:tcW w:type="dxa" w:w="3135"/>
          </w:tcPr>
          <w:p>
            <w:r>
              <w:rPr>
                <w:sz w:val="20"/>
              </w:rPr>
            </w:r>
          </w:p>
        </w:tc>
      </w:tr>
      <w:tr>
        <w:tc>
          <w:tcPr>
            <w:tcW w:type="dxa" w:w="3135"/>
          </w:tcPr>
          <w:p>
            <w:r>
              <w:rPr>
                <w:rFonts w:ascii="Arial" w:hAnsi="Arial"/>
                <w:sz w:val="20"/>
              </w:rPr>
            </w:r>
            <w:r>
              <w:rPr>
                <w:rFonts w:ascii="Arial" w:hAnsi="Arial"/>
                <w:sz w:val="20"/>
              </w:rPr>
              <w:t>Active fuel height</w:t>
            </w:r>
          </w:p>
        </w:tc>
        <w:tc>
          <w:tcPr>
            <w:tcW w:type="dxa" w:w="3135"/>
          </w:tcPr>
          <w:p>
            <w:r>
              <w:rPr>
                <w:rFonts w:ascii="Arial" w:hAnsi="Arial"/>
                <w:sz w:val="20"/>
              </w:rPr>
            </w:r>
            <w:r>
              <w:rPr>
                <w:rFonts w:ascii="Arial" w:hAnsi="Arial"/>
                <w:sz w:val="20"/>
              </w:rPr>
              <w:t>2000 mm</w:t>
            </w:r>
          </w:p>
        </w:tc>
        <w:tc>
          <w:tcPr>
            <w:tcW w:type="dxa" w:w="3135"/>
          </w:tcPr>
          <w:p>
            <w:r>
              <w:rPr>
                <w:rFonts w:ascii="Arial" w:hAnsi="Arial"/>
                <w:sz w:val="20"/>
              </w:rPr>
            </w:r>
            <w:r>
              <w:rPr>
                <w:rFonts w:ascii="Arial" w:hAnsi="Arial"/>
                <w:sz w:val="20"/>
              </w:rPr>
              <w:t>+ 300 mm H₂O axial reflector each end</w:t>
            </w:r>
          </w:p>
        </w:tc>
      </w:tr>
      <w:tr>
        <w:tc>
          <w:tcPr>
            <w:tcW w:type="dxa" w:w="3135"/>
          </w:tcPr>
          <w:p>
            <w:r>
              <w:rPr>
                <w:rFonts w:ascii="Arial" w:hAnsi="Arial"/>
                <w:sz w:val="20"/>
              </w:rPr>
            </w:r>
            <w:r>
              <w:rPr>
                <w:rFonts w:ascii="Arial" w:hAnsi="Arial"/>
                <w:sz w:val="20"/>
              </w:rPr>
              <w:t>Guide / instrument tube OD / ID</w:t>
            </w:r>
          </w:p>
        </w:tc>
        <w:tc>
          <w:tcPr>
            <w:tcW w:type="dxa" w:w="3135"/>
          </w:tcPr>
          <w:p>
            <w:r>
              <w:rPr>
                <w:rFonts w:ascii="Arial" w:hAnsi="Arial"/>
                <w:sz w:val="20"/>
              </w:rPr>
            </w:r>
            <w:r>
              <w:rPr>
                <w:rFonts w:ascii="Arial" w:hAnsi="Arial"/>
                <w:sz w:val="20"/>
              </w:rPr>
              <w:t>12.040 / 11.248 mm</w:t>
            </w:r>
          </w:p>
        </w:tc>
        <w:tc>
          <w:tcPr>
            <w:tcW w:type="dxa" w:w="3135"/>
          </w:tcPr>
          <w:p>
            <w:r>
              <w:rPr>
                <w:rFonts w:ascii="Arial" w:hAnsi="Arial"/>
                <w:sz w:val="20"/>
              </w:rPr>
            </w:r>
            <w:r>
              <w:rPr>
                <w:rFonts w:ascii="Arial" w:hAnsi="Arial"/>
                <w:sz w:val="20"/>
              </w:rPr>
              <w:t>control-rod &amp; in-core channels</w:t>
            </w:r>
          </w:p>
        </w:tc>
      </w:tr>
      <w:tr>
        <w:tc>
          <w:tcPr>
            <w:tcW w:type="dxa" w:w="3135"/>
          </w:tcPr>
          <w:p>
            <w:r>
              <w:rPr>
                <w:rFonts w:ascii="Arial" w:hAnsi="Arial"/>
                <w:sz w:val="20"/>
              </w:rPr>
            </w:r>
            <w:r>
              <w:rPr>
                <w:rFonts w:ascii="Arial" w:hAnsi="Arial"/>
                <w:sz w:val="20"/>
              </w:rPr>
              <w:t>Assembly pitch (in core)</w:t>
            </w:r>
          </w:p>
        </w:tc>
        <w:tc>
          <w:tcPr>
            <w:tcW w:type="dxa" w:w="3135"/>
          </w:tcPr>
          <w:p>
            <w:r>
              <w:rPr>
                <w:rFonts w:ascii="Arial" w:hAnsi="Arial"/>
                <w:sz w:val="20"/>
              </w:rPr>
            </w:r>
            <w:r>
              <w:rPr>
                <w:rFonts w:ascii="Arial" w:hAnsi="Arial"/>
                <w:sz w:val="20"/>
              </w:rPr>
              <w:t>216.038 mm</w:t>
            </w:r>
          </w:p>
        </w:tc>
        <w:tc>
          <w:tcPr>
            <w:tcW w:type="dxa" w:w="3135"/>
          </w:tcPr>
          <w:p>
            <w:r>
              <w:rPr>
                <w:rFonts w:ascii="Arial" w:hAnsi="Arial"/>
                <w:sz w:val="20"/>
              </w:rPr>
            </w:r>
            <w:r>
              <w:rPr>
                <w:rFonts w:ascii="Arial" w:hAnsi="Arial"/>
                <w:sz w:val="20"/>
              </w:rPr>
              <w:t>inter-assembly water gap ≈ 1.45 mm</w:t>
            </w:r>
          </w:p>
        </w:tc>
      </w:tr>
      <w:tr>
        <w:tc>
          <w:tcPr>
            <w:tcW w:type="dxa" w:w="3135"/>
          </w:tcPr>
          <w:p>
            <w:r>
              <w:rPr>
                <w:rFonts w:ascii="Arial" w:hAnsi="Arial"/>
                <w:sz w:val="20"/>
              </w:rPr>
            </w:r>
            <w:r>
              <w:rPr>
                <w:rFonts w:ascii="Arial" w:hAnsi="Arial"/>
                <w:sz w:val="20"/>
              </w:rPr>
              <w:t>Number of assemblies</w:t>
            </w:r>
          </w:p>
        </w:tc>
        <w:tc>
          <w:tcPr>
            <w:tcW w:type="dxa" w:w="3135"/>
          </w:tcPr>
          <w:p>
            <w:r>
              <w:rPr>
                <w:rFonts w:ascii="Arial" w:hAnsi="Arial"/>
                <w:sz w:val="20"/>
              </w:rPr>
            </w:r>
            <w:r>
              <w:rPr>
                <w:rFonts w:ascii="Arial" w:hAnsi="Arial"/>
                <w:sz w:val="20"/>
              </w:rPr>
              <w:t>21 (5×5 lattice, 4 corners removed)</w:t>
            </w:r>
          </w:p>
        </w:tc>
        <w:tc>
          <w:tcPr>
            <w:tcW w:type="dxa" w:w="3135"/>
          </w:tcPr>
          <w:p>
            <w:r>
              <w:rPr>
                <w:sz w:val="20"/>
              </w:rPr>
            </w:r>
          </w:p>
        </w:tc>
      </w:tr>
      <w:tr>
        <w:tc>
          <w:tcPr>
            <w:tcW w:type="dxa" w:w="3135"/>
          </w:tcPr>
          <w:p>
            <w:r>
              <w:rPr>
                <w:rFonts w:ascii="Arial" w:hAnsi="Arial"/>
                <w:sz w:val="20"/>
              </w:rPr>
            </w:r>
            <w:r>
              <w:rPr>
                <w:rFonts w:ascii="Arial" w:hAnsi="Arial"/>
                <w:sz w:val="20"/>
              </w:rPr>
              <w:t>Equivalent core diameter</w:t>
            </w:r>
          </w:p>
        </w:tc>
        <w:tc>
          <w:tcPr>
            <w:tcW w:type="dxa" w:w="3135"/>
          </w:tcPr>
          <w:p>
            <w:r>
              <w:rPr>
                <w:rFonts w:ascii="Arial" w:hAnsi="Arial"/>
                <w:sz w:val="20"/>
              </w:rPr>
            </w:r>
            <w:r>
              <w:rPr>
                <w:rFonts w:ascii="Arial" w:hAnsi="Arial"/>
                <w:sz w:val="20"/>
              </w:rPr>
              <w:t>≈ 1117 mm</w:t>
            </w:r>
          </w:p>
        </w:tc>
        <w:tc>
          <w:tcPr>
            <w:tcW w:type="dxa" w:w="3135"/>
          </w:tcPr>
          <w:p>
            <w:r>
              <w:rPr>
                <w:sz w:val="20"/>
              </w:rPr>
            </w:r>
          </w:p>
        </w:tc>
      </w:tr>
      <w:tr>
        <w:tc>
          <w:tcPr>
            <w:tcW w:type="dxa" w:w="3135"/>
          </w:tcPr>
          <w:p>
            <w:r>
              <w:rPr>
                <w:rFonts w:ascii="Arial" w:hAnsi="Arial"/>
                <w:sz w:val="20"/>
              </w:rPr>
            </w:r>
            <w:r>
              <w:rPr>
                <w:rFonts w:ascii="Arial" w:hAnsi="Arial"/>
                <w:sz w:val="20"/>
              </w:rPr>
              <w:t>Radial / axial reflector</w:t>
            </w:r>
          </w:p>
        </w:tc>
        <w:tc>
          <w:tcPr>
            <w:tcW w:type="dxa" w:w="3135"/>
          </w:tcPr>
          <w:p>
            <w:r>
              <w:rPr>
                <w:rFonts w:ascii="Arial" w:hAnsi="Arial"/>
                <w:sz w:val="20"/>
              </w:rPr>
            </w:r>
            <w:r>
              <w:rPr>
                <w:rFonts w:ascii="Arial" w:hAnsi="Arial"/>
                <w:sz w:val="20"/>
              </w:rPr>
              <w:t>200 mm / 300 mm H₂O</w:t>
            </w:r>
          </w:p>
        </w:tc>
        <w:tc>
          <w:tcPr>
            <w:tcW w:type="dxa" w:w="3135"/>
          </w:tcPr>
          <w:p>
            <w:r>
              <w:rPr>
                <w:sz w:val="20"/>
              </w:rPr>
            </w:r>
          </w:p>
        </w:tc>
      </w:tr>
      <w:tr>
        <w:tc>
          <w:tcPr>
            <w:tcW w:type="dxa" w:w="3135"/>
          </w:tcPr>
          <w:p>
            <w:r>
              <w:rPr>
                <w:rFonts w:ascii="Arial" w:hAnsi="Arial"/>
                <w:sz w:val="20"/>
              </w:rPr>
            </w:r>
            <w:r>
              <w:rPr>
                <w:rFonts w:ascii="Arial" w:hAnsi="Arial"/>
                <w:sz w:val="20"/>
              </w:rPr>
              <w:t>Control-rod clusters</w:t>
            </w:r>
          </w:p>
        </w:tc>
        <w:tc>
          <w:tcPr>
            <w:tcW w:type="dxa" w:w="3135"/>
          </w:tcPr>
          <w:p>
            <w:r>
              <w:rPr>
                <w:rFonts w:ascii="Arial" w:hAnsi="Arial"/>
                <w:sz w:val="20"/>
              </w:rPr>
            </w:r>
            <w:r>
              <w:rPr>
                <w:rFonts w:ascii="Arial" w:hAnsi="Arial"/>
                <w:sz w:val="20"/>
              </w:rPr>
              <w:t>9</w:t>
            </w:r>
          </w:p>
        </w:tc>
        <w:tc>
          <w:tcPr>
            <w:tcW w:type="dxa" w:w="3135"/>
          </w:tcPr>
          <w:p>
            <w:r>
              <w:rPr>
                <w:rFonts w:ascii="Arial" w:hAnsi="Arial"/>
                <w:sz w:val="20"/>
              </w:rPr>
            </w:r>
            <w:r>
              <w:rPr>
                <w:rFonts w:ascii="Arial" w:hAnsi="Arial"/>
                <w:sz w:val="20"/>
              </w:rPr>
              <w:t>insert into guide tubes; 9 CRDMs</w:t>
            </w:r>
          </w:p>
        </w:tc>
      </w:tr>
      <w:tr>
        <w:tc>
          <w:tcPr>
            <w:tcW w:type="dxa" w:w="3135"/>
          </w:tcPr>
          <w:p>
            <w:r>
              <w:rPr>
                <w:rFonts w:ascii="Arial" w:hAnsi="Arial"/>
                <w:sz w:val="20"/>
              </w:rPr>
            </w:r>
            <w:r>
              <w:rPr>
                <w:rFonts w:ascii="Arial" w:hAnsi="Arial"/>
                <w:sz w:val="20"/>
              </w:rPr>
              <w:t>Heavy-metal loading</w:t>
            </w:r>
          </w:p>
        </w:tc>
        <w:tc>
          <w:tcPr>
            <w:tcW w:type="dxa" w:w="3135"/>
          </w:tcPr>
          <w:p>
            <w:r>
              <w:rPr>
                <w:rFonts w:ascii="Arial" w:hAnsi="Arial"/>
                <w:sz w:val="20"/>
              </w:rPr>
            </w:r>
            <w:r>
              <w:rPr>
                <w:rFonts w:ascii="Arial" w:hAnsi="Arial"/>
                <w:sz w:val="20"/>
              </w:rPr>
              <w:t>≈ 5.3 tHM</w:t>
            </w:r>
          </w:p>
        </w:tc>
        <w:tc>
          <w:tcPr>
            <w:tcW w:type="dxa" w:w="3135"/>
          </w:tcPr>
          <w:p>
            <w:r>
              <w:rPr>
                <w:sz w:val="20"/>
              </w:rPr>
            </w:r>
          </w:p>
        </w:tc>
      </w:tr>
    </w:tbl>
    <w:p/>
    <w:p>
      <w:pPr>
        <w:jc w:val="both"/>
      </w:pPr>
      <w:r>
        <w:rPr>
          <w:rFonts w:ascii="Arial" w:hAnsi="Arial"/>
          <w:b/>
        </w:rPr>
        <w:t>Fuel-element quantity and dimensions.</w:t>
      </w:r>
      <w:r>
        <w:rPr>
          <w:rFonts w:ascii="Arial" w:hAnsi="Arial"/>
        </w:rPr>
        <w:t xml:space="preserve"> The 264 fuel pins per FA, 2.0 m active height, and 21-FA count are set jointly by the power rating and the fuel-efficiency target: the resulting low specific power (~24 MW/tHM) is deliberate — it buys thermal-margin (low linear heat rate, §8.3) and supports the long SBF cycle needed for high discharge burnup with a four-batch scheme.</w:t>
      </w:r>
    </w:p>
    <w:p>
      <w:pPr>
        <w:jc w:val="both"/>
      </w:pPr>
      <w:r>
        <w:rPr>
          <w:rFonts w:ascii="Arial" w:hAnsi="Arial"/>
          <w:b/>
        </w:rPr>
        <w:t>Power-control systems.</w:t>
      </w:r>
      <w:r>
        <w:rPr>
          <w:rFonts w:ascii="Arial" w:hAnsi="Arial"/>
        </w:rPr>
        <w:t xml:space="preserve"> Reactivity is controlled by two integral mechanisms (no soluble boron):</w:t>
      </w:r>
    </w:p>
    <w:p>
      <w:pPr>
        <w:pStyle w:val="ListBullet"/>
        <w:jc w:val="both"/>
      </w:pPr>
      <w:r>
        <w:rPr>
          <w:rFonts w:ascii="Arial" w:hAnsi="Arial"/>
        </w:rPr>
        <w:t xml:space="preserve">*Burnable absorbers.* Gd₂O₃ (8 wt%) provides the dominant BOC hold-down and is </w:t>
      </w:r>
      <w:r>
        <w:rPr>
          <w:rFonts w:ascii="Arial" w:hAnsi="Arial"/>
          <w:b/>
        </w:rPr>
        <w:t>radially zoned</w:t>
      </w:r>
      <w:r>
        <w:rPr>
          <w:rFonts w:ascii="Arial" w:hAnsi="Arial"/>
        </w:rPr>
        <w:t xml:space="preserve"> — more Gd toward the core centre — to flatten the radial power shape (§8.2.3, Table 8.2-4). Er₂O₃ (0.5 wt%) provides slow residual hold-down and cold shutdown margin. Per-FA absorber counts by core ring are given in Table 8.2-4. The three FA "recipes" (centre / inner ring / outer ring) are shown in Figure 8.2-3.</w:t>
      </w:r>
    </w:p>
    <w:p>
      <w:pPr>
        <w:pStyle w:val="ListBullet"/>
        <w:jc w:val="both"/>
      </w:pPr>
      <w:r>
        <w:rPr>
          <w:rFonts w:ascii="Arial" w:hAnsi="Arial"/>
        </w:rPr>
        <w:t>*Control rods.* Nine control-rod clusters insert into the guide-tube channels, providing shutdown and operational control with a total worth of 15,226 pcm (Table 8.2-3).</w:t>
      </w:r>
    </w:p>
    <w:p>
      <w:pPr>
        <w:jc w:val="center"/>
      </w:pPr>
      <w:r>
        <w:drawing>
          <wp:inline xmlns:a="http://schemas.openxmlformats.org/drawingml/2006/main" xmlns:pic="http://schemas.openxmlformats.org/drawingml/2006/picture">
            <wp:extent cx="5486400" cy="2143709"/>
            <wp:docPr id="2" name="Picture 2"/>
            <wp:cNvGraphicFramePr>
              <a:graphicFrameLocks noChangeAspect="1"/>
            </wp:cNvGraphicFramePr>
            <a:graphic>
              <a:graphicData uri="http://schemas.openxmlformats.org/drawingml/2006/picture">
                <pic:pic>
                  <pic:nvPicPr>
                    <pic:cNvPr id="0" name="fa_pinmaps.png"/>
                    <pic:cNvPicPr/>
                  </pic:nvPicPr>
                  <pic:blipFill>
                    <a:blip r:embed="rId10"/>
                    <a:stretch>
                      <a:fillRect/>
                    </a:stretch>
                  </pic:blipFill>
                  <pic:spPr>
                    <a:xfrm>
                      <a:off x="0" y="0"/>
                      <a:ext cx="5486400" cy="2143709"/>
                    </a:xfrm>
                    <a:prstGeom prst="rect"/>
                  </pic:spPr>
                </pic:pic>
              </a:graphicData>
            </a:graphic>
          </wp:inline>
        </w:drawing>
      </w:r>
    </w:p>
    <w:p>
      <w:pPr>
        <w:jc w:val="center"/>
      </w:pPr>
      <w:r>
        <w:rPr>
          <w:i/>
          <w:color w:val="555555"/>
          <w:sz w:val="19"/>
        </w:rPr>
        <w:t>Figure 8.2-3 — Fuel-assembly pin maps for the three core recipes (centre / inner / outer ring), coloured by enrichment and by Gd/Er pin</w:t>
      </w:r>
    </w:p>
    <w:p>
      <w:pPr>
        <w:jc w:val="center"/>
      </w:pPr>
      <w:r>
        <w:drawing>
          <wp:inline xmlns:a="http://schemas.openxmlformats.org/drawingml/2006/main" xmlns:pic="http://schemas.openxmlformats.org/drawingml/2006/picture">
            <wp:extent cx="5486400" cy="5806594"/>
            <wp:docPr id="3" name="Picture 3"/>
            <wp:cNvGraphicFramePr>
              <a:graphicFrameLocks noChangeAspect="1"/>
            </wp:cNvGraphicFramePr>
            <a:graphic>
              <a:graphicData uri="http://schemas.openxmlformats.org/drawingml/2006/picture">
                <pic:pic>
                  <pic:nvPicPr>
                    <pic:cNvPr id="0" name="core_map.png"/>
                    <pic:cNvPicPr/>
                  </pic:nvPicPr>
                  <pic:blipFill>
                    <a:blip r:embed="rId11"/>
                    <a:stretch>
                      <a:fillRect/>
                    </a:stretch>
                  </pic:blipFill>
                  <pic:spPr>
                    <a:xfrm>
                      <a:off x="0" y="0"/>
                      <a:ext cx="5486400" cy="5806594"/>
                    </a:xfrm>
                    <a:prstGeom prst="rect"/>
                  </pic:spPr>
                </pic:pic>
              </a:graphicData>
            </a:graphic>
          </wp:inline>
        </w:drawing>
      </w:r>
    </w:p>
    <w:p>
      <w:pPr>
        <w:jc w:val="center"/>
      </w:pPr>
      <w:r>
        <w:rPr>
          <w:i/>
          <w:color w:val="555555"/>
          <w:sz w:val="19"/>
        </w:rPr>
        <w:t>Figure 8.2-4 — Core loading map, 21 FA on the 5×5-minus-corners lattice, coloured by ring (enrichment + Gd zoning)</w:t>
      </w:r>
    </w:p>
    <w:p>
      <w:pPr>
        <w:jc w:val="both"/>
      </w:pPr>
      <w:r>
        <w:rPr>
          <w:rFonts w:ascii="Arial" w:hAnsi="Arial"/>
          <w:b/>
        </w:rPr>
        <w:t>Table 8.2-4 — Burnable-absorber loading by core ring (radial Gd zoning)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fill="DDE3EA"/>
          </w:tcPr>
          <w:p>
            <w:r>
              <w:rPr>
                <w:rFonts w:ascii="Arial" w:hAnsi="Arial"/>
                <w:b/>
                <w:sz w:val="20"/>
              </w:rPr>
            </w:r>
            <w:r>
              <w:rPr>
                <w:rFonts w:ascii="Arial" w:hAnsi="Arial"/>
                <w:b/>
                <w:sz w:val="20"/>
              </w:rPr>
              <w:t>Core ring</w:t>
            </w:r>
          </w:p>
        </w:tc>
        <w:tc>
          <w:tcPr>
            <w:tcW w:type="dxa" w:w="1881"/>
            <w:shd w:val="clear" w:fill="DDE3EA"/>
          </w:tcPr>
          <w:p>
            <w:r>
              <w:rPr>
                <w:rFonts w:ascii="Arial" w:hAnsi="Arial"/>
                <w:b/>
                <w:sz w:val="20"/>
              </w:rPr>
            </w:r>
            <w:r>
              <w:rPr>
                <w:rFonts w:ascii="Arial" w:hAnsi="Arial"/>
                <w:b/>
                <w:sz w:val="20"/>
              </w:rPr>
              <w:t># of FAs</w:t>
            </w:r>
          </w:p>
        </w:tc>
        <w:tc>
          <w:tcPr>
            <w:tcW w:type="dxa" w:w="1881"/>
            <w:shd w:val="clear" w:fill="DDE3EA"/>
          </w:tcPr>
          <w:p>
            <w:r>
              <w:rPr>
                <w:rFonts w:ascii="Arial" w:hAnsi="Arial"/>
                <w:b/>
                <w:sz w:val="20"/>
              </w:rPr>
            </w:r>
            <w:r>
              <w:rPr>
                <w:rFonts w:ascii="Arial" w:hAnsi="Arial"/>
                <w:b/>
                <w:sz w:val="20"/>
              </w:rPr>
              <w:t>Gd₂O₃ rods / FA</w:t>
            </w:r>
          </w:p>
        </w:tc>
        <w:tc>
          <w:tcPr>
            <w:tcW w:type="dxa" w:w="1881"/>
            <w:shd w:val="clear" w:fill="DDE3EA"/>
          </w:tcPr>
          <w:p>
            <w:r>
              <w:rPr>
                <w:rFonts w:ascii="Arial" w:hAnsi="Arial"/>
                <w:b/>
                <w:sz w:val="20"/>
              </w:rPr>
            </w:r>
            <w:r>
              <w:rPr>
                <w:rFonts w:ascii="Arial" w:hAnsi="Arial"/>
                <w:b/>
                <w:sz w:val="20"/>
              </w:rPr>
              <w:t>Er₂O₃ rods / FA</w:t>
            </w:r>
          </w:p>
        </w:tc>
        <w:tc>
          <w:tcPr>
            <w:tcW w:type="dxa" w:w="1881"/>
            <w:shd w:val="clear" w:fill="DDE3EA"/>
          </w:tcPr>
          <w:p>
            <w:r>
              <w:rPr>
                <w:rFonts w:ascii="Arial" w:hAnsi="Arial"/>
                <w:b/>
                <w:sz w:val="20"/>
              </w:rPr>
            </w:r>
            <w:r>
              <w:rPr>
                <w:rFonts w:ascii="Arial" w:hAnsi="Arial"/>
                <w:b/>
                <w:sz w:val="20"/>
              </w:rPr>
              <w:t>Relative Gd density</w:t>
            </w:r>
          </w:p>
        </w:tc>
      </w:tr>
      <w:tr>
        <w:tc>
          <w:tcPr>
            <w:tcW w:type="dxa" w:w="1881"/>
          </w:tcPr>
          <w:p>
            <w:r>
              <w:rPr>
                <w:rFonts w:ascii="Arial" w:hAnsi="Arial"/>
                <w:sz w:val="20"/>
              </w:rPr>
            </w:r>
            <w:r>
              <w:rPr>
                <w:rFonts w:ascii="Arial" w:hAnsi="Arial"/>
                <w:sz w:val="20"/>
              </w:rPr>
              <w:t>Centre</w:t>
            </w:r>
          </w:p>
        </w:tc>
        <w:tc>
          <w:tcPr>
            <w:tcW w:type="dxa" w:w="1881"/>
          </w:tcPr>
          <w:p>
            <w:r>
              <w:rPr>
                <w:rFonts w:ascii="Arial" w:hAnsi="Arial"/>
                <w:sz w:val="20"/>
              </w:rPr>
            </w:r>
            <w:r>
              <w:rPr>
                <w:rFonts w:ascii="Arial" w:hAnsi="Arial"/>
                <w:sz w:val="20"/>
              </w:rPr>
              <w:t>1</w:t>
            </w:r>
          </w:p>
        </w:tc>
        <w:tc>
          <w:tcPr>
            <w:tcW w:type="dxa" w:w="1881"/>
          </w:tcPr>
          <w:p>
            <w:r>
              <w:rPr>
                <w:rFonts w:ascii="Arial" w:hAnsi="Arial"/>
                <w:sz w:val="20"/>
              </w:rPr>
            </w:r>
            <w:r>
              <w:rPr>
                <w:rFonts w:ascii="Arial" w:hAnsi="Arial"/>
                <w:sz w:val="20"/>
              </w:rPr>
              <w:t>48</w:t>
            </w:r>
          </w:p>
        </w:tc>
        <w:tc>
          <w:tcPr>
            <w:tcW w:type="dxa" w:w="1881"/>
          </w:tcPr>
          <w:p>
            <w:r>
              <w:rPr>
                <w:rFonts w:ascii="Arial" w:hAnsi="Arial"/>
                <w:sz w:val="20"/>
              </w:rPr>
            </w:r>
            <w:r>
              <w:rPr>
                <w:rFonts w:ascii="Arial" w:hAnsi="Arial"/>
                <w:sz w:val="20"/>
              </w:rPr>
              <w:t>16</w:t>
            </w:r>
          </w:p>
        </w:tc>
        <w:tc>
          <w:tcPr>
            <w:tcW w:type="dxa" w:w="1881"/>
          </w:tcPr>
          <w:p>
            <w:r>
              <w:rPr>
                <w:rFonts w:ascii="Arial" w:hAnsi="Arial"/>
                <w:sz w:val="20"/>
              </w:rPr>
            </w:r>
            <w:r>
              <w:rPr>
                <w:rFonts w:ascii="Arial" w:hAnsi="Arial"/>
                <w:sz w:val="20"/>
              </w:rPr>
              <w:t>1.50</w:t>
            </w:r>
          </w:p>
        </w:tc>
      </w:tr>
      <w:tr>
        <w:tc>
          <w:tcPr>
            <w:tcW w:type="dxa" w:w="1881"/>
          </w:tcPr>
          <w:p>
            <w:r>
              <w:rPr>
                <w:rFonts w:ascii="Arial" w:hAnsi="Arial"/>
                <w:sz w:val="20"/>
              </w:rPr>
            </w:r>
            <w:r>
              <w:rPr>
                <w:rFonts w:ascii="Arial" w:hAnsi="Arial"/>
                <w:sz w:val="20"/>
              </w:rPr>
              <w:t>Inner ring</w:t>
            </w:r>
          </w:p>
        </w:tc>
        <w:tc>
          <w:tcPr>
            <w:tcW w:type="dxa" w:w="1881"/>
          </w:tcPr>
          <w:p>
            <w:r>
              <w:rPr>
                <w:rFonts w:ascii="Arial" w:hAnsi="Arial"/>
                <w:sz w:val="20"/>
              </w:rPr>
            </w:r>
            <w:r>
              <w:rPr>
                <w:rFonts w:ascii="Arial" w:hAnsi="Arial"/>
                <w:sz w:val="20"/>
              </w:rPr>
              <w:t>8</w:t>
            </w:r>
          </w:p>
        </w:tc>
        <w:tc>
          <w:tcPr>
            <w:tcW w:type="dxa" w:w="1881"/>
          </w:tcPr>
          <w:p>
            <w:r>
              <w:rPr>
                <w:rFonts w:ascii="Arial" w:hAnsi="Arial"/>
                <w:sz w:val="20"/>
              </w:rPr>
            </w:r>
            <w:r>
              <w:rPr>
                <w:rFonts w:ascii="Arial" w:hAnsi="Arial"/>
                <w:sz w:val="20"/>
              </w:rPr>
              <w:t>40</w:t>
            </w:r>
          </w:p>
        </w:tc>
        <w:tc>
          <w:tcPr>
            <w:tcW w:type="dxa" w:w="1881"/>
          </w:tcPr>
          <w:p>
            <w:r>
              <w:rPr>
                <w:rFonts w:ascii="Arial" w:hAnsi="Arial"/>
                <w:sz w:val="20"/>
              </w:rPr>
            </w:r>
            <w:r>
              <w:rPr>
                <w:rFonts w:ascii="Arial" w:hAnsi="Arial"/>
                <w:sz w:val="20"/>
              </w:rPr>
              <w:t>16</w:t>
            </w:r>
          </w:p>
        </w:tc>
        <w:tc>
          <w:tcPr>
            <w:tcW w:type="dxa" w:w="1881"/>
          </w:tcPr>
          <w:p>
            <w:r>
              <w:rPr>
                <w:rFonts w:ascii="Arial" w:hAnsi="Arial"/>
                <w:sz w:val="20"/>
              </w:rPr>
            </w:r>
            <w:r>
              <w:rPr>
                <w:rFonts w:ascii="Arial" w:hAnsi="Arial"/>
                <w:sz w:val="20"/>
              </w:rPr>
              <w:t>1.24</w:t>
            </w:r>
          </w:p>
        </w:tc>
      </w:tr>
      <w:tr>
        <w:tc>
          <w:tcPr>
            <w:tcW w:type="dxa" w:w="1881"/>
          </w:tcPr>
          <w:p>
            <w:r>
              <w:rPr>
                <w:rFonts w:ascii="Arial" w:hAnsi="Arial"/>
                <w:sz w:val="20"/>
              </w:rPr>
            </w:r>
            <w:r>
              <w:rPr>
                <w:rFonts w:ascii="Arial" w:hAnsi="Arial"/>
                <w:sz w:val="20"/>
              </w:rPr>
              <w:t>Outer ring</w:t>
            </w:r>
          </w:p>
        </w:tc>
        <w:tc>
          <w:tcPr>
            <w:tcW w:type="dxa" w:w="1881"/>
          </w:tcPr>
          <w:p>
            <w:r>
              <w:rPr>
                <w:rFonts w:ascii="Arial" w:hAnsi="Arial"/>
                <w:sz w:val="20"/>
              </w:rPr>
            </w:r>
            <w:r>
              <w:rPr>
                <w:rFonts w:ascii="Arial" w:hAnsi="Arial"/>
                <w:sz w:val="20"/>
              </w:rPr>
              <w:t>12</w:t>
            </w:r>
          </w:p>
        </w:tc>
        <w:tc>
          <w:tcPr>
            <w:tcW w:type="dxa" w:w="1881"/>
          </w:tcPr>
          <w:p>
            <w:r>
              <w:rPr>
                <w:rFonts w:ascii="Arial" w:hAnsi="Arial"/>
                <w:sz w:val="20"/>
              </w:rPr>
            </w:r>
            <w:r>
              <w:rPr>
                <w:rFonts w:ascii="Arial" w:hAnsi="Arial"/>
                <w:sz w:val="20"/>
              </w:rPr>
              <w:t>24</w:t>
            </w:r>
          </w:p>
        </w:tc>
        <w:tc>
          <w:tcPr>
            <w:tcW w:type="dxa" w:w="1881"/>
          </w:tcPr>
          <w:p>
            <w:r>
              <w:rPr>
                <w:rFonts w:ascii="Arial" w:hAnsi="Arial"/>
                <w:sz w:val="20"/>
              </w:rPr>
            </w:r>
            <w:r>
              <w:rPr>
                <w:rFonts w:ascii="Arial" w:hAnsi="Arial"/>
                <w:sz w:val="20"/>
              </w:rPr>
              <w:t>16</w:t>
            </w:r>
          </w:p>
        </w:tc>
        <w:tc>
          <w:tcPr>
            <w:tcW w:type="dxa" w:w="1881"/>
          </w:tcPr>
          <w:p>
            <w:r>
              <w:rPr>
                <w:rFonts w:ascii="Arial" w:hAnsi="Arial"/>
                <w:sz w:val="20"/>
              </w:rPr>
            </w:r>
            <w:r>
              <w:rPr>
                <w:rFonts w:ascii="Arial" w:hAnsi="Arial"/>
                <w:sz w:val="20"/>
              </w:rPr>
              <w:t>0.80</w:t>
            </w:r>
          </w:p>
        </w:tc>
      </w:tr>
      <w:tr>
        <w:tc>
          <w:tcPr>
            <w:tcW w:type="dxa" w:w="1881"/>
          </w:tcPr>
          <w:p>
            <w:r>
              <w:rPr>
                <w:rFonts w:ascii="Arial" w:hAnsi="Arial"/>
                <w:sz w:val="20"/>
              </w:rPr>
            </w:r>
            <w:r>
              <w:rPr>
                <w:rFonts w:ascii="Arial" w:hAnsi="Arial"/>
                <w:b/>
                <w:sz w:val="20"/>
              </w:rPr>
              <w:t>Core average</w:t>
            </w:r>
          </w:p>
        </w:tc>
        <w:tc>
          <w:tcPr>
            <w:tcW w:type="dxa" w:w="1881"/>
          </w:tcPr>
          <w:p>
            <w:r>
              <w:rPr>
                <w:rFonts w:ascii="Arial" w:hAnsi="Arial"/>
                <w:sz w:val="20"/>
              </w:rPr>
            </w:r>
            <w:r>
              <w:rPr>
                <w:rFonts w:ascii="Arial" w:hAnsi="Arial"/>
                <w:sz w:val="20"/>
              </w:rPr>
              <w:t>21</w:t>
            </w:r>
          </w:p>
        </w:tc>
        <w:tc>
          <w:tcPr>
            <w:tcW w:type="dxa" w:w="1881"/>
          </w:tcPr>
          <w:p>
            <w:r>
              <w:rPr>
                <w:rFonts w:ascii="Arial" w:hAnsi="Arial"/>
                <w:sz w:val="20"/>
              </w:rPr>
            </w:r>
            <w:r>
              <w:rPr>
                <w:rFonts w:ascii="Arial" w:hAnsi="Arial"/>
                <w:b/>
                <w:sz w:val="20"/>
              </w:rPr>
              <w:t>32</w:t>
            </w:r>
          </w:p>
        </w:tc>
        <w:tc>
          <w:tcPr>
            <w:tcW w:type="dxa" w:w="1881"/>
          </w:tcPr>
          <w:p>
            <w:r>
              <w:rPr>
                <w:rFonts w:ascii="Arial" w:hAnsi="Arial"/>
                <w:sz w:val="20"/>
              </w:rPr>
            </w:r>
            <w:r>
              <w:rPr>
                <w:rFonts w:ascii="Arial" w:hAnsi="Arial"/>
                <w:sz w:val="20"/>
              </w:rPr>
              <w:t>16</w:t>
            </w:r>
          </w:p>
        </w:tc>
        <w:tc>
          <w:tcPr>
            <w:tcW w:type="dxa" w:w="1881"/>
          </w:tcPr>
          <w:p>
            <w:r>
              <w:rPr>
                <w:rFonts w:ascii="Arial" w:hAnsi="Arial"/>
                <w:sz w:val="20"/>
              </w:rPr>
            </w:r>
            <w:r>
              <w:rPr>
                <w:rFonts w:ascii="Arial" w:hAnsi="Arial"/>
                <w:sz w:val="20"/>
              </w:rPr>
              <w:t>1.00 (conserved)</w:t>
            </w:r>
          </w:p>
        </w:tc>
      </w:tr>
    </w:tbl>
    <w:p/>
    <w:p>
      <w:pPr>
        <w:spacing w:before="40"/>
        <w:ind w:left="340"/>
      </w:pPr>
      <w:r>
        <w:rPr>
          <w:rFonts w:ascii="Arial" w:hAnsi="Arial"/>
          <w:i/>
          <w:color w:val="555555"/>
          <w:sz w:val="21"/>
        </w:rPr>
        <w:t xml:space="preserve">▸ </w:t>
      </w:r>
      <w:r>
        <w:rPr>
          <w:rFonts w:ascii="Arial" w:hAnsi="Arial"/>
          <w:i/>
          <w:color w:val="555555"/>
          <w:sz w:val="21"/>
        </w:rPr>
        <w:t xml:space="preserve">The zoning redistributes the </w:t>
      </w:r>
      <w:r>
        <w:rPr>
          <w:rFonts w:ascii="Arial" w:hAnsi="Arial"/>
          <w:b/>
          <w:i/>
          <w:color w:val="555555"/>
          <w:sz w:val="21"/>
        </w:rPr>
        <w:t>same core-average Gd</w:t>
      </w:r>
      <w:r>
        <w:rPr>
          <w:rFonts w:ascii="Arial" w:hAnsi="Arial"/>
          <w:i/>
          <w:color w:val="555555"/>
          <w:sz w:val="21"/>
        </w:rPr>
        <w:t xml:space="preserve"> toward the centre (density weights 1.50 / 1.24 / 0.80), which conserves BOC reactivity while flattening the radial power — see the peaking result in Table 8.2-5.</w:t>
      </w:r>
    </w:p>
    <w:p>
      <w:pPr>
        <w:spacing w:before="200" w:after="80"/>
      </w:pPr>
      <w:r>
        <w:rPr>
          <w:rFonts w:ascii="Arial Black" w:hAnsi="Arial Black"/>
          <w:b/>
          <w:color w:val="1F4E79"/>
          <w:sz w:val="25"/>
        </w:rPr>
        <w:t>8.2.3 Neutronic Analysis</w:t>
      </w:r>
    </w:p>
    <w:p>
      <w:pPr>
        <w:jc w:val="both"/>
      </w:pPr>
      <w:r>
        <w:rPr>
          <w:rFonts w:ascii="Arial" w:hAnsi="Arial"/>
        </w:rPr>
        <w:t xml:space="preserve">The neutronic design was performed with </w:t>
      </w:r>
      <w:r>
        <w:rPr>
          <w:rFonts w:ascii="Arial" w:hAnsi="Arial"/>
          <w:b/>
        </w:rPr>
        <w:t>OpenMC 0.15.3</w:t>
      </w:r>
      <w:r>
        <w:rPr>
          <w:rFonts w:ascii="Arial" w:hAnsi="Arial"/>
        </w:rPr>
        <w:t xml:space="preserve"> continuous-energy Monte Carlo on the full 3D core (21 FAs, axial and radial water reflectors, vacuum outer boundary), with coupled depletion from BOC through the approach to the equilibrium cycle. The transport statistics are 180 batches / 50 inactive / 20,000 neutrons per batch. Results are summarised in Tables 8.2-3 and 8.2-5; the cycle reactivity behaviour is in Figure 8.2-5.</w:t>
      </w:r>
    </w:p>
    <w:p>
      <w:pPr>
        <w:jc w:val="both"/>
      </w:pPr>
      <w:r>
        <w:rPr>
          <w:rFonts w:ascii="Arial" w:hAnsi="Arial"/>
          <w:b/>
        </w:rPr>
        <w:t>Criticality and reactivity control.</w:t>
      </w:r>
      <w:r>
        <w:rPr>
          <w:rFonts w:ascii="Arial" w:hAnsi="Arial"/>
        </w:rPr>
        <w:t xml:space="preserve"> The fresh core is slightly supercritical (k_eff,BOL = 1.0264), with the excess reactivity held down by the integral burnable absorbers and managed by the control-rod system. All reactivity-control and shutdown criteria are met with margin (Table 8.2-3).</w:t>
      </w:r>
    </w:p>
    <w:p>
      <w:pPr>
        <w:jc w:val="both"/>
      </w:pPr>
      <w:r>
        <w:rPr>
          <w:rFonts w:ascii="Arial" w:hAnsi="Arial"/>
          <w:b/>
        </w:rPr>
        <w:t>Table 8.2-3 — Neutronic safety results (LOCKED rev_3) — all criteria met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DDE3EA"/>
          </w:tcPr>
          <w:p>
            <w:r>
              <w:rPr>
                <w:rFonts w:ascii="Arial" w:hAnsi="Arial"/>
                <w:b/>
                <w:sz w:val="20"/>
              </w:rPr>
            </w:r>
            <w:r>
              <w:rPr>
                <w:rFonts w:ascii="Arial" w:hAnsi="Arial"/>
                <w:b/>
                <w:sz w:val="20"/>
              </w:rPr>
              <w:t>Parameter</w:t>
            </w:r>
          </w:p>
        </w:tc>
        <w:tc>
          <w:tcPr>
            <w:tcW w:type="dxa" w:w="2351"/>
            <w:shd w:val="clear" w:fill="DDE3EA"/>
          </w:tcPr>
          <w:p>
            <w:r>
              <w:rPr>
                <w:rFonts w:ascii="Arial" w:hAnsi="Arial"/>
                <w:b/>
                <w:sz w:val="20"/>
              </w:rPr>
            </w:r>
            <w:r>
              <w:rPr>
                <w:rFonts w:ascii="Arial" w:hAnsi="Arial"/>
                <w:b/>
                <w:sz w:val="20"/>
              </w:rPr>
              <w:t>Value</w:t>
            </w:r>
          </w:p>
        </w:tc>
        <w:tc>
          <w:tcPr>
            <w:tcW w:type="dxa" w:w="2351"/>
            <w:shd w:val="clear" w:fill="DDE3EA"/>
          </w:tcPr>
          <w:p>
            <w:r>
              <w:rPr>
                <w:rFonts w:ascii="Arial" w:hAnsi="Arial"/>
                <w:b/>
                <w:sz w:val="20"/>
              </w:rPr>
            </w:r>
            <w:r>
              <w:rPr>
                <w:rFonts w:ascii="Arial" w:hAnsi="Arial"/>
                <w:b/>
                <w:sz w:val="20"/>
              </w:rPr>
              <w:t>Limit / criterion</w:t>
            </w:r>
          </w:p>
        </w:tc>
        <w:tc>
          <w:tcPr>
            <w:tcW w:type="dxa" w:w="2351"/>
            <w:shd w:val="clear" w:fill="DDE3EA"/>
          </w:tcPr>
          <w:p>
            <w:r>
              <w:rPr>
                <w:rFonts w:ascii="Arial" w:hAnsi="Arial"/>
                <w:b/>
                <w:sz w:val="20"/>
              </w:rPr>
            </w:r>
            <w:r>
              <w:rPr>
                <w:rFonts w:ascii="Arial" w:hAnsi="Arial"/>
                <w:b/>
                <w:sz w:val="20"/>
              </w:rPr>
              <w:t>Status</w:t>
            </w:r>
          </w:p>
        </w:tc>
      </w:tr>
      <w:tr>
        <w:tc>
          <w:tcPr>
            <w:tcW w:type="dxa" w:w="2351"/>
          </w:tcPr>
          <w:p>
            <w:r>
              <w:rPr>
                <w:rFonts w:ascii="Arial" w:hAnsi="Arial"/>
                <w:sz w:val="20"/>
              </w:rPr>
            </w:r>
            <w:r>
              <w:rPr>
                <w:rFonts w:ascii="Arial" w:hAnsi="Arial"/>
                <w:sz w:val="20"/>
              </w:rPr>
              <w:t>k_eff, BOL</w:t>
            </w:r>
          </w:p>
        </w:tc>
        <w:tc>
          <w:tcPr>
            <w:tcW w:type="dxa" w:w="2351"/>
          </w:tcPr>
          <w:p>
            <w:r>
              <w:rPr>
                <w:rFonts w:ascii="Arial" w:hAnsi="Arial"/>
                <w:sz w:val="20"/>
              </w:rPr>
            </w:r>
            <w:r>
              <w:rPr>
                <w:rFonts w:ascii="Arial" w:hAnsi="Arial"/>
                <w:sz w:val="20"/>
              </w:rPr>
              <w:t>1.0264</w:t>
            </w:r>
          </w:p>
        </w:tc>
        <w:tc>
          <w:tcPr>
            <w:tcW w:type="dxa" w:w="2351"/>
          </w:tcPr>
          <w:p>
            <w:r>
              <w:rPr>
                <w:rFonts w:ascii="Arial" w:hAnsi="Arial"/>
                <w:sz w:val="20"/>
              </w:rPr>
            </w:r>
            <w:r>
              <w:rPr>
                <w:rFonts w:ascii="Arial" w:hAnsi="Arial"/>
                <w:sz w:val="20"/>
              </w:rPr>
              <w:t>excess managed by BA + rods</w:t>
            </w:r>
          </w:p>
        </w:tc>
        <w:tc>
          <w:tcPr>
            <w:tcW w:type="dxa" w:w="2351"/>
          </w:tcPr>
          <w:p>
            <w:r>
              <w:rPr>
                <w:rFonts w:ascii="Arial" w:hAnsi="Arial"/>
                <w:sz w:val="20"/>
              </w:rPr>
            </w:r>
            <w:r>
              <w:rPr>
                <w:rFonts w:ascii="Arial" w:hAnsi="Arial"/>
                <w:sz w:val="20"/>
              </w:rPr>
              <w:t>INFO</w:t>
            </w:r>
          </w:p>
        </w:tc>
      </w:tr>
      <w:tr>
        <w:tc>
          <w:tcPr>
            <w:tcW w:type="dxa" w:w="2351"/>
          </w:tcPr>
          <w:p>
            <w:r>
              <w:rPr>
                <w:rFonts w:ascii="Arial" w:hAnsi="Arial"/>
                <w:sz w:val="20"/>
              </w:rPr>
            </w:r>
            <w:r>
              <w:rPr>
                <w:rFonts w:ascii="Arial" w:hAnsi="Arial"/>
                <w:sz w:val="20"/>
              </w:rPr>
              <w:t>Moderator temperature coefficient (HFP)</w:t>
            </w:r>
          </w:p>
        </w:tc>
        <w:tc>
          <w:tcPr>
            <w:tcW w:type="dxa" w:w="2351"/>
          </w:tcPr>
          <w:p>
            <w:r>
              <w:rPr>
                <w:rFonts w:ascii="Arial" w:hAnsi="Arial"/>
                <w:sz w:val="20"/>
              </w:rPr>
            </w:r>
            <w:r>
              <w:rPr>
                <w:rFonts w:ascii="Arial" w:hAnsi="Arial"/>
                <w:sz w:val="20"/>
              </w:rPr>
              <w:t>−35.9 pcm/K</w:t>
            </w:r>
          </w:p>
        </w:tc>
        <w:tc>
          <w:tcPr>
            <w:tcW w:type="dxa" w:w="2351"/>
          </w:tcPr>
          <w:p>
            <w:r>
              <w:rPr>
                <w:rFonts w:ascii="Arial" w:hAnsi="Arial"/>
                <w:sz w:val="20"/>
              </w:rPr>
            </w:r>
            <w:r>
              <w:rPr>
                <w:rFonts w:ascii="Arial" w:hAnsi="Arial"/>
                <w:sz w:val="20"/>
              </w:rPr>
              <w:t>&lt; 0</w:t>
            </w:r>
          </w:p>
        </w:tc>
        <w:tc>
          <w:tcPr>
            <w:tcW w:type="dxa" w:w="2351"/>
          </w:tcPr>
          <w:p>
            <w:r>
              <w:rPr>
                <w:rFonts w:ascii="Arial" w:hAnsi="Arial"/>
                <w:sz w:val="20"/>
              </w:rPr>
            </w:r>
            <w:r>
              <w:rPr>
                <w:rFonts w:ascii="Arial" w:hAnsi="Arial"/>
                <w:sz w:val="20"/>
              </w:rPr>
              <w:t>PASS</w:t>
            </w:r>
          </w:p>
        </w:tc>
      </w:tr>
      <w:tr>
        <w:tc>
          <w:tcPr>
            <w:tcW w:type="dxa" w:w="2351"/>
          </w:tcPr>
          <w:p>
            <w:r>
              <w:rPr>
                <w:rFonts w:ascii="Arial" w:hAnsi="Arial"/>
                <w:sz w:val="20"/>
              </w:rPr>
            </w:r>
            <w:r>
              <w:rPr>
                <w:rFonts w:ascii="Arial" w:hAnsi="Arial"/>
                <w:sz w:val="20"/>
              </w:rPr>
              <w:t>Doppler (fuel) temperature coefficient</w:t>
            </w:r>
          </w:p>
        </w:tc>
        <w:tc>
          <w:tcPr>
            <w:tcW w:type="dxa" w:w="2351"/>
          </w:tcPr>
          <w:p>
            <w:r>
              <w:rPr>
                <w:rFonts w:ascii="Arial" w:hAnsi="Arial"/>
                <w:sz w:val="20"/>
              </w:rPr>
            </w:r>
            <w:r>
              <w:rPr>
                <w:rFonts w:ascii="Arial" w:hAnsi="Arial"/>
                <w:sz w:val="20"/>
              </w:rPr>
              <w:t>−1.84 pcm/K</w:t>
            </w:r>
          </w:p>
        </w:tc>
        <w:tc>
          <w:tcPr>
            <w:tcW w:type="dxa" w:w="2351"/>
          </w:tcPr>
          <w:p>
            <w:r>
              <w:rPr>
                <w:rFonts w:ascii="Arial" w:hAnsi="Arial"/>
                <w:sz w:val="20"/>
              </w:rPr>
            </w:r>
            <w:r>
              <w:rPr>
                <w:rFonts w:ascii="Arial" w:hAnsi="Arial"/>
                <w:sz w:val="20"/>
              </w:rPr>
              <w:t>&lt; 0</w:t>
            </w:r>
          </w:p>
        </w:tc>
        <w:tc>
          <w:tcPr>
            <w:tcW w:type="dxa" w:w="2351"/>
          </w:tcPr>
          <w:p>
            <w:r>
              <w:rPr>
                <w:rFonts w:ascii="Arial" w:hAnsi="Arial"/>
                <w:sz w:val="20"/>
              </w:rPr>
            </w:r>
            <w:r>
              <w:rPr>
                <w:rFonts w:ascii="Arial" w:hAnsi="Arial"/>
                <w:sz w:val="20"/>
              </w:rPr>
              <w:t>PASS</w:t>
            </w:r>
          </w:p>
        </w:tc>
      </w:tr>
      <w:tr>
        <w:tc>
          <w:tcPr>
            <w:tcW w:type="dxa" w:w="2351"/>
          </w:tcPr>
          <w:p>
            <w:r>
              <w:rPr>
                <w:rFonts w:ascii="Arial" w:hAnsi="Arial"/>
                <w:sz w:val="20"/>
              </w:rPr>
            </w:r>
            <w:r>
              <w:rPr>
                <w:rFonts w:ascii="Arial" w:hAnsi="Arial"/>
                <w:sz w:val="20"/>
              </w:rPr>
              <w:t>Void coefficient</w:t>
            </w:r>
          </w:p>
        </w:tc>
        <w:tc>
          <w:tcPr>
            <w:tcW w:type="dxa" w:w="2351"/>
          </w:tcPr>
          <w:p>
            <w:r>
              <w:rPr>
                <w:rFonts w:ascii="Arial" w:hAnsi="Arial"/>
                <w:sz w:val="20"/>
              </w:rPr>
            </w:r>
            <w:r>
              <w:rPr>
                <w:rFonts w:ascii="Arial" w:hAnsi="Arial"/>
                <w:sz w:val="20"/>
              </w:rPr>
              <w:t>−214 pcm/%void</w:t>
            </w:r>
          </w:p>
        </w:tc>
        <w:tc>
          <w:tcPr>
            <w:tcW w:type="dxa" w:w="2351"/>
          </w:tcPr>
          <w:p>
            <w:r>
              <w:rPr>
                <w:rFonts w:ascii="Arial" w:hAnsi="Arial"/>
                <w:sz w:val="20"/>
              </w:rPr>
            </w:r>
            <w:r>
              <w:rPr>
                <w:rFonts w:ascii="Arial" w:hAnsi="Arial"/>
                <w:sz w:val="20"/>
              </w:rPr>
              <w:t>&lt; 0</w:t>
            </w:r>
          </w:p>
        </w:tc>
        <w:tc>
          <w:tcPr>
            <w:tcW w:type="dxa" w:w="2351"/>
          </w:tcPr>
          <w:p>
            <w:r>
              <w:rPr>
                <w:rFonts w:ascii="Arial" w:hAnsi="Arial"/>
                <w:sz w:val="20"/>
              </w:rPr>
            </w:r>
            <w:r>
              <w:rPr>
                <w:rFonts w:ascii="Arial" w:hAnsi="Arial"/>
                <w:sz w:val="20"/>
              </w:rPr>
              <w:t>PASS</w:t>
            </w:r>
          </w:p>
        </w:tc>
      </w:tr>
      <w:tr>
        <w:tc>
          <w:tcPr>
            <w:tcW w:type="dxa" w:w="2351"/>
          </w:tcPr>
          <w:p>
            <w:r>
              <w:rPr>
                <w:rFonts w:ascii="Arial" w:hAnsi="Arial"/>
                <w:sz w:val="20"/>
              </w:rPr>
            </w:r>
            <w:r>
              <w:rPr>
                <w:rFonts w:ascii="Arial" w:hAnsi="Arial"/>
                <w:sz w:val="20"/>
              </w:rPr>
              <w:t>Control-rod worth (ARO → ARI)</w:t>
            </w:r>
          </w:p>
        </w:tc>
        <w:tc>
          <w:tcPr>
            <w:tcW w:type="dxa" w:w="2351"/>
          </w:tcPr>
          <w:p>
            <w:r>
              <w:rPr>
                <w:rFonts w:ascii="Arial" w:hAnsi="Arial"/>
                <w:sz w:val="20"/>
              </w:rPr>
            </w:r>
            <w:r>
              <w:rPr>
                <w:rFonts w:ascii="Arial" w:hAnsi="Arial"/>
                <w:sz w:val="20"/>
              </w:rPr>
              <w:t>15,226 pcm</w:t>
            </w:r>
          </w:p>
        </w:tc>
        <w:tc>
          <w:tcPr>
            <w:tcW w:type="dxa" w:w="2351"/>
          </w:tcPr>
          <w:p>
            <w:r>
              <w:rPr>
                <w:rFonts w:ascii="Arial" w:hAnsi="Arial"/>
                <w:sz w:val="20"/>
              </w:rPr>
            </w:r>
            <w:r>
              <w:rPr>
                <w:rFonts w:ascii="Arial" w:hAnsi="Arial"/>
                <w:sz w:val="20"/>
              </w:rPr>
              <w:t>≥ 5,000</w:t>
            </w:r>
          </w:p>
        </w:tc>
        <w:tc>
          <w:tcPr>
            <w:tcW w:type="dxa" w:w="2351"/>
          </w:tcPr>
          <w:p>
            <w:r>
              <w:rPr>
                <w:rFonts w:ascii="Arial" w:hAnsi="Arial"/>
                <w:sz w:val="20"/>
              </w:rPr>
            </w:r>
            <w:r>
              <w:rPr>
                <w:rFonts w:ascii="Arial" w:hAnsi="Arial"/>
                <w:sz w:val="20"/>
              </w:rPr>
              <w:t>PASS</w:t>
            </w:r>
          </w:p>
        </w:tc>
      </w:tr>
      <w:tr>
        <w:tc>
          <w:tcPr>
            <w:tcW w:type="dxa" w:w="2351"/>
          </w:tcPr>
          <w:p>
            <w:r>
              <w:rPr>
                <w:rFonts w:ascii="Arial" w:hAnsi="Arial"/>
                <w:sz w:val="20"/>
              </w:rPr>
            </w:r>
            <w:r>
              <w:rPr>
                <w:rFonts w:ascii="Arial" w:hAnsi="Arial"/>
                <w:sz w:val="20"/>
              </w:rPr>
              <w:t>Shutdown margin</w:t>
            </w:r>
          </w:p>
        </w:tc>
        <w:tc>
          <w:tcPr>
            <w:tcW w:type="dxa" w:w="2351"/>
          </w:tcPr>
          <w:p>
            <w:r>
              <w:rPr>
                <w:rFonts w:ascii="Arial" w:hAnsi="Arial"/>
                <w:sz w:val="20"/>
              </w:rPr>
            </w:r>
            <w:r>
              <w:rPr>
                <w:rFonts w:ascii="Arial" w:hAnsi="Arial"/>
                <w:sz w:val="20"/>
              </w:rPr>
              <w:t>12.4 %Δk/k</w:t>
            </w:r>
          </w:p>
        </w:tc>
        <w:tc>
          <w:tcPr>
            <w:tcW w:type="dxa" w:w="2351"/>
          </w:tcPr>
          <w:p>
            <w:r>
              <w:rPr>
                <w:rFonts w:ascii="Arial" w:hAnsi="Arial"/>
                <w:sz w:val="20"/>
              </w:rPr>
            </w:r>
            <w:r>
              <w:rPr>
                <w:rFonts w:ascii="Arial" w:hAnsi="Arial"/>
                <w:sz w:val="20"/>
              </w:rPr>
              <w:t>≥ 1.0</w:t>
            </w:r>
          </w:p>
        </w:tc>
        <w:tc>
          <w:tcPr>
            <w:tcW w:type="dxa" w:w="2351"/>
          </w:tcPr>
          <w:p>
            <w:r>
              <w:rPr>
                <w:rFonts w:ascii="Arial" w:hAnsi="Arial"/>
                <w:sz w:val="20"/>
              </w:rPr>
            </w:r>
            <w:r>
              <w:rPr>
                <w:rFonts w:ascii="Arial" w:hAnsi="Arial"/>
                <w:sz w:val="20"/>
              </w:rPr>
              <w:t>PASS</w:t>
            </w:r>
          </w:p>
        </w:tc>
      </w:tr>
      <w:tr>
        <w:tc>
          <w:tcPr>
            <w:tcW w:type="dxa" w:w="2351"/>
          </w:tcPr>
          <w:p>
            <w:r>
              <w:rPr>
                <w:rFonts w:ascii="Arial" w:hAnsi="Arial"/>
                <w:sz w:val="20"/>
              </w:rPr>
            </w:r>
            <w:r>
              <w:rPr>
                <w:rFonts w:ascii="Arial" w:hAnsi="Arial"/>
                <w:sz w:val="20"/>
              </w:rPr>
              <w:t>k_eff, all-rods-in (ARI)</w:t>
            </w:r>
          </w:p>
        </w:tc>
        <w:tc>
          <w:tcPr>
            <w:tcW w:type="dxa" w:w="2351"/>
          </w:tcPr>
          <w:p>
            <w:r>
              <w:rPr>
                <w:rFonts w:ascii="Arial" w:hAnsi="Arial"/>
                <w:sz w:val="20"/>
              </w:rPr>
            </w:r>
            <w:r>
              <w:rPr>
                <w:rFonts w:ascii="Arial" w:hAnsi="Arial"/>
                <w:sz w:val="20"/>
              </w:rPr>
              <w:t>0.888</w:t>
            </w:r>
          </w:p>
        </w:tc>
        <w:tc>
          <w:tcPr>
            <w:tcW w:type="dxa" w:w="2351"/>
          </w:tcPr>
          <w:p>
            <w:r>
              <w:rPr>
                <w:rFonts w:ascii="Arial" w:hAnsi="Arial"/>
                <w:sz w:val="20"/>
              </w:rPr>
            </w:r>
            <w:r>
              <w:rPr>
                <w:rFonts w:ascii="Arial" w:hAnsi="Arial"/>
                <w:sz w:val="20"/>
              </w:rPr>
              <w:t>&lt; 0.95 (subcritical)</w:t>
            </w:r>
          </w:p>
        </w:tc>
        <w:tc>
          <w:tcPr>
            <w:tcW w:type="dxa" w:w="2351"/>
          </w:tcPr>
          <w:p>
            <w:r>
              <w:rPr>
                <w:rFonts w:ascii="Arial" w:hAnsi="Arial"/>
                <w:sz w:val="20"/>
              </w:rPr>
            </w:r>
            <w:r>
              <w:rPr>
                <w:rFonts w:ascii="Arial" w:hAnsi="Arial"/>
                <w:sz w:val="20"/>
              </w:rPr>
              <w:t>PASS</w:t>
            </w:r>
          </w:p>
        </w:tc>
      </w:tr>
      <w:tr>
        <w:tc>
          <w:tcPr>
            <w:tcW w:type="dxa" w:w="2351"/>
          </w:tcPr>
          <w:p>
            <w:r>
              <w:rPr>
                <w:rFonts w:ascii="Arial" w:hAnsi="Arial"/>
                <w:sz w:val="20"/>
              </w:rPr>
            </w:r>
            <w:r>
              <w:rPr>
                <w:rFonts w:ascii="Arial" w:hAnsi="Arial"/>
                <w:sz w:val="20"/>
              </w:rPr>
              <w:t>k_eff, worst-stuck-rod (N−1)</w:t>
            </w:r>
          </w:p>
        </w:tc>
        <w:tc>
          <w:tcPr>
            <w:tcW w:type="dxa" w:w="2351"/>
          </w:tcPr>
          <w:p>
            <w:r>
              <w:rPr>
                <w:rFonts w:ascii="Arial" w:hAnsi="Arial"/>
                <w:sz w:val="20"/>
              </w:rPr>
            </w:r>
            <w:r>
              <w:rPr>
                <w:rFonts w:ascii="Arial" w:hAnsi="Arial"/>
                <w:sz w:val="20"/>
              </w:rPr>
              <w:t>0.890</w:t>
            </w:r>
          </w:p>
        </w:tc>
        <w:tc>
          <w:tcPr>
            <w:tcW w:type="dxa" w:w="2351"/>
          </w:tcPr>
          <w:p>
            <w:r>
              <w:rPr>
                <w:rFonts w:ascii="Arial" w:hAnsi="Arial"/>
                <w:sz w:val="20"/>
              </w:rPr>
            </w:r>
            <w:r>
              <w:rPr>
                <w:rFonts w:ascii="Arial" w:hAnsi="Arial"/>
                <w:sz w:val="20"/>
              </w:rPr>
              <w:t>&lt; 1.0</w:t>
            </w:r>
          </w:p>
        </w:tc>
        <w:tc>
          <w:tcPr>
            <w:tcW w:type="dxa" w:w="2351"/>
          </w:tcPr>
          <w:p>
            <w:r>
              <w:rPr>
                <w:rFonts w:ascii="Arial" w:hAnsi="Arial"/>
                <w:sz w:val="20"/>
              </w:rPr>
            </w:r>
            <w:r>
              <w:rPr>
                <w:rFonts w:ascii="Arial" w:hAnsi="Arial"/>
                <w:sz w:val="20"/>
              </w:rPr>
              <w:t>PASS</w:t>
            </w:r>
          </w:p>
        </w:tc>
      </w:tr>
      <w:tr>
        <w:tc>
          <w:tcPr>
            <w:tcW w:type="dxa" w:w="2351"/>
          </w:tcPr>
          <w:p>
            <w:r>
              <w:rPr>
                <w:rFonts w:ascii="Arial" w:hAnsi="Arial"/>
                <w:sz w:val="20"/>
              </w:rPr>
            </w:r>
            <w:r>
              <w:rPr>
                <w:rFonts w:ascii="Arial" w:hAnsi="Arial"/>
                <w:sz w:val="20"/>
              </w:rPr>
              <w:t>Max reactivity insertion rate</w:t>
            </w:r>
          </w:p>
        </w:tc>
        <w:tc>
          <w:tcPr>
            <w:tcW w:type="dxa" w:w="2351"/>
          </w:tcPr>
          <w:p>
            <w:r>
              <w:rPr>
                <w:rFonts w:ascii="Arial" w:hAnsi="Arial"/>
                <w:sz w:val="20"/>
              </w:rPr>
            </w:r>
            <w:r>
              <w:rPr>
                <w:rFonts w:ascii="Arial" w:hAnsi="Arial"/>
                <w:sz w:val="20"/>
              </w:rPr>
              <w:t>1.5 × 10⁻⁵ Δk/k/s</w:t>
            </w:r>
          </w:p>
        </w:tc>
        <w:tc>
          <w:tcPr>
            <w:tcW w:type="dxa" w:w="2351"/>
          </w:tcPr>
          <w:p>
            <w:r>
              <w:rPr>
                <w:rFonts w:ascii="Arial" w:hAnsi="Arial"/>
                <w:sz w:val="20"/>
              </w:rPr>
            </w:r>
            <w:r>
              <w:rPr>
                <w:rFonts w:ascii="Arial" w:hAnsi="Arial"/>
                <w:sz w:val="20"/>
              </w:rPr>
              <w:t>≤ 7.5 × 10⁻⁴</w:t>
            </w:r>
          </w:p>
        </w:tc>
        <w:tc>
          <w:tcPr>
            <w:tcW w:type="dxa" w:w="2351"/>
          </w:tcPr>
          <w:p>
            <w:r>
              <w:rPr>
                <w:rFonts w:ascii="Arial" w:hAnsi="Arial"/>
                <w:sz w:val="20"/>
              </w:rPr>
            </w:r>
            <w:r>
              <w:rPr>
                <w:rFonts w:ascii="Arial" w:hAnsi="Arial"/>
                <w:sz w:val="20"/>
              </w:rPr>
              <w:t>PASS</w:t>
            </w:r>
          </w:p>
        </w:tc>
      </w:tr>
      <w:tr>
        <w:tc>
          <w:tcPr>
            <w:tcW w:type="dxa" w:w="2351"/>
          </w:tcPr>
          <w:p>
            <w:r>
              <w:rPr>
                <w:rFonts w:ascii="Arial" w:hAnsi="Arial"/>
                <w:sz w:val="20"/>
              </w:rPr>
            </w:r>
            <w:r>
              <w:rPr>
                <w:rFonts w:ascii="Arial" w:hAnsi="Arial"/>
                <w:sz w:val="20"/>
              </w:rPr>
              <w:t>Maximum enrichment</w:t>
            </w:r>
          </w:p>
        </w:tc>
        <w:tc>
          <w:tcPr>
            <w:tcW w:type="dxa" w:w="2351"/>
          </w:tcPr>
          <w:p>
            <w:r>
              <w:rPr>
                <w:rFonts w:ascii="Arial" w:hAnsi="Arial"/>
                <w:sz w:val="20"/>
              </w:rPr>
            </w:r>
            <w:r>
              <w:rPr>
                <w:rFonts w:ascii="Arial" w:hAnsi="Arial"/>
                <w:sz w:val="20"/>
              </w:rPr>
              <w:t>4.95 wt%</w:t>
            </w:r>
          </w:p>
        </w:tc>
        <w:tc>
          <w:tcPr>
            <w:tcW w:type="dxa" w:w="2351"/>
          </w:tcPr>
          <w:p>
            <w:r>
              <w:rPr>
                <w:rFonts w:ascii="Arial" w:hAnsi="Arial"/>
                <w:sz w:val="20"/>
              </w:rPr>
            </w:r>
            <w:r>
              <w:rPr>
                <w:rFonts w:ascii="Arial" w:hAnsi="Arial"/>
                <w:sz w:val="20"/>
              </w:rPr>
              <w:t>≤ 5.0</w:t>
            </w:r>
          </w:p>
        </w:tc>
        <w:tc>
          <w:tcPr>
            <w:tcW w:type="dxa" w:w="2351"/>
          </w:tcPr>
          <w:p>
            <w:r>
              <w:rPr>
                <w:rFonts w:ascii="Arial" w:hAnsi="Arial"/>
                <w:sz w:val="20"/>
              </w:rPr>
            </w:r>
            <w:r>
              <w:rPr>
                <w:rFonts w:ascii="Arial" w:hAnsi="Arial"/>
                <w:sz w:val="20"/>
              </w:rPr>
              <w:t>PASS</w:t>
            </w:r>
          </w:p>
        </w:tc>
      </w:tr>
    </w:tbl>
    <w:p/>
    <w:p>
      <w:pPr>
        <w:jc w:val="both"/>
      </w:pPr>
      <w:r>
        <w:rPr>
          <w:rFonts w:ascii="Arial" w:hAnsi="Arial"/>
          <w:b/>
        </w:rPr>
        <w:t>Feedback coefficients.</w:t>
      </w:r>
      <w:r>
        <w:rPr>
          <w:rFonts w:ascii="Arial" w:hAnsi="Arial"/>
        </w:rPr>
        <w:t xml:space="preserve"> All three reactivity feedbacks are negative (Table 8.2-3): the moderator (−35.9 pcm/K), Doppler (−1.84 pcm/K), and void (−214 pcm/%void) coefficients together make the core inherently self-regulating against power, temperature, and voiding excursions — the central inherent-safety claim and the basis for the §8.5 transient response.</w:t>
      </w:r>
    </w:p>
    <w:p>
      <w:pPr>
        <w:jc w:val="both"/>
      </w:pPr>
      <w:r>
        <w:rPr>
          <w:rFonts w:ascii="Arial" w:hAnsi="Arial"/>
          <w:b/>
        </w:rPr>
        <w:t>Power distribution (peaking).</w:t>
      </w:r>
      <w:r>
        <w:rPr>
          <w:rFonts w:ascii="Arial" w:hAnsi="Arial"/>
        </w:rPr>
        <w:t xml:space="preserve"> Because there is no soluble boron to flatten the radial shape, the radial Gd zoning (Table 8.2-4) is the primary power-flattening tool. It reduces the assembly radial peaking by 24% relative to an unzoned core while conserving BOC reactivity (Table 8.2-5).</w:t>
      </w:r>
    </w:p>
    <w:p>
      <w:pPr>
        <w:jc w:val="both"/>
      </w:pPr>
      <w:r>
        <w:rPr>
          <w:rFonts w:ascii="Arial" w:hAnsi="Arial"/>
          <w:b/>
        </w:rPr>
        <w:t>Table 8.2-5 — Power-peaking, unzoned → radially-zoned core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DDE3EA"/>
          </w:tcPr>
          <w:p>
            <w:r>
              <w:rPr>
                <w:rFonts w:ascii="Arial" w:hAnsi="Arial"/>
                <w:b/>
                <w:sz w:val="20"/>
              </w:rPr>
            </w:r>
            <w:r>
              <w:rPr>
                <w:rFonts w:ascii="Arial" w:hAnsi="Arial"/>
                <w:b/>
                <w:sz w:val="20"/>
              </w:rPr>
              <w:t>Peaking factor</w:t>
            </w:r>
          </w:p>
        </w:tc>
        <w:tc>
          <w:tcPr>
            <w:tcW w:type="dxa" w:w="2351"/>
            <w:shd w:val="clear" w:fill="DDE3EA"/>
          </w:tcPr>
          <w:p>
            <w:r>
              <w:rPr>
                <w:rFonts w:ascii="Arial" w:hAnsi="Arial"/>
                <w:b/>
                <w:sz w:val="20"/>
              </w:rPr>
            </w:r>
            <w:r>
              <w:rPr>
                <w:rFonts w:ascii="Arial" w:hAnsi="Arial"/>
                <w:b/>
                <w:sz w:val="20"/>
              </w:rPr>
              <w:t>Unzoned (rev_2)</w:t>
            </w:r>
          </w:p>
        </w:tc>
        <w:tc>
          <w:tcPr>
            <w:tcW w:type="dxa" w:w="2351"/>
            <w:shd w:val="clear" w:fill="DDE3EA"/>
          </w:tcPr>
          <w:p>
            <w:r>
              <w:rPr>
                <w:rFonts w:ascii="Arial" w:hAnsi="Arial"/>
                <w:b/>
                <w:sz w:val="20"/>
              </w:rPr>
            </w:r>
            <w:r>
              <w:rPr>
                <w:rFonts w:ascii="Arial" w:hAnsi="Arial"/>
                <w:b/>
                <w:sz w:val="20"/>
              </w:rPr>
              <w:t>Zoned (rev_3)</w:t>
            </w:r>
          </w:p>
        </w:tc>
        <w:tc>
          <w:tcPr>
            <w:tcW w:type="dxa" w:w="2351"/>
            <w:shd w:val="clear" w:fill="DDE3EA"/>
          </w:tcPr>
          <w:p>
            <w:r>
              <w:rPr>
                <w:rFonts w:ascii="Arial" w:hAnsi="Arial"/>
                <w:b/>
                <w:sz w:val="20"/>
              </w:rPr>
            </w:r>
            <w:r>
              <w:rPr>
                <w:rFonts w:ascii="Arial" w:hAnsi="Arial"/>
                <w:b/>
                <w:sz w:val="20"/>
              </w:rPr>
              <w:t>Δ</w:t>
            </w:r>
          </w:p>
        </w:tc>
      </w:tr>
      <w:tr>
        <w:tc>
          <w:tcPr>
            <w:tcW w:type="dxa" w:w="2351"/>
          </w:tcPr>
          <w:p>
            <w:r>
              <w:rPr>
                <w:rFonts w:ascii="Arial" w:hAnsi="Arial"/>
                <w:sz w:val="20"/>
              </w:rPr>
            </w:r>
            <w:r>
              <w:rPr>
                <w:rFonts w:ascii="Arial" w:hAnsi="Arial"/>
                <w:sz w:val="20"/>
              </w:rPr>
              <w:t>F_radial (assembly)</w:t>
            </w:r>
          </w:p>
        </w:tc>
        <w:tc>
          <w:tcPr>
            <w:tcW w:type="dxa" w:w="2351"/>
          </w:tcPr>
          <w:p>
            <w:r>
              <w:rPr>
                <w:rFonts w:ascii="Arial" w:hAnsi="Arial"/>
                <w:sz w:val="20"/>
              </w:rPr>
            </w:r>
            <w:r>
              <w:rPr>
                <w:rFonts w:ascii="Arial" w:hAnsi="Arial"/>
                <w:sz w:val="20"/>
              </w:rPr>
              <w:t>1.62</w:t>
            </w:r>
          </w:p>
        </w:tc>
        <w:tc>
          <w:tcPr>
            <w:tcW w:type="dxa" w:w="2351"/>
          </w:tcPr>
          <w:p>
            <w:r>
              <w:rPr>
                <w:rFonts w:ascii="Arial" w:hAnsi="Arial"/>
                <w:sz w:val="20"/>
              </w:rPr>
            </w:r>
            <w:r>
              <w:rPr>
                <w:rFonts w:ascii="Arial" w:hAnsi="Arial"/>
                <w:b/>
                <w:sz w:val="20"/>
              </w:rPr>
              <w:t>1.23</w:t>
            </w:r>
          </w:p>
        </w:tc>
        <w:tc>
          <w:tcPr>
            <w:tcW w:type="dxa" w:w="2351"/>
          </w:tcPr>
          <w:p>
            <w:r>
              <w:rPr>
                <w:rFonts w:ascii="Arial" w:hAnsi="Arial"/>
                <w:sz w:val="20"/>
              </w:rPr>
            </w:r>
            <w:r>
              <w:rPr>
                <w:rFonts w:ascii="Arial" w:hAnsi="Arial"/>
                <w:sz w:val="20"/>
              </w:rPr>
              <w:t>−24%</w:t>
            </w:r>
          </w:p>
        </w:tc>
      </w:tr>
      <w:tr>
        <w:tc>
          <w:tcPr>
            <w:tcW w:type="dxa" w:w="2351"/>
          </w:tcPr>
          <w:p>
            <w:r>
              <w:rPr>
                <w:rFonts w:ascii="Arial" w:hAnsi="Arial"/>
                <w:sz w:val="20"/>
              </w:rPr>
            </w:r>
            <w:r>
              <w:rPr>
                <w:rFonts w:ascii="Arial" w:hAnsi="Arial"/>
                <w:sz w:val="20"/>
              </w:rPr>
              <w:t>F_ΔH (radial enthalpy-rise)</w:t>
            </w:r>
          </w:p>
        </w:tc>
        <w:tc>
          <w:tcPr>
            <w:tcW w:type="dxa" w:w="2351"/>
          </w:tcPr>
          <w:p>
            <w:r>
              <w:rPr>
                <w:rFonts w:ascii="Arial" w:hAnsi="Arial"/>
                <w:sz w:val="20"/>
              </w:rPr>
            </w:r>
            <w:r>
              <w:rPr>
                <w:rFonts w:ascii="Arial" w:hAnsi="Arial"/>
                <w:sz w:val="20"/>
              </w:rPr>
              <w:t>2.77</w:t>
            </w:r>
          </w:p>
        </w:tc>
        <w:tc>
          <w:tcPr>
            <w:tcW w:type="dxa" w:w="2351"/>
          </w:tcPr>
          <w:p>
            <w:r>
              <w:rPr>
                <w:rFonts w:ascii="Arial" w:hAnsi="Arial"/>
                <w:sz w:val="20"/>
              </w:rPr>
            </w:r>
            <w:r>
              <w:rPr>
                <w:rFonts w:ascii="Arial" w:hAnsi="Arial"/>
                <w:b/>
                <w:sz w:val="20"/>
              </w:rPr>
              <w:t>2.27</w:t>
            </w:r>
          </w:p>
        </w:tc>
        <w:tc>
          <w:tcPr>
            <w:tcW w:type="dxa" w:w="2351"/>
          </w:tcPr>
          <w:p>
            <w:r>
              <w:rPr>
                <w:rFonts w:ascii="Arial" w:hAnsi="Arial"/>
                <w:sz w:val="20"/>
              </w:rPr>
            </w:r>
            <w:r>
              <w:rPr>
                <w:rFonts w:ascii="Arial" w:hAnsi="Arial"/>
                <w:sz w:val="20"/>
              </w:rPr>
              <w:t>−18%</w:t>
            </w:r>
          </w:p>
        </w:tc>
      </w:tr>
      <w:tr>
        <w:tc>
          <w:tcPr>
            <w:tcW w:type="dxa" w:w="2351"/>
          </w:tcPr>
          <w:p>
            <w:r>
              <w:rPr>
                <w:rFonts w:ascii="Arial" w:hAnsi="Arial"/>
                <w:sz w:val="20"/>
              </w:rPr>
            </w:r>
            <w:r>
              <w:rPr>
                <w:rFonts w:ascii="Arial" w:hAnsi="Arial"/>
                <w:sz w:val="20"/>
              </w:rPr>
              <w:t>F_q (3D total pin power)</w:t>
            </w:r>
          </w:p>
        </w:tc>
        <w:tc>
          <w:tcPr>
            <w:tcW w:type="dxa" w:w="2351"/>
          </w:tcPr>
          <w:p>
            <w:r>
              <w:rPr>
                <w:rFonts w:ascii="Arial" w:hAnsi="Arial"/>
                <w:sz w:val="20"/>
              </w:rPr>
            </w:r>
            <w:r>
              <w:rPr>
                <w:rFonts w:ascii="Arial" w:hAnsi="Arial"/>
                <w:sz w:val="20"/>
              </w:rPr>
              <w:t>3.62</w:t>
            </w:r>
          </w:p>
        </w:tc>
        <w:tc>
          <w:tcPr>
            <w:tcW w:type="dxa" w:w="2351"/>
          </w:tcPr>
          <w:p>
            <w:r>
              <w:rPr>
                <w:rFonts w:ascii="Arial" w:hAnsi="Arial"/>
                <w:sz w:val="20"/>
              </w:rPr>
            </w:r>
            <w:r>
              <w:rPr>
                <w:rFonts w:ascii="Arial" w:hAnsi="Arial"/>
                <w:b/>
                <w:sz w:val="20"/>
              </w:rPr>
              <w:t>3.48</w:t>
            </w:r>
          </w:p>
        </w:tc>
        <w:tc>
          <w:tcPr>
            <w:tcW w:type="dxa" w:w="2351"/>
          </w:tcPr>
          <w:p>
            <w:r>
              <w:rPr>
                <w:rFonts w:ascii="Arial" w:hAnsi="Arial"/>
                <w:sz w:val="20"/>
              </w:rPr>
            </w:r>
            <w:r>
              <w:rPr>
                <w:rFonts w:ascii="Arial" w:hAnsi="Arial"/>
                <w:sz w:val="20"/>
              </w:rPr>
              <w:t>−4%</w:t>
            </w:r>
          </w:p>
        </w:tc>
      </w:tr>
      <w:tr>
        <w:tc>
          <w:tcPr>
            <w:tcW w:type="dxa" w:w="2351"/>
          </w:tcPr>
          <w:p>
            <w:r>
              <w:rPr>
                <w:rFonts w:ascii="Arial" w:hAnsi="Arial"/>
                <w:sz w:val="20"/>
              </w:rPr>
            </w:r>
            <w:r>
              <w:rPr>
                <w:rFonts w:ascii="Arial" w:hAnsi="Arial"/>
                <w:sz w:val="20"/>
              </w:rPr>
              <w:t>F_z (core-average axial)</w:t>
            </w:r>
          </w:p>
        </w:tc>
        <w:tc>
          <w:tcPr>
            <w:tcW w:type="dxa" w:w="2351"/>
          </w:tcPr>
          <w:p>
            <w:r>
              <w:rPr>
                <w:rFonts w:ascii="Arial" w:hAnsi="Arial"/>
                <w:sz w:val="20"/>
              </w:rPr>
            </w:r>
            <w:r>
              <w:rPr>
                <w:rFonts w:ascii="Arial" w:hAnsi="Arial"/>
                <w:sz w:val="20"/>
              </w:rPr>
              <w:t>—</w:t>
            </w:r>
          </w:p>
        </w:tc>
        <w:tc>
          <w:tcPr>
            <w:tcW w:type="dxa" w:w="2351"/>
          </w:tcPr>
          <w:p>
            <w:r>
              <w:rPr>
                <w:rFonts w:ascii="Arial" w:hAnsi="Arial"/>
                <w:sz w:val="20"/>
              </w:rPr>
            </w:r>
            <w:r>
              <w:rPr>
                <w:rFonts w:ascii="Arial" w:hAnsi="Arial"/>
                <w:sz w:val="20"/>
              </w:rPr>
              <w:t>1.03</w:t>
            </w:r>
          </w:p>
        </w:tc>
        <w:tc>
          <w:tcPr>
            <w:tcW w:type="dxa" w:w="2351"/>
          </w:tcPr>
          <w:p>
            <w:r>
              <w:rPr>
                <w:rFonts w:ascii="Arial" w:hAnsi="Arial"/>
                <w:sz w:val="20"/>
              </w:rPr>
            </w:r>
            <w:r>
              <w:rPr>
                <w:rFonts w:ascii="Arial" w:hAnsi="Arial"/>
                <w:sz w:val="20"/>
              </w:rPr>
              <w:t>—</w:t>
            </w:r>
          </w:p>
        </w:tc>
      </w:tr>
      <w:tr>
        <w:tc>
          <w:tcPr>
            <w:tcW w:type="dxa" w:w="2351"/>
          </w:tcPr>
          <w:p>
            <w:r>
              <w:rPr>
                <w:rFonts w:ascii="Arial" w:hAnsi="Arial"/>
                <w:sz w:val="20"/>
              </w:rPr>
            </w:r>
            <w:r>
              <w:rPr>
                <w:rFonts w:ascii="Arial" w:hAnsi="Arial"/>
                <w:sz w:val="20"/>
              </w:rPr>
              <w:t>F_z,hot (hot-pin axial = F_q / F_ΔH)</w:t>
            </w:r>
          </w:p>
        </w:tc>
        <w:tc>
          <w:tcPr>
            <w:tcW w:type="dxa" w:w="2351"/>
          </w:tcPr>
          <w:p>
            <w:r>
              <w:rPr>
                <w:rFonts w:ascii="Arial" w:hAnsi="Arial"/>
                <w:sz w:val="20"/>
              </w:rPr>
            </w:r>
            <w:r>
              <w:rPr>
                <w:rFonts w:ascii="Arial" w:hAnsi="Arial"/>
                <w:sz w:val="20"/>
              </w:rPr>
              <w:t>—</w:t>
            </w:r>
          </w:p>
        </w:tc>
        <w:tc>
          <w:tcPr>
            <w:tcW w:type="dxa" w:w="2351"/>
          </w:tcPr>
          <w:p>
            <w:r>
              <w:rPr>
                <w:rFonts w:ascii="Arial" w:hAnsi="Arial"/>
                <w:sz w:val="20"/>
              </w:rPr>
            </w:r>
            <w:r>
              <w:rPr>
                <w:rFonts w:ascii="Arial" w:hAnsi="Arial"/>
                <w:sz w:val="20"/>
              </w:rPr>
              <w:t>1.53</w:t>
            </w:r>
          </w:p>
        </w:tc>
        <w:tc>
          <w:tcPr>
            <w:tcW w:type="dxa" w:w="2351"/>
          </w:tcPr>
          <w:p>
            <w:r>
              <w:rPr>
                <w:rFonts w:ascii="Arial" w:hAnsi="Arial"/>
                <w:sz w:val="20"/>
              </w:rPr>
            </w:r>
            <w:r>
              <w:rPr>
                <w:rFonts w:ascii="Arial" w:hAnsi="Arial"/>
                <w:sz w:val="20"/>
              </w:rPr>
              <w:t>—</w:t>
            </w:r>
          </w:p>
        </w:tc>
      </w:tr>
    </w:tbl>
    <w:p/>
    <w:p>
      <w:pPr>
        <w:spacing w:before="40"/>
        <w:ind w:left="340"/>
      </w:pPr>
      <w:r>
        <w:rPr>
          <w:rFonts w:ascii="Arial" w:hAnsi="Arial"/>
          <w:i/>
          <w:color w:val="555555"/>
          <w:sz w:val="21"/>
        </w:rPr>
        <w:t xml:space="preserve">▸ </w:t>
      </w:r>
      <w:r>
        <w:rPr>
          <w:rFonts w:ascii="Arial" w:hAnsi="Arial"/>
          <w:i/>
          <w:color w:val="555555"/>
          <w:sz w:val="21"/>
        </w:rPr>
        <w:t xml:space="preserve">These are thermal-margin (DNBR) inputs, not stand-alone pass/fail gates. For context, the Jang SBF-SMPWR design limit is F_q &lt; 5.09 and the KEPCO i-SMR (HIGA) SBF core runs F_q ≈ 2.08 — the Aegis-40 rev_3 value sits well inside the SBF-SMR class. The binding thermal limit is the §8.4/§8.5 MDNBR analysis. </w:t>
      </w:r>
      <w:r>
        <w:rPr>
          <w:rFonts w:ascii="Arial" w:hAnsi="Arial"/>
          <w:b/>
          <w:i/>
          <w:color w:val="555555"/>
          <w:sz w:val="21"/>
        </w:rPr>
        <w:t>On the two axial factors.</w:t>
      </w:r>
      <w:r>
        <w:rPr>
          <w:rFonts w:ascii="Arial" w:hAnsi="Arial"/>
          <w:i/>
          <w:color w:val="555555"/>
          <w:sz w:val="21"/>
        </w:rPr>
        <w:t xml:space="preserve"> F_q = 3.48 is read </w:t>
      </w:r>
      <w:r>
        <w:rPr>
          <w:rFonts w:ascii="Arial" w:hAnsi="Arial"/>
          <w:b/>
          <w:i/>
          <w:color w:val="555555"/>
          <w:sz w:val="21"/>
        </w:rPr>
        <w:t>directly</w:t>
      </w:r>
      <w:r>
        <w:rPr>
          <w:rFonts w:ascii="Arial" w:hAnsi="Arial"/>
          <w:i/>
          <w:color w:val="555555"/>
          <w:sz w:val="21"/>
        </w:rPr>
        <w:t xml:space="preserve"> from the 3D pin-power tally (it is not reconstructed as a product). The </w:t>
      </w:r>
      <w:r>
        <w:rPr>
          <w:rFonts w:ascii="Arial" w:hAnsi="Arial"/>
          <w:b/>
          <w:i/>
          <w:color w:val="555555"/>
          <w:sz w:val="21"/>
        </w:rPr>
        <w:t>core-average</w:t>
      </w:r>
      <w:r>
        <w:rPr>
          <w:rFonts w:ascii="Arial" w:hAnsi="Arial"/>
          <w:i/>
          <w:color w:val="555555"/>
          <w:sz w:val="21"/>
        </w:rPr>
        <w:t xml:space="preserve"> axial peaking F_z = 1.03 is flat because the ±30 cm water reflectors give near-symmetric end-savings on the radially-averaged power shape; it is *not* the factor that multiplies F_ΔH. The relevant axial factor for the hot pin is F_z,hot = F_q / F_ΔH = 3.48 / 2.27 = </w:t>
      </w:r>
      <w:r>
        <w:rPr>
          <w:rFonts w:ascii="Arial" w:hAnsi="Arial"/>
          <w:b/>
          <w:i/>
          <w:color w:val="555555"/>
          <w:sz w:val="21"/>
        </w:rPr>
        <w:t>1.53</w:t>
      </w:r>
      <w:r>
        <w:rPr>
          <w:rFonts w:ascii="Arial" w:hAnsi="Arial"/>
          <w:i/>
          <w:color w:val="555555"/>
          <w:sz w:val="21"/>
        </w:rPr>
        <w:t>, i.e. the hot channel carries a more peaked axial shape than the core average. Reporting only the flat 1.03 alongside F_q = 3.48 would appear inconsistent (2.27 × 1.03 ≠ 3.48), so both axial factors are stated.</w:t>
      </w:r>
    </w:p>
    <w:p>
      <w:pPr>
        <w:jc w:val="both"/>
      </w:pPr>
      <w:r>
        <w:rPr>
          <w:rFonts w:ascii="Arial" w:hAnsi="Arial"/>
          <w:b/>
        </w:rPr>
        <w:t>Enrichment and burnable-absorber zoning — design basis, trade study, and benchmarking.</w:t>
      </w:r>
      <w:r>
        <w:rPr>
          <w:rFonts w:ascii="Arial" w:hAnsi="Arial"/>
        </w:rPr>
        <w:t xml:space="preserve"> A boron-free core must flatten power with solid zoning alone, and Aegis-40 does so through a deliberate</w:t>
      </w:r>
    </w:p>
    <w:p>
      <w:pPr>
        <w:jc w:val="both"/>
      </w:pPr>
      <w:r>
        <w:rPr>
          <w:rFonts w:ascii="Arial" w:hAnsi="Arial"/>
          <w:b/>
        </w:rPr>
        <w:t>division of labour between two independent tools</w:t>
      </w:r>
      <w:r>
        <w:rPr>
          <w:rFonts w:ascii="Arial" w:hAnsi="Arial"/>
        </w:rPr>
        <w:t>, each correcting a different peaking mechanism:</w:t>
      </w:r>
    </w:p>
    <w:p>
      <w:pPr>
        <w:pStyle w:val="ListBullet"/>
        <w:jc w:val="both"/>
      </w:pPr>
      <w:r>
        <w:rPr>
          <w:rFonts w:ascii="Arial" w:hAnsi="Arial"/>
          <w:b/>
        </w:rPr>
        <w:t>Intra-assembly enrichment grading — the pin-peak tool.</w:t>
      </w:r>
      <w:r>
        <w:rPr>
          <w:rFonts w:ascii="Arial" w:hAnsi="Arial"/>
        </w:rPr>
        <w:t xml:space="preserve"> Within *every* 17×17 assembly the pins are graded in three concentric zones, </w:t>
      </w:r>
      <w:r>
        <w:rPr>
          <w:rFonts w:ascii="Arial" w:hAnsi="Arial"/>
          <w:b/>
        </w:rPr>
        <w:t>4.95 wt% interior / 4.70 wt% intermediate / 4.40 wt% periphery</w:t>
      </w:r>
      <w:r>
        <w:rPr>
          <w:rFonts w:ascii="Arial" w:hAnsi="Arial"/>
        </w:rPr>
        <w:t xml:space="preserve"> (assembly average 4.69 wt%). The periphery pins border the inter-assembly water gaps — and, for edge assemblies, the radial water reflector — where the excess moderation drives a local thermal-flux and hence pin-power peak. De-enriching the outer ring relative to the interior suppresses exactly that peak. This *inner-hot / outer-cool* grading is standard LWR assembly practice and is used in the NuScale reference design (radial enrichment zoning within the assembly, FSAR Tier 2 §4.3). It is applied identically to all 21 assemblies so that no assembly carries an unflattened corner pin.</w:t>
      </w:r>
    </w:p>
    <w:p>
      <w:pPr>
        <w:pStyle w:val="ListBullet"/>
        <w:jc w:val="both"/>
      </w:pPr>
      <w:r>
        <w:rPr>
          <w:rFonts w:ascii="Arial" w:hAnsi="Arial"/>
          <w:b/>
        </w:rPr>
        <w:t>Radial Gd zoning across assemblies — the core-radial tool.</w:t>
      </w:r>
      <w:r>
        <w:rPr>
          <w:rFonts w:ascii="Arial" w:hAnsi="Arial"/>
        </w:rPr>
        <w:t xml:space="preserve"> The assembly-to-assembly tilt (centre hotter than edge — the Bessel-like radial shape) is flattened by zoning the </w:t>
      </w:r>
      <w:r>
        <w:rPr>
          <w:rFonts w:ascii="Arial" w:hAnsi="Arial"/>
          <w:b/>
        </w:rPr>
        <w:t>burnable absorber, not the enrichment</w:t>
      </w:r>
      <w:r>
        <w:rPr>
          <w:rFonts w:ascii="Arial" w:hAnsi="Arial"/>
        </w:rPr>
        <w:t xml:space="preserve">: 48 Gd rods in the centre assembly, 40 in the inner ring, 24 in the outer ring (core-average 32; Table 8.2-4). Because the per-ring weights are normalised to a fixed core-average Gd loading, this depresses central power </w:t>
      </w:r>
      <w:r>
        <w:rPr>
          <w:rFonts w:ascii="Arial" w:hAnsi="Arial"/>
          <w:b/>
        </w:rPr>
        <w:t>without relocating fissile mass and without changing BOC reactivity</w:t>
      </w:r>
      <w:r>
        <w:rPr>
          <w:rFonts w:ascii="Arial" w:hAnsi="Arial"/>
        </w:rPr>
        <w:t xml:space="preserve"> — it substitutes for the soluble-boron radial trim a borated core would use. The combined effect (Table 8.2-5) is the 24% reduction in assembly radial peaking and 18% in F_ΔH at constant k_BOL.</w:t>
      </w:r>
    </w:p>
    <w:p>
      <w:pPr>
        <w:jc w:val="both"/>
      </w:pPr>
      <w:r>
        <w:rPr>
          <w:rFonts w:ascii="Arial" w:hAnsi="Arial"/>
          <w:b/>
        </w:rPr>
        <w:t>Why not "out-in" enrichment loading?</w:t>
      </w:r>
      <w:r>
        <w:rPr>
          <w:rFonts w:ascii="Arial" w:hAnsi="Arial"/>
        </w:rPr>
        <w:t xml:space="preserve"> The standard large-PWR/NuScale radial-flattening technique is</w:t>
      </w:r>
    </w:p>
    <w:p>
      <w:pPr>
        <w:jc w:val="both"/>
      </w:pPr>
      <w:r>
        <w:rPr>
          <w:rFonts w:ascii="Arial" w:hAnsi="Arial"/>
        </w:rPr>
        <w:t>*out-in* loading — higher-enrichment assemblies on the periphery. We evaluated it directly, in two controlled full-core variants, against the locked rev_3 scheme (identical OpenMC statistics):</w:t>
      </w:r>
    </w:p>
    <w:p>
      <w:pPr>
        <w:jc w:val="both"/>
      </w:pPr>
      <w:r>
        <w:rPr>
          <w:rFonts w:ascii="Arial" w:hAnsi="Arial"/>
          <w:b/>
        </w:rPr>
        <w:t>Table 8.2-6 — Enrichment-zoning trade study (full-core OpenMC, 180/50/20 000)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DDE3EA"/>
          </w:tcPr>
          <w:p>
            <w:r>
              <w:rPr>
                <w:rFonts w:ascii="Arial" w:hAnsi="Arial"/>
                <w:b/>
                <w:sz w:val="20"/>
              </w:rPr>
            </w:r>
            <w:r>
              <w:rPr>
                <w:rFonts w:ascii="Arial" w:hAnsi="Arial"/>
                <w:b/>
                <w:sz w:val="20"/>
              </w:rPr>
              <w:t>Quantity</w:t>
            </w:r>
          </w:p>
        </w:tc>
        <w:tc>
          <w:tcPr>
            <w:tcW w:type="dxa" w:w="2351"/>
            <w:shd w:val="clear" w:fill="DDE3EA"/>
          </w:tcPr>
          <w:p>
            <w:r>
              <w:rPr>
                <w:rFonts w:ascii="Arial" w:hAnsi="Arial"/>
                <w:b/>
                <w:sz w:val="20"/>
              </w:rPr>
            </w:r>
            <w:r>
              <w:rPr>
                <w:rFonts w:ascii="Arial" w:hAnsi="Arial"/>
                <w:b/>
                <w:sz w:val="20"/>
              </w:rPr>
              <w:t>rev_3 (adopted)</w:t>
            </w:r>
          </w:p>
        </w:tc>
        <w:tc>
          <w:tcPr>
            <w:tcW w:type="dxa" w:w="2351"/>
            <w:shd w:val="clear" w:fill="DDE3EA"/>
          </w:tcPr>
          <w:p>
            <w:r>
              <w:rPr>
                <w:rFonts w:ascii="Arial" w:hAnsi="Arial"/>
                <w:b/>
                <w:sz w:val="20"/>
              </w:rPr>
            </w:r>
            <w:r>
              <w:rPr>
                <w:rFonts w:ascii="Arial" w:hAnsi="Arial"/>
                <w:b/>
                <w:sz w:val="20"/>
              </w:rPr>
              <w:t>rev_4 (out-in)</w:t>
            </w:r>
          </w:p>
        </w:tc>
        <w:tc>
          <w:tcPr>
            <w:tcW w:type="dxa" w:w="2351"/>
            <w:shd w:val="clear" w:fill="DDE3EA"/>
          </w:tcPr>
          <w:p>
            <w:r>
              <w:rPr>
                <w:rFonts w:ascii="Arial" w:hAnsi="Arial"/>
                <w:b/>
                <w:sz w:val="20"/>
              </w:rPr>
            </w:r>
            <w:r>
              <w:rPr>
                <w:rFonts w:ascii="Arial" w:hAnsi="Arial"/>
                <w:b/>
                <w:sz w:val="20"/>
              </w:rPr>
              <w:t>rev_5 (out-in + intra-FA)</w:t>
            </w:r>
          </w:p>
        </w:tc>
      </w:tr>
      <w:tr>
        <w:tc>
          <w:tcPr>
            <w:tcW w:type="dxa" w:w="2351"/>
          </w:tcPr>
          <w:p>
            <w:r>
              <w:rPr>
                <w:rFonts w:ascii="Arial" w:hAnsi="Arial"/>
                <w:sz w:val="20"/>
              </w:rPr>
            </w:r>
            <w:r>
              <w:rPr>
                <w:rFonts w:ascii="Arial" w:hAnsi="Arial"/>
                <w:sz w:val="20"/>
              </w:rPr>
              <w:t>Radial enrichment scheme</w:t>
            </w:r>
          </w:p>
        </w:tc>
        <w:tc>
          <w:tcPr>
            <w:tcW w:type="dxa" w:w="2351"/>
          </w:tcPr>
          <w:p>
            <w:r>
              <w:rPr>
                <w:rFonts w:ascii="Arial" w:hAnsi="Arial"/>
                <w:sz w:val="20"/>
              </w:rPr>
            </w:r>
            <w:r>
              <w:rPr>
                <w:rFonts w:ascii="Arial" w:hAnsi="Arial"/>
                <w:sz w:val="20"/>
              </w:rPr>
              <w:t>intra-FA grade only (4.95/4.70/4.40); assemblies uniform across core</w:t>
            </w:r>
          </w:p>
        </w:tc>
        <w:tc>
          <w:tcPr>
            <w:tcW w:type="dxa" w:w="2351"/>
          </w:tcPr>
          <w:p>
            <w:r>
              <w:rPr>
                <w:rFonts w:ascii="Arial" w:hAnsi="Arial"/>
                <w:sz w:val="20"/>
              </w:rPr>
            </w:r>
            <w:r>
              <w:rPr>
                <w:rFonts w:ascii="Arial" w:hAnsi="Arial"/>
                <w:sz w:val="20"/>
              </w:rPr>
              <w:t>inter-assembly out-in (4.13/4.54/4.83); each FA single-enrichment</w:t>
            </w:r>
          </w:p>
        </w:tc>
        <w:tc>
          <w:tcPr>
            <w:tcW w:type="dxa" w:w="2351"/>
          </w:tcPr>
          <w:p>
            <w:r>
              <w:rPr>
                <w:rFonts w:ascii="Arial" w:hAnsi="Arial"/>
                <w:sz w:val="20"/>
              </w:rPr>
            </w:r>
            <w:r>
              <w:rPr>
                <w:rFonts w:ascii="Arial" w:hAnsi="Arial"/>
                <w:sz w:val="20"/>
              </w:rPr>
              <w:t>out-in ring base + intra-FA grade superposed</w:t>
            </w:r>
          </w:p>
        </w:tc>
      </w:tr>
      <w:tr>
        <w:tc>
          <w:tcPr>
            <w:tcW w:type="dxa" w:w="2351"/>
          </w:tcPr>
          <w:p>
            <w:r>
              <w:rPr>
                <w:rFonts w:ascii="Arial" w:hAnsi="Arial"/>
                <w:sz w:val="20"/>
              </w:rPr>
            </w:r>
            <w:r>
              <w:rPr>
                <w:rFonts w:ascii="Arial" w:hAnsi="Arial"/>
                <w:sz w:val="20"/>
              </w:rPr>
              <w:t>k_eff, BOL</w:t>
            </w:r>
          </w:p>
        </w:tc>
        <w:tc>
          <w:tcPr>
            <w:tcW w:type="dxa" w:w="2351"/>
          </w:tcPr>
          <w:p>
            <w:r>
              <w:rPr>
                <w:rFonts w:ascii="Arial" w:hAnsi="Arial"/>
                <w:sz w:val="20"/>
              </w:rPr>
            </w:r>
            <w:r>
              <w:rPr>
                <w:rFonts w:ascii="Arial" w:hAnsi="Arial"/>
                <w:sz w:val="20"/>
              </w:rPr>
              <w:t>1.0264</w:t>
            </w:r>
          </w:p>
        </w:tc>
        <w:tc>
          <w:tcPr>
            <w:tcW w:type="dxa" w:w="2351"/>
          </w:tcPr>
          <w:p>
            <w:r>
              <w:rPr>
                <w:rFonts w:ascii="Arial" w:hAnsi="Arial"/>
                <w:sz w:val="20"/>
              </w:rPr>
            </w:r>
            <w:r>
              <w:rPr>
                <w:rFonts w:ascii="Arial" w:hAnsi="Arial"/>
                <w:sz w:val="20"/>
              </w:rPr>
              <w:t>1.0261</w:t>
            </w:r>
          </w:p>
        </w:tc>
        <w:tc>
          <w:tcPr>
            <w:tcW w:type="dxa" w:w="2351"/>
          </w:tcPr>
          <w:p>
            <w:r>
              <w:rPr>
                <w:rFonts w:ascii="Arial" w:hAnsi="Arial"/>
                <w:sz w:val="20"/>
              </w:rPr>
            </w:r>
            <w:r>
              <w:rPr>
                <w:rFonts w:ascii="Arial" w:hAnsi="Arial"/>
                <w:sz w:val="20"/>
              </w:rPr>
              <w:t>1.0225</w:t>
            </w:r>
          </w:p>
        </w:tc>
      </w:tr>
      <w:tr>
        <w:tc>
          <w:tcPr>
            <w:tcW w:type="dxa" w:w="2351"/>
          </w:tcPr>
          <w:p>
            <w:r>
              <w:rPr>
                <w:rFonts w:ascii="Arial" w:hAnsi="Arial"/>
                <w:sz w:val="20"/>
              </w:rPr>
            </w:r>
            <w:r>
              <w:rPr>
                <w:rFonts w:ascii="Arial" w:hAnsi="Arial"/>
                <w:b/>
                <w:sz w:val="20"/>
              </w:rPr>
              <w:t>F_q (3-D hot pin)</w:t>
            </w:r>
          </w:p>
        </w:tc>
        <w:tc>
          <w:tcPr>
            <w:tcW w:type="dxa" w:w="2351"/>
          </w:tcPr>
          <w:p>
            <w:r>
              <w:rPr>
                <w:rFonts w:ascii="Arial" w:hAnsi="Arial"/>
                <w:sz w:val="20"/>
              </w:rPr>
            </w:r>
            <w:r>
              <w:rPr>
                <w:rFonts w:ascii="Arial" w:hAnsi="Arial"/>
                <w:b/>
                <w:sz w:val="20"/>
              </w:rPr>
              <w:t>3.48</w:t>
            </w:r>
          </w:p>
        </w:tc>
        <w:tc>
          <w:tcPr>
            <w:tcW w:type="dxa" w:w="2351"/>
          </w:tcPr>
          <w:p>
            <w:r>
              <w:rPr>
                <w:rFonts w:ascii="Arial" w:hAnsi="Arial"/>
                <w:sz w:val="20"/>
              </w:rPr>
            </w:r>
            <w:r>
              <w:rPr>
                <w:rFonts w:ascii="Arial" w:hAnsi="Arial"/>
                <w:sz w:val="20"/>
              </w:rPr>
              <w:t>3.61</w:t>
            </w:r>
          </w:p>
        </w:tc>
        <w:tc>
          <w:tcPr>
            <w:tcW w:type="dxa" w:w="2351"/>
          </w:tcPr>
          <w:p>
            <w:r>
              <w:rPr>
                <w:rFonts w:ascii="Arial" w:hAnsi="Arial"/>
                <w:sz w:val="20"/>
              </w:rPr>
            </w:r>
            <w:r>
              <w:rPr>
                <w:rFonts w:ascii="Arial" w:hAnsi="Arial"/>
                <w:sz w:val="20"/>
              </w:rPr>
              <w:t>3.54</w:t>
            </w:r>
          </w:p>
        </w:tc>
      </w:tr>
      <w:tr>
        <w:tc>
          <w:tcPr>
            <w:tcW w:type="dxa" w:w="2351"/>
          </w:tcPr>
          <w:p>
            <w:r>
              <w:rPr>
                <w:rFonts w:ascii="Arial" w:hAnsi="Arial"/>
                <w:sz w:val="20"/>
              </w:rPr>
            </w:r>
            <w:r>
              <w:rPr>
                <w:rFonts w:ascii="Arial" w:hAnsi="Arial"/>
                <w:sz w:val="20"/>
              </w:rPr>
              <w:t>F_ΔH (radial)</w:t>
            </w:r>
          </w:p>
        </w:tc>
        <w:tc>
          <w:tcPr>
            <w:tcW w:type="dxa" w:w="2351"/>
          </w:tcPr>
          <w:p>
            <w:r>
              <w:rPr>
                <w:rFonts w:ascii="Arial" w:hAnsi="Arial"/>
                <w:sz w:val="20"/>
              </w:rPr>
            </w:r>
            <w:r>
              <w:rPr>
                <w:rFonts w:ascii="Arial" w:hAnsi="Arial"/>
                <w:sz w:val="20"/>
              </w:rPr>
              <w:t>2.27</w:t>
            </w:r>
          </w:p>
        </w:tc>
        <w:tc>
          <w:tcPr>
            <w:tcW w:type="dxa" w:w="2351"/>
          </w:tcPr>
          <w:p>
            <w:r>
              <w:rPr>
                <w:rFonts w:ascii="Arial" w:hAnsi="Arial"/>
                <w:sz w:val="20"/>
              </w:rPr>
            </w:r>
            <w:r>
              <w:rPr>
                <w:rFonts w:ascii="Arial" w:hAnsi="Arial"/>
                <w:sz w:val="20"/>
              </w:rPr>
              <w:t>2.17</w:t>
            </w:r>
          </w:p>
        </w:tc>
        <w:tc>
          <w:tcPr>
            <w:tcW w:type="dxa" w:w="2351"/>
          </w:tcPr>
          <w:p>
            <w:r>
              <w:rPr>
                <w:rFonts w:ascii="Arial" w:hAnsi="Arial"/>
                <w:sz w:val="20"/>
              </w:rPr>
            </w:r>
            <w:r>
              <w:rPr>
                <w:rFonts w:ascii="Arial" w:hAnsi="Arial"/>
                <w:sz w:val="20"/>
              </w:rPr>
              <w:t>2.14</w:t>
            </w:r>
          </w:p>
        </w:tc>
      </w:tr>
      <w:tr>
        <w:tc>
          <w:tcPr>
            <w:tcW w:type="dxa" w:w="2351"/>
          </w:tcPr>
          <w:p>
            <w:r>
              <w:rPr>
                <w:rFonts w:ascii="Arial" w:hAnsi="Arial"/>
                <w:sz w:val="20"/>
              </w:rPr>
            </w:r>
            <w:r>
              <w:rPr>
                <w:rFonts w:ascii="Arial" w:hAnsi="Arial"/>
                <w:sz w:val="20"/>
              </w:rPr>
              <w:t>F_radial (assembly)</w:t>
            </w:r>
          </w:p>
        </w:tc>
        <w:tc>
          <w:tcPr>
            <w:tcW w:type="dxa" w:w="2351"/>
          </w:tcPr>
          <w:p>
            <w:r>
              <w:rPr>
                <w:rFonts w:ascii="Arial" w:hAnsi="Arial"/>
                <w:sz w:val="20"/>
              </w:rPr>
            </w:r>
            <w:r>
              <w:rPr>
                <w:rFonts w:ascii="Arial" w:hAnsi="Arial"/>
                <w:sz w:val="20"/>
              </w:rPr>
              <w:t>1.23</w:t>
            </w:r>
          </w:p>
        </w:tc>
        <w:tc>
          <w:tcPr>
            <w:tcW w:type="dxa" w:w="2351"/>
          </w:tcPr>
          <w:p>
            <w:r>
              <w:rPr>
                <w:rFonts w:ascii="Arial" w:hAnsi="Arial"/>
                <w:sz w:val="20"/>
              </w:rPr>
            </w:r>
            <w:r>
              <w:rPr>
                <w:rFonts w:ascii="Arial" w:hAnsi="Arial"/>
                <w:sz w:val="20"/>
              </w:rPr>
              <w:t>1.17</w:t>
            </w:r>
          </w:p>
        </w:tc>
        <w:tc>
          <w:tcPr>
            <w:tcW w:type="dxa" w:w="2351"/>
          </w:tcPr>
          <w:p>
            <w:r>
              <w:rPr>
                <w:rFonts w:ascii="Arial" w:hAnsi="Arial"/>
                <w:sz w:val="20"/>
              </w:rPr>
            </w:r>
            <w:r>
              <w:rPr>
                <w:rFonts w:ascii="Arial" w:hAnsi="Arial"/>
                <w:sz w:val="20"/>
              </w:rPr>
              <w:t>1.15</w:t>
            </w:r>
          </w:p>
        </w:tc>
      </w:tr>
      <w:tr>
        <w:tc>
          <w:tcPr>
            <w:tcW w:type="dxa" w:w="2351"/>
          </w:tcPr>
          <w:p>
            <w:r>
              <w:rPr>
                <w:rFonts w:ascii="Arial" w:hAnsi="Arial"/>
                <w:sz w:val="20"/>
              </w:rPr>
            </w:r>
            <w:r>
              <w:rPr>
                <w:rFonts w:ascii="Arial" w:hAnsi="Arial"/>
                <w:sz w:val="20"/>
              </w:rPr>
              <w:t>Discharge burnup (GWd/MTU)</w:t>
            </w:r>
          </w:p>
        </w:tc>
        <w:tc>
          <w:tcPr>
            <w:tcW w:type="dxa" w:w="2351"/>
          </w:tcPr>
          <w:p>
            <w:r>
              <w:rPr>
                <w:rFonts w:ascii="Arial" w:hAnsi="Arial"/>
                <w:sz w:val="20"/>
              </w:rPr>
            </w:r>
            <w:r>
              <w:rPr>
                <w:rFonts w:ascii="Arial" w:hAnsi="Arial"/>
                <w:b/>
                <w:sz w:val="20"/>
              </w:rPr>
              <w:t>42.8</w:t>
            </w:r>
          </w:p>
        </w:tc>
        <w:tc>
          <w:tcPr>
            <w:tcW w:type="dxa" w:w="2351"/>
          </w:tcPr>
          <w:p>
            <w:r>
              <w:rPr>
                <w:rFonts w:ascii="Arial" w:hAnsi="Arial"/>
                <w:sz w:val="20"/>
              </w:rPr>
            </w:r>
            <w:r>
              <w:rPr>
                <w:rFonts w:ascii="Arial" w:hAnsi="Arial"/>
                <w:sz w:val="20"/>
              </w:rPr>
              <w:t>41.1</w:t>
            </w:r>
          </w:p>
        </w:tc>
        <w:tc>
          <w:tcPr>
            <w:tcW w:type="dxa" w:w="2351"/>
          </w:tcPr>
          <w:p>
            <w:r>
              <w:rPr>
                <w:rFonts w:ascii="Arial" w:hAnsi="Arial"/>
                <w:sz w:val="20"/>
              </w:rPr>
            </w:r>
            <w:r>
              <w:rPr>
                <w:rFonts w:ascii="Arial" w:hAnsi="Arial"/>
                <w:sz w:val="20"/>
              </w:rPr>
              <w:t>39.3</w:t>
            </w:r>
          </w:p>
        </w:tc>
      </w:tr>
      <w:tr>
        <w:tc>
          <w:tcPr>
            <w:tcW w:type="dxa" w:w="2351"/>
          </w:tcPr>
          <w:p>
            <w:r>
              <w:rPr>
                <w:rFonts w:ascii="Arial" w:hAnsi="Arial"/>
                <w:sz w:val="20"/>
              </w:rPr>
            </w:r>
            <w:r>
              <w:rPr>
                <w:rFonts w:ascii="Arial" w:hAnsi="Arial"/>
                <w:sz w:val="20"/>
              </w:rPr>
              <w:t>Cycle length (EFPD)</w:t>
            </w:r>
          </w:p>
        </w:tc>
        <w:tc>
          <w:tcPr>
            <w:tcW w:type="dxa" w:w="2351"/>
          </w:tcPr>
          <w:p>
            <w:r>
              <w:rPr>
                <w:rFonts w:ascii="Arial" w:hAnsi="Arial"/>
                <w:sz w:val="20"/>
              </w:rPr>
            </w:r>
            <w:r>
              <w:rPr>
                <w:rFonts w:ascii="Arial" w:hAnsi="Arial"/>
                <w:b/>
                <w:sz w:val="20"/>
              </w:rPr>
              <w:t>479</w:t>
            </w:r>
          </w:p>
        </w:tc>
        <w:tc>
          <w:tcPr>
            <w:tcW w:type="dxa" w:w="2351"/>
          </w:tcPr>
          <w:p>
            <w:r>
              <w:rPr>
                <w:rFonts w:ascii="Arial" w:hAnsi="Arial"/>
                <w:sz w:val="20"/>
              </w:rPr>
            </w:r>
            <w:r>
              <w:rPr>
                <w:rFonts w:ascii="Arial" w:hAnsi="Arial"/>
                <w:sz w:val="20"/>
              </w:rPr>
              <w:t>460</w:t>
            </w:r>
          </w:p>
        </w:tc>
        <w:tc>
          <w:tcPr>
            <w:tcW w:type="dxa" w:w="2351"/>
          </w:tcPr>
          <w:p>
            <w:r>
              <w:rPr>
                <w:rFonts w:ascii="Arial" w:hAnsi="Arial"/>
                <w:sz w:val="20"/>
              </w:rPr>
            </w:r>
            <w:r>
              <w:rPr>
                <w:rFonts w:ascii="Arial" w:hAnsi="Arial"/>
                <w:sz w:val="20"/>
              </w:rPr>
              <w:t>440</w:t>
            </w:r>
          </w:p>
        </w:tc>
      </w:tr>
      <w:tr>
        <w:tc>
          <w:tcPr>
            <w:tcW w:type="dxa" w:w="2351"/>
          </w:tcPr>
          <w:p>
            <w:r>
              <w:rPr>
                <w:rFonts w:ascii="Arial" w:hAnsi="Arial"/>
                <w:sz w:val="20"/>
              </w:rPr>
            </w:r>
            <w:r>
              <w:rPr>
                <w:rFonts w:ascii="Arial" w:hAnsi="Arial"/>
                <w:sz w:val="20"/>
              </w:rPr>
              <w:t>Control-rod worth (pcm)</w:t>
            </w:r>
          </w:p>
        </w:tc>
        <w:tc>
          <w:tcPr>
            <w:tcW w:type="dxa" w:w="2351"/>
          </w:tcPr>
          <w:p>
            <w:r>
              <w:rPr>
                <w:rFonts w:ascii="Arial" w:hAnsi="Arial"/>
                <w:sz w:val="20"/>
              </w:rPr>
            </w:r>
            <w:r>
              <w:rPr>
                <w:rFonts w:ascii="Arial" w:hAnsi="Arial"/>
                <w:b/>
                <w:sz w:val="20"/>
              </w:rPr>
              <w:t>15 226</w:t>
            </w:r>
          </w:p>
        </w:tc>
        <w:tc>
          <w:tcPr>
            <w:tcW w:type="dxa" w:w="2351"/>
          </w:tcPr>
          <w:p>
            <w:r>
              <w:rPr>
                <w:rFonts w:ascii="Arial" w:hAnsi="Arial"/>
                <w:sz w:val="20"/>
              </w:rPr>
            </w:r>
            <w:r>
              <w:rPr>
                <w:rFonts w:ascii="Arial" w:hAnsi="Arial"/>
                <w:sz w:val="20"/>
              </w:rPr>
              <w:t>—</w:t>
            </w:r>
          </w:p>
        </w:tc>
        <w:tc>
          <w:tcPr>
            <w:tcW w:type="dxa" w:w="2351"/>
          </w:tcPr>
          <w:p>
            <w:r>
              <w:rPr>
                <w:rFonts w:ascii="Arial" w:hAnsi="Arial"/>
                <w:sz w:val="20"/>
              </w:rPr>
            </w:r>
            <w:r>
              <w:rPr>
                <w:rFonts w:ascii="Arial" w:hAnsi="Arial"/>
                <w:sz w:val="20"/>
              </w:rPr>
              <w:t>14 382</w:t>
            </w:r>
          </w:p>
        </w:tc>
      </w:tr>
      <w:tr>
        <w:tc>
          <w:tcPr>
            <w:tcW w:type="dxa" w:w="2351"/>
          </w:tcPr>
          <w:p>
            <w:r>
              <w:rPr>
                <w:rFonts w:ascii="Arial" w:hAnsi="Arial"/>
                <w:sz w:val="20"/>
              </w:rPr>
            </w:r>
            <w:r>
              <w:rPr>
                <w:rFonts w:ascii="Arial" w:hAnsi="Arial"/>
                <w:sz w:val="20"/>
              </w:rPr>
              <w:t>Shutdown margin (%Δk/k)</w:t>
            </w:r>
          </w:p>
        </w:tc>
        <w:tc>
          <w:tcPr>
            <w:tcW w:type="dxa" w:w="2351"/>
          </w:tcPr>
          <w:p>
            <w:r>
              <w:rPr>
                <w:rFonts w:ascii="Arial" w:hAnsi="Arial"/>
                <w:sz w:val="20"/>
              </w:rPr>
            </w:r>
            <w:r>
              <w:rPr>
                <w:rFonts w:ascii="Arial" w:hAnsi="Arial"/>
                <w:b/>
                <w:sz w:val="20"/>
              </w:rPr>
              <w:t>12.4</w:t>
            </w:r>
          </w:p>
        </w:tc>
        <w:tc>
          <w:tcPr>
            <w:tcW w:type="dxa" w:w="2351"/>
          </w:tcPr>
          <w:p>
            <w:r>
              <w:rPr>
                <w:rFonts w:ascii="Arial" w:hAnsi="Arial"/>
                <w:sz w:val="20"/>
              </w:rPr>
            </w:r>
            <w:r>
              <w:rPr>
                <w:rFonts w:ascii="Arial" w:hAnsi="Arial"/>
                <w:sz w:val="20"/>
              </w:rPr>
              <w:t>—</w:t>
            </w:r>
          </w:p>
        </w:tc>
        <w:tc>
          <w:tcPr>
            <w:tcW w:type="dxa" w:w="2351"/>
          </w:tcPr>
          <w:p>
            <w:r>
              <w:rPr>
                <w:rFonts w:ascii="Arial" w:hAnsi="Arial"/>
                <w:sz w:val="20"/>
              </w:rPr>
            </w:r>
            <w:r>
              <w:rPr>
                <w:rFonts w:ascii="Arial" w:hAnsi="Arial"/>
                <w:sz w:val="20"/>
              </w:rPr>
              <w:t>11.9</w:t>
            </w:r>
          </w:p>
        </w:tc>
      </w:tr>
      <w:tr>
        <w:tc>
          <w:tcPr>
            <w:tcW w:type="dxa" w:w="2351"/>
          </w:tcPr>
          <w:p>
            <w:r>
              <w:rPr>
                <w:rFonts w:ascii="Arial" w:hAnsi="Arial"/>
                <w:sz w:val="20"/>
              </w:rPr>
            </w:r>
            <w:r>
              <w:rPr>
                <w:rFonts w:ascii="Arial" w:hAnsi="Arial"/>
                <w:sz w:val="20"/>
              </w:rPr>
              <w:t>Max pin enrichment (wt%)</w:t>
            </w:r>
          </w:p>
        </w:tc>
        <w:tc>
          <w:tcPr>
            <w:tcW w:type="dxa" w:w="2351"/>
          </w:tcPr>
          <w:p>
            <w:r>
              <w:rPr>
                <w:rFonts w:ascii="Arial" w:hAnsi="Arial"/>
                <w:sz w:val="20"/>
              </w:rPr>
            </w:r>
            <w:r>
              <w:rPr>
                <w:rFonts w:ascii="Arial" w:hAnsi="Arial"/>
                <w:sz w:val="20"/>
              </w:rPr>
              <w:t>4.95 (0.05 margin)</w:t>
            </w:r>
          </w:p>
        </w:tc>
        <w:tc>
          <w:tcPr>
            <w:tcW w:type="dxa" w:w="2351"/>
          </w:tcPr>
          <w:p>
            <w:r>
              <w:rPr>
                <w:rFonts w:ascii="Arial" w:hAnsi="Arial"/>
                <w:sz w:val="20"/>
              </w:rPr>
            </w:r>
            <w:r>
              <w:rPr>
                <w:rFonts w:ascii="Arial" w:hAnsi="Arial"/>
                <w:sz w:val="20"/>
              </w:rPr>
              <w:t>4.84</w:t>
            </w:r>
          </w:p>
        </w:tc>
        <w:tc>
          <w:tcPr>
            <w:tcW w:type="dxa" w:w="2351"/>
          </w:tcPr>
          <w:p>
            <w:r>
              <w:rPr>
                <w:rFonts w:ascii="Arial" w:hAnsi="Arial"/>
                <w:sz w:val="20"/>
              </w:rPr>
            </w:r>
            <w:r>
              <w:rPr>
                <w:rFonts w:ascii="Arial" w:hAnsi="Arial"/>
                <w:b/>
                <w:sz w:val="20"/>
              </w:rPr>
              <w:t>5.00 (no margin)</w:t>
            </w:r>
          </w:p>
        </w:tc>
      </w:tr>
      <w:tr>
        <w:tc>
          <w:tcPr>
            <w:tcW w:type="dxa" w:w="2351"/>
          </w:tcPr>
          <w:p>
            <w:r>
              <w:rPr>
                <w:rFonts w:ascii="Arial" w:hAnsi="Arial"/>
                <w:sz w:val="20"/>
              </w:rPr>
            </w:r>
            <w:r>
              <w:rPr>
                <w:rFonts w:ascii="Arial" w:hAnsi="Arial"/>
                <w:sz w:val="20"/>
              </w:rPr>
              <w:t>Gd-157 residual at EOC</w:t>
            </w:r>
          </w:p>
        </w:tc>
        <w:tc>
          <w:tcPr>
            <w:tcW w:type="dxa" w:w="2351"/>
          </w:tcPr>
          <w:p>
            <w:r>
              <w:rPr>
                <w:rFonts w:ascii="Arial" w:hAnsi="Arial"/>
                <w:sz w:val="20"/>
              </w:rPr>
            </w:r>
            <w:r>
              <w:rPr>
                <w:rFonts w:ascii="Arial" w:hAnsi="Arial"/>
                <w:sz w:val="20"/>
              </w:rPr>
              <w:t>0.1% (burnt out)</w:t>
            </w:r>
          </w:p>
        </w:tc>
        <w:tc>
          <w:tcPr>
            <w:tcW w:type="dxa" w:w="2351"/>
          </w:tcPr>
          <w:p>
            <w:r>
              <w:rPr>
                <w:rFonts w:ascii="Arial" w:hAnsi="Arial"/>
                <w:sz w:val="20"/>
              </w:rPr>
            </w:r>
            <w:r>
              <w:rPr>
                <w:rFonts w:ascii="Arial" w:hAnsi="Arial"/>
                <w:sz w:val="20"/>
              </w:rPr>
              <w:t>—</w:t>
            </w:r>
          </w:p>
        </w:tc>
        <w:tc>
          <w:tcPr>
            <w:tcW w:type="dxa" w:w="2351"/>
          </w:tcPr>
          <w:p>
            <w:r>
              <w:rPr>
                <w:rFonts w:ascii="Arial" w:hAnsi="Arial"/>
                <w:sz w:val="20"/>
              </w:rPr>
            </w:r>
            <w:r>
              <w:rPr>
                <w:rFonts w:ascii="Arial" w:hAnsi="Arial"/>
                <w:sz w:val="20"/>
              </w:rPr>
              <w:t>36% (unburnt)</w:t>
            </w:r>
          </w:p>
        </w:tc>
      </w:tr>
    </w:tbl>
    <w:p/>
    <w:p>
      <w:pPr>
        <w:jc w:val="both"/>
      </w:pPr>
      <w:r>
        <w:rPr>
          <w:rFonts w:ascii="Arial" w:hAnsi="Arial"/>
        </w:rPr>
        <w:t xml:space="preserve">The out-in variants do flatten the </w:t>
      </w:r>
      <w:r>
        <w:rPr>
          <w:rFonts w:ascii="Arial" w:hAnsi="Arial"/>
          <w:b/>
        </w:rPr>
        <w:t>assembly-average</w:t>
      </w:r>
      <w:r>
        <w:rPr>
          <w:rFonts w:ascii="Arial" w:hAnsi="Arial"/>
        </w:rPr>
        <w:t xml:space="preserve"> map (F_radial 1.23 → 1.15–1.17), but they</w:t>
      </w:r>
    </w:p>
    <w:p>
      <w:pPr>
        <w:jc w:val="both"/>
      </w:pPr>
      <w:r>
        <w:rPr>
          <w:rFonts w:ascii="Arial" w:hAnsi="Arial"/>
          <w:b/>
        </w:rPr>
        <w:t>regress the metric that actually governs thermal margin — the 3-D hot-pin F_q</w:t>
      </w:r>
      <w:r>
        <w:rPr>
          <w:rFonts w:ascii="Arial" w:hAnsi="Arial"/>
        </w:rPr>
        <w:t xml:space="preserve"> — and they cost cycle length and burnup:</w:t>
      </w:r>
    </w:p>
    <w:p>
      <w:pPr>
        <w:pStyle w:val="ListBullet"/>
        <w:jc w:val="both"/>
      </w:pPr>
      <w:r>
        <w:rPr>
          <w:rFonts w:ascii="Arial" w:hAnsi="Arial"/>
        </w:rPr>
        <w:t>*rev_4* makes each assembly a single enrichment to realise the out-in tilt, which discards the intra-assembly pin grading; the local periphery pin-peak returns and F_q rises 3.48 → 3.61.</w:t>
      </w:r>
    </w:p>
    <w:p>
      <w:pPr>
        <w:pStyle w:val="ListBullet"/>
        <w:jc w:val="both"/>
      </w:pPr>
      <w:r>
        <w:rPr>
          <w:rFonts w:ascii="Arial" w:hAnsi="Arial"/>
        </w:rPr>
        <w:t xml:space="preserve">*rev_5* keeps both (out-in base + intra-FA grade) and achieves the flattest assembly map, but F_q is still worse than rev_3 (3.54 &gt; 3.48), discharge burnup falls to 39.3 GWd/MTU, the peak pin is pinned at exactly the 5.0 wt% LEU ceiling (zero licensing margin), and </w:t>
      </w:r>
      <w:r>
        <w:rPr>
          <w:rFonts w:ascii="Arial" w:hAnsi="Arial"/>
          <w:b/>
        </w:rPr>
        <w:t>36% of the Gd-157 is left unburnt at EOC</w:t>
      </w:r>
      <w:r>
        <w:rPr>
          <w:rFonts w:ascii="Arial" w:hAnsi="Arial"/>
        </w:rPr>
        <w:t xml:space="preserve"> — reactivity locked up that never contributed to cycle length.</w:t>
      </w:r>
    </w:p>
    <w:p>
      <w:pPr>
        <w:jc w:val="both"/>
      </w:pPr>
      <w:r>
        <w:rPr>
          <w:rFonts w:ascii="Arial" w:hAnsi="Arial"/>
        </w:rPr>
        <w:t>Two physics reasons explain why out-in helps NuScale but not Aegis-40:</w:t>
      </w:r>
    </w:p>
    <w:p>
      <w:pPr>
        <w:pStyle w:val="ListNumber"/>
        <w:jc w:val="both"/>
      </w:pPr>
      <w:r>
        <w:rPr>
          <w:rFonts w:ascii="Arial" w:hAnsi="Arial"/>
          <w:b/>
        </w:rPr>
        <w:t>No soluble boron.</w:t>
      </w:r>
      <w:r>
        <w:rPr>
          <w:rFonts w:ascii="Arial" w:hAnsi="Arial"/>
        </w:rPr>
        <w:t xml:space="preserve"> NuScale pairs out-in loading with chemical shim (equilibrium cycle ≈ 1235 ppm boron) that carries the bulk reactivity swing and provides fine radial trim, so its enrichment tilt only has to do gentle shaping. With no boron, our enrichment tilt must do the whole job and overshoots.</w:t>
      </w:r>
    </w:p>
    <w:p>
      <w:pPr>
        <w:pStyle w:val="ListNumber"/>
        <w:jc w:val="both"/>
      </w:pPr>
      <w:r>
        <w:rPr>
          <w:rFonts w:ascii="Arial" w:hAnsi="Arial"/>
          <w:b/>
        </w:rPr>
        <w:t>A small, water-reflected core leaks.</w:t>
      </w:r>
      <w:r>
        <w:rPr>
          <w:rFonts w:ascii="Arial" w:hAnsi="Arial"/>
        </w:rPr>
        <w:t xml:space="preserve"> Out-in pushes fissile mass toward the periphery. Behind a large core's steel/heavy reflector this is nearly free; in our 21-assembly core behind only a 20 cm water reflector (vacuum outer boundary) the periphery is neutronically leaky, so relocating fissile outward bleeds neutrons — directly the ~20–40 EFPD of lost cycle above.</w:t>
      </w:r>
    </w:p>
    <w:p>
      <w:pPr>
        <w:jc w:val="both"/>
      </w:pPr>
      <w:r>
        <w:rPr>
          <w:rFonts w:ascii="Arial" w:hAnsi="Arial"/>
        </w:rPr>
        <w:t xml:space="preserve">The adopted division of labour — </w:t>
      </w:r>
      <w:r>
        <w:rPr>
          <w:rFonts w:ascii="Arial" w:hAnsi="Arial"/>
          <w:b/>
        </w:rPr>
        <w:t>Gd zoning for the core-radial shape, intra-assembly enrichment grading for the pin peak</w:t>
      </w:r>
      <w:r>
        <w:rPr>
          <w:rFonts w:ascii="Arial" w:hAnsi="Arial"/>
        </w:rPr>
        <w:t xml:space="preserve"> — therefore wins on every binding metric (F_q, discharge burnup, cycle length, shutdown margin, and enrichment margin) and is retained as the locked rev_3 design.</w:t>
      </w:r>
    </w:p>
    <w:p>
      <w:pPr>
        <w:jc w:val="both"/>
      </w:pPr>
      <w:r>
        <w:rPr>
          <w:rFonts w:ascii="Arial" w:hAnsi="Arial"/>
          <w:b/>
        </w:rPr>
        <w:t>Benchmarking against reference iPWR/SMR cores.</w:t>
      </w:r>
      <w:r>
        <w:rPr>
          <w:rFonts w:ascii="Arial" w:hAnsi="Arial"/>
        </w:rPr>
        <w:t xml:space="preserve"> Table 8.2-7 places the Aegis-40 design point against two well-documented integral-PWR SMRs: NuScale (US, borated iPWR; FSAR Tier 2 §4.3) and RITM-200 (Russia, marine/land iPWR).</w:t>
      </w:r>
    </w:p>
    <w:p>
      <w:pPr>
        <w:jc w:val="both"/>
      </w:pPr>
      <w:r>
        <w:rPr>
          <w:rFonts w:ascii="Arial" w:hAnsi="Arial"/>
          <w:b/>
        </w:rPr>
        <w:t>Table 8.2-7 — Neutronic benchmarking against reference iPWR SMRs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DDE3EA"/>
          </w:tcPr>
          <w:p>
            <w:r>
              <w:rPr>
                <w:rFonts w:ascii="Arial" w:hAnsi="Arial"/>
                <w:b/>
                <w:sz w:val="20"/>
              </w:rPr>
            </w:r>
            <w:r>
              <w:rPr>
                <w:rFonts w:ascii="Arial" w:hAnsi="Arial"/>
                <w:b/>
                <w:sz w:val="20"/>
              </w:rPr>
              <w:t>Parameter</w:t>
            </w:r>
          </w:p>
        </w:tc>
        <w:tc>
          <w:tcPr>
            <w:tcW w:type="dxa" w:w="2351"/>
            <w:shd w:val="clear" w:fill="DDE3EA"/>
          </w:tcPr>
          <w:p>
            <w:r>
              <w:rPr>
                <w:rFonts w:ascii="Arial" w:hAnsi="Arial"/>
                <w:b/>
                <w:sz w:val="20"/>
              </w:rPr>
            </w:r>
            <w:r>
              <w:rPr>
                <w:rFonts w:ascii="Arial" w:hAnsi="Arial"/>
                <w:b/>
                <w:sz w:val="20"/>
              </w:rPr>
              <w:t>Aegis-40 (rev_3)</w:t>
            </w:r>
          </w:p>
        </w:tc>
        <w:tc>
          <w:tcPr>
            <w:tcW w:type="dxa" w:w="2351"/>
            <w:shd w:val="clear" w:fill="DDE3EA"/>
          </w:tcPr>
          <w:p>
            <w:r>
              <w:rPr>
                <w:rFonts w:ascii="Arial" w:hAnsi="Arial"/>
                <w:b/>
                <w:sz w:val="20"/>
              </w:rPr>
            </w:r>
            <w:r>
              <w:rPr>
                <w:rFonts w:ascii="Arial" w:hAnsi="Arial"/>
                <w:b/>
                <w:sz w:val="20"/>
              </w:rPr>
              <w:t>NuScale (FSAR)</w:t>
            </w:r>
          </w:p>
        </w:tc>
        <w:tc>
          <w:tcPr>
            <w:tcW w:type="dxa" w:w="2351"/>
            <w:shd w:val="clear" w:fill="DDE3EA"/>
          </w:tcPr>
          <w:p>
            <w:r>
              <w:rPr>
                <w:rFonts w:ascii="Arial" w:hAnsi="Arial"/>
                <w:b/>
                <w:sz w:val="20"/>
              </w:rPr>
            </w:r>
            <w:r>
              <w:rPr>
                <w:rFonts w:ascii="Arial" w:hAnsi="Arial"/>
                <w:b/>
                <w:sz w:val="20"/>
              </w:rPr>
              <w:t>RITM-200</w:t>
            </w:r>
          </w:p>
        </w:tc>
      </w:tr>
      <w:tr>
        <w:tc>
          <w:tcPr>
            <w:tcW w:type="dxa" w:w="2351"/>
          </w:tcPr>
          <w:p>
            <w:r>
              <w:rPr>
                <w:rFonts w:ascii="Arial" w:hAnsi="Arial"/>
                <w:sz w:val="20"/>
              </w:rPr>
            </w:r>
            <w:r>
              <w:rPr>
                <w:rFonts w:ascii="Arial" w:hAnsi="Arial"/>
                <w:sz w:val="20"/>
              </w:rPr>
              <w:t>Thermal / electric power</w:t>
            </w:r>
          </w:p>
        </w:tc>
        <w:tc>
          <w:tcPr>
            <w:tcW w:type="dxa" w:w="2351"/>
          </w:tcPr>
          <w:p>
            <w:r>
              <w:rPr>
                <w:rFonts w:ascii="Arial" w:hAnsi="Arial"/>
                <w:sz w:val="20"/>
              </w:rPr>
            </w:r>
            <w:r>
              <w:rPr>
                <w:rFonts w:ascii="Arial" w:hAnsi="Arial"/>
                <w:sz w:val="20"/>
              </w:rPr>
              <w:t>125 MWth / 40 MWe</w:t>
            </w:r>
          </w:p>
        </w:tc>
        <w:tc>
          <w:tcPr>
            <w:tcW w:type="dxa" w:w="2351"/>
          </w:tcPr>
          <w:p>
            <w:r>
              <w:rPr>
                <w:rFonts w:ascii="Arial" w:hAnsi="Arial"/>
                <w:sz w:val="20"/>
              </w:rPr>
            </w:r>
            <w:r>
              <w:rPr>
                <w:rFonts w:ascii="Arial" w:hAnsi="Arial"/>
                <w:sz w:val="20"/>
              </w:rPr>
              <w:t>160 MWth / 50 MWe (per module)</w:t>
            </w:r>
          </w:p>
        </w:tc>
        <w:tc>
          <w:tcPr>
            <w:tcW w:type="dxa" w:w="2351"/>
          </w:tcPr>
          <w:p>
            <w:r>
              <w:rPr>
                <w:rFonts w:ascii="Arial" w:hAnsi="Arial"/>
                <w:sz w:val="20"/>
              </w:rPr>
            </w:r>
            <w:r>
              <w:rPr>
                <w:rFonts w:ascii="Arial" w:hAnsi="Arial"/>
                <w:sz w:val="20"/>
              </w:rPr>
              <w:t>175 MWth / 55 MWe</w:t>
            </w:r>
          </w:p>
        </w:tc>
      </w:tr>
      <w:tr>
        <w:tc>
          <w:tcPr>
            <w:tcW w:type="dxa" w:w="2351"/>
          </w:tcPr>
          <w:p>
            <w:r>
              <w:rPr>
                <w:rFonts w:ascii="Arial" w:hAnsi="Arial"/>
                <w:sz w:val="20"/>
              </w:rPr>
            </w:r>
            <w:r>
              <w:rPr>
                <w:rFonts w:ascii="Arial" w:hAnsi="Arial"/>
                <w:sz w:val="20"/>
              </w:rPr>
              <w:t>Reactivity control</w:t>
            </w:r>
          </w:p>
        </w:tc>
        <w:tc>
          <w:tcPr>
            <w:tcW w:type="dxa" w:w="2351"/>
          </w:tcPr>
          <w:p>
            <w:r>
              <w:rPr>
                <w:rFonts w:ascii="Arial" w:hAnsi="Arial"/>
                <w:sz w:val="20"/>
              </w:rPr>
            </w:r>
            <w:r>
              <w:rPr>
                <w:rFonts w:ascii="Arial" w:hAnsi="Arial"/>
                <w:b/>
                <w:sz w:val="20"/>
              </w:rPr>
              <w:t>boron-free</w:t>
            </w:r>
            <w:r>
              <w:rPr>
                <w:rFonts w:ascii="Arial" w:hAnsi="Arial"/>
                <w:sz w:val="20"/>
              </w:rPr>
              <w:t xml:space="preserve"> (Gd + Er + rods)</w:t>
            </w:r>
          </w:p>
        </w:tc>
        <w:tc>
          <w:tcPr>
            <w:tcW w:type="dxa" w:w="2351"/>
          </w:tcPr>
          <w:p>
            <w:r>
              <w:rPr>
                <w:rFonts w:ascii="Arial" w:hAnsi="Arial"/>
                <w:sz w:val="20"/>
              </w:rPr>
            </w:r>
            <w:r>
              <w:rPr>
                <w:rFonts w:ascii="Arial" w:hAnsi="Arial"/>
                <w:sz w:val="20"/>
              </w:rPr>
              <w:t>soluble boron + rods + Gd</w:t>
            </w:r>
          </w:p>
        </w:tc>
        <w:tc>
          <w:tcPr>
            <w:tcW w:type="dxa" w:w="2351"/>
          </w:tcPr>
          <w:p>
            <w:r>
              <w:rPr>
                <w:rFonts w:ascii="Arial" w:hAnsi="Arial"/>
                <w:sz w:val="20"/>
              </w:rPr>
            </w:r>
            <w:r>
              <w:rPr>
                <w:rFonts w:ascii="Arial" w:hAnsi="Arial"/>
                <w:sz w:val="20"/>
              </w:rPr>
              <w:t>soluble boron + rods</w:t>
            </w:r>
          </w:p>
        </w:tc>
      </w:tr>
      <w:tr>
        <w:tc>
          <w:tcPr>
            <w:tcW w:type="dxa" w:w="2351"/>
          </w:tcPr>
          <w:p>
            <w:r>
              <w:rPr>
                <w:rFonts w:ascii="Arial" w:hAnsi="Arial"/>
                <w:sz w:val="20"/>
              </w:rPr>
            </w:r>
            <w:r>
              <w:rPr>
                <w:rFonts w:ascii="Arial" w:hAnsi="Arial"/>
                <w:sz w:val="20"/>
              </w:rPr>
              <w:t>Max enrichment</w:t>
            </w:r>
          </w:p>
        </w:tc>
        <w:tc>
          <w:tcPr>
            <w:tcW w:type="dxa" w:w="2351"/>
          </w:tcPr>
          <w:p>
            <w:r>
              <w:rPr>
                <w:rFonts w:ascii="Arial" w:hAnsi="Arial"/>
                <w:sz w:val="20"/>
              </w:rPr>
            </w:r>
            <w:r>
              <w:rPr>
                <w:rFonts w:ascii="Arial" w:hAnsi="Arial"/>
                <w:sz w:val="20"/>
              </w:rPr>
              <w:t>4.95 wt% (LEU)</w:t>
            </w:r>
          </w:p>
        </w:tc>
        <w:tc>
          <w:tcPr>
            <w:tcW w:type="dxa" w:w="2351"/>
          </w:tcPr>
          <w:p>
            <w:r>
              <w:rPr>
                <w:rFonts w:ascii="Arial" w:hAnsi="Arial"/>
                <w:sz w:val="20"/>
              </w:rPr>
            </w:r>
            <w:r>
              <w:rPr>
                <w:rFonts w:ascii="Arial" w:hAnsi="Arial"/>
                <w:sz w:val="20"/>
              </w:rPr>
              <w:t>&lt; 4.95 wt% (LEU)</w:t>
            </w:r>
          </w:p>
        </w:tc>
        <w:tc>
          <w:tcPr>
            <w:tcW w:type="dxa" w:w="2351"/>
          </w:tcPr>
          <w:p>
            <w:r>
              <w:rPr>
                <w:rFonts w:ascii="Arial" w:hAnsi="Arial"/>
                <w:sz w:val="20"/>
              </w:rPr>
            </w:r>
            <w:r>
              <w:rPr>
                <w:rFonts w:ascii="Arial" w:hAnsi="Arial"/>
                <w:sz w:val="20"/>
              </w:rPr>
              <w:t>~14–20 wt% (HALEU)</w:t>
            </w:r>
          </w:p>
        </w:tc>
      </w:tr>
      <w:tr>
        <w:tc>
          <w:tcPr>
            <w:tcW w:type="dxa" w:w="2351"/>
          </w:tcPr>
          <w:p>
            <w:r>
              <w:rPr>
                <w:rFonts w:ascii="Arial" w:hAnsi="Arial"/>
                <w:sz w:val="20"/>
              </w:rPr>
            </w:r>
            <w:r>
              <w:rPr>
                <w:rFonts w:ascii="Arial" w:hAnsi="Arial"/>
                <w:sz w:val="20"/>
              </w:rPr>
              <w:t>Burnable absorber</w:t>
            </w:r>
          </w:p>
        </w:tc>
        <w:tc>
          <w:tcPr>
            <w:tcW w:type="dxa" w:w="2351"/>
          </w:tcPr>
          <w:p>
            <w:r>
              <w:rPr>
                <w:rFonts w:ascii="Arial" w:hAnsi="Arial"/>
                <w:sz w:val="20"/>
              </w:rPr>
            </w:r>
            <w:r>
              <w:rPr>
                <w:rFonts w:ascii="Arial" w:hAnsi="Arial"/>
                <w:sz w:val="20"/>
              </w:rPr>
              <w:t>Gd₂O₃ (≤ 48/FA, zoned) + Er₂O₃</w:t>
            </w:r>
          </w:p>
        </w:tc>
        <w:tc>
          <w:tcPr>
            <w:tcW w:type="dxa" w:w="2351"/>
          </w:tcPr>
          <w:p>
            <w:r>
              <w:rPr>
                <w:rFonts w:ascii="Arial" w:hAnsi="Arial"/>
                <w:sz w:val="20"/>
              </w:rPr>
            </w:r>
            <w:r>
              <w:rPr>
                <w:rFonts w:ascii="Arial" w:hAnsi="Arial"/>
                <w:sz w:val="20"/>
              </w:rPr>
              <w:t>Gd₂O₃ (≤ 32/FA)</w:t>
            </w:r>
          </w:p>
        </w:tc>
        <w:tc>
          <w:tcPr>
            <w:tcW w:type="dxa" w:w="2351"/>
          </w:tcPr>
          <w:p>
            <w:r>
              <w:rPr>
                <w:rFonts w:ascii="Arial" w:hAnsi="Arial"/>
                <w:sz w:val="20"/>
              </w:rPr>
            </w:r>
            <w:r>
              <w:rPr>
                <w:rFonts w:ascii="Arial" w:hAnsi="Arial"/>
                <w:sz w:val="20"/>
              </w:rPr>
              <w:t>structural / Gd</w:t>
            </w:r>
          </w:p>
        </w:tc>
      </w:tr>
      <w:tr>
        <w:tc>
          <w:tcPr>
            <w:tcW w:type="dxa" w:w="2351"/>
          </w:tcPr>
          <w:p>
            <w:r>
              <w:rPr>
                <w:rFonts w:ascii="Arial" w:hAnsi="Arial"/>
                <w:sz w:val="20"/>
              </w:rPr>
            </w:r>
            <w:r>
              <w:rPr>
                <w:rFonts w:ascii="Arial" w:hAnsi="Arial"/>
                <w:sz w:val="20"/>
              </w:rPr>
              <w:t>Refuelling interval</w:t>
            </w:r>
          </w:p>
        </w:tc>
        <w:tc>
          <w:tcPr>
            <w:tcW w:type="dxa" w:w="2351"/>
          </w:tcPr>
          <w:p>
            <w:r>
              <w:rPr>
                <w:rFonts w:ascii="Arial" w:hAnsi="Arial"/>
                <w:sz w:val="20"/>
              </w:rPr>
            </w:r>
            <w:r>
              <w:rPr>
                <w:rFonts w:ascii="Arial" w:hAnsi="Arial"/>
                <w:sz w:val="20"/>
              </w:rPr>
              <w:t>~16 mo (479 EFPD), 4-batch</w:t>
            </w:r>
          </w:p>
        </w:tc>
        <w:tc>
          <w:tcPr>
            <w:tcW w:type="dxa" w:w="2351"/>
          </w:tcPr>
          <w:p>
            <w:r>
              <w:rPr>
                <w:rFonts w:ascii="Arial" w:hAnsi="Arial"/>
                <w:sz w:val="20"/>
              </w:rPr>
            </w:r>
            <w:r>
              <w:rPr>
                <w:rFonts w:ascii="Arial" w:hAnsi="Arial"/>
                <w:sz w:val="20"/>
              </w:rPr>
              <w:t>~24 mo (12 GWd/MTU cycle)</w:t>
            </w:r>
          </w:p>
        </w:tc>
        <w:tc>
          <w:tcPr>
            <w:tcW w:type="dxa" w:w="2351"/>
          </w:tcPr>
          <w:p>
            <w:r>
              <w:rPr>
                <w:rFonts w:ascii="Arial" w:hAnsi="Arial"/>
                <w:sz w:val="20"/>
              </w:rPr>
            </w:r>
            <w:r>
              <w:rPr>
                <w:rFonts w:ascii="Arial" w:hAnsi="Arial"/>
                <w:sz w:val="20"/>
              </w:rPr>
              <w:t>up to ~6 yr</w:t>
            </w:r>
          </w:p>
        </w:tc>
      </w:tr>
      <w:tr>
        <w:tc>
          <w:tcPr>
            <w:tcW w:type="dxa" w:w="2351"/>
          </w:tcPr>
          <w:p>
            <w:r>
              <w:rPr>
                <w:rFonts w:ascii="Arial" w:hAnsi="Arial"/>
                <w:sz w:val="20"/>
              </w:rPr>
            </w:r>
            <w:r>
              <w:rPr>
                <w:rFonts w:ascii="Arial" w:hAnsi="Arial"/>
                <w:sz w:val="20"/>
              </w:rPr>
              <w:t>Discharge burnup</w:t>
            </w:r>
          </w:p>
        </w:tc>
        <w:tc>
          <w:tcPr>
            <w:tcW w:type="dxa" w:w="2351"/>
          </w:tcPr>
          <w:p>
            <w:r>
              <w:rPr>
                <w:rFonts w:ascii="Arial" w:hAnsi="Arial"/>
                <w:sz w:val="20"/>
              </w:rPr>
            </w:r>
            <w:r>
              <w:rPr>
                <w:rFonts w:ascii="Arial" w:hAnsi="Arial"/>
                <w:sz w:val="20"/>
              </w:rPr>
              <w:t>42.8 GWd/MTU</w:t>
            </w:r>
          </w:p>
        </w:tc>
        <w:tc>
          <w:tcPr>
            <w:tcW w:type="dxa" w:w="2351"/>
          </w:tcPr>
          <w:p>
            <w:r>
              <w:rPr>
                <w:rFonts w:ascii="Arial" w:hAnsi="Arial"/>
                <w:sz w:val="20"/>
              </w:rPr>
            </w:r>
            <w:r>
              <w:rPr>
                <w:rFonts w:ascii="Arial" w:hAnsi="Arial"/>
                <w:sz w:val="20"/>
              </w:rPr>
              <w:t>~30 GWd/MTU (class)</w:t>
            </w:r>
          </w:p>
        </w:tc>
        <w:tc>
          <w:tcPr>
            <w:tcW w:type="dxa" w:w="2351"/>
          </w:tcPr>
          <w:p>
            <w:r>
              <w:rPr>
                <w:rFonts w:ascii="Arial" w:hAnsi="Arial"/>
                <w:sz w:val="20"/>
              </w:rPr>
            </w:r>
            <w:r>
              <w:rPr>
                <w:rFonts w:ascii="Arial" w:hAnsi="Arial"/>
                <w:sz w:val="20"/>
              </w:rPr>
              <w:t>long-life HALEU</w:t>
            </w:r>
          </w:p>
        </w:tc>
      </w:tr>
      <w:tr>
        <w:tc>
          <w:tcPr>
            <w:tcW w:type="dxa" w:w="2351"/>
          </w:tcPr>
          <w:p>
            <w:r>
              <w:rPr>
                <w:rFonts w:ascii="Arial" w:hAnsi="Arial"/>
                <w:sz w:val="20"/>
              </w:rPr>
            </w:r>
            <w:r>
              <w:rPr>
                <w:rFonts w:ascii="Arial" w:hAnsi="Arial"/>
                <w:sz w:val="20"/>
              </w:rPr>
              <w:t>MTC (HFP)</w:t>
            </w:r>
          </w:p>
        </w:tc>
        <w:tc>
          <w:tcPr>
            <w:tcW w:type="dxa" w:w="2351"/>
          </w:tcPr>
          <w:p>
            <w:r>
              <w:rPr>
                <w:rFonts w:ascii="Arial" w:hAnsi="Arial"/>
                <w:sz w:val="20"/>
              </w:rPr>
            </w:r>
            <w:r>
              <w:rPr>
                <w:rFonts w:ascii="Arial" w:hAnsi="Arial"/>
                <w:sz w:val="20"/>
              </w:rPr>
              <w:t>−35.9 pcm/K (−19.9 pcm/°F)</w:t>
            </w:r>
          </w:p>
        </w:tc>
        <w:tc>
          <w:tcPr>
            <w:tcW w:type="dxa" w:w="2351"/>
          </w:tcPr>
          <w:p>
            <w:r>
              <w:rPr>
                <w:rFonts w:ascii="Arial" w:hAnsi="Arial"/>
                <w:sz w:val="20"/>
              </w:rPr>
            </w:r>
            <w:r>
              <w:rPr>
                <w:rFonts w:ascii="Arial" w:hAnsi="Arial"/>
                <w:sz w:val="20"/>
              </w:rPr>
              <w:t>0 to −32.5 pcm/°F (design)</w:t>
            </w:r>
          </w:p>
        </w:tc>
        <w:tc>
          <w:tcPr>
            <w:tcW w:type="dxa" w:w="2351"/>
          </w:tcPr>
          <w:p>
            <w:r>
              <w:rPr>
                <w:rFonts w:ascii="Arial" w:hAnsi="Arial"/>
                <w:sz w:val="20"/>
              </w:rPr>
            </w:r>
            <w:r>
              <w:rPr>
                <w:rFonts w:ascii="Arial" w:hAnsi="Arial"/>
                <w:sz w:val="20"/>
              </w:rPr>
              <w:t>&lt; 0</w:t>
            </w:r>
          </w:p>
        </w:tc>
      </w:tr>
      <w:tr>
        <w:tc>
          <w:tcPr>
            <w:tcW w:type="dxa" w:w="2351"/>
          </w:tcPr>
          <w:p>
            <w:r>
              <w:rPr>
                <w:rFonts w:ascii="Arial" w:hAnsi="Arial"/>
                <w:sz w:val="20"/>
              </w:rPr>
            </w:r>
            <w:r>
              <w:rPr>
                <w:rFonts w:ascii="Arial" w:hAnsi="Arial"/>
                <w:sz w:val="20"/>
              </w:rPr>
              <w:t>Doppler coefficient</w:t>
            </w:r>
          </w:p>
        </w:tc>
        <w:tc>
          <w:tcPr>
            <w:tcW w:type="dxa" w:w="2351"/>
          </w:tcPr>
          <w:p>
            <w:r>
              <w:rPr>
                <w:rFonts w:ascii="Arial" w:hAnsi="Arial"/>
                <w:sz w:val="20"/>
              </w:rPr>
            </w:r>
            <w:r>
              <w:rPr>
                <w:rFonts w:ascii="Arial" w:hAnsi="Arial"/>
                <w:sz w:val="20"/>
              </w:rPr>
              <w:t>−1.84 pcm/K (−1.0 pcm/°F)</w:t>
            </w:r>
          </w:p>
        </w:tc>
        <w:tc>
          <w:tcPr>
            <w:tcW w:type="dxa" w:w="2351"/>
          </w:tcPr>
          <w:p>
            <w:r>
              <w:rPr>
                <w:rFonts w:ascii="Arial" w:hAnsi="Arial"/>
                <w:sz w:val="20"/>
              </w:rPr>
            </w:r>
            <w:r>
              <w:rPr>
                <w:rFonts w:ascii="Arial" w:hAnsi="Arial"/>
                <w:sz w:val="20"/>
              </w:rPr>
              <w:t>−1.63 to −2.07 pcm/°F</w:t>
            </w:r>
          </w:p>
        </w:tc>
        <w:tc>
          <w:tcPr>
            <w:tcW w:type="dxa" w:w="2351"/>
          </w:tcPr>
          <w:p>
            <w:r>
              <w:rPr>
                <w:rFonts w:ascii="Arial" w:hAnsi="Arial"/>
                <w:sz w:val="20"/>
              </w:rPr>
            </w:r>
            <w:r>
              <w:rPr>
                <w:rFonts w:ascii="Arial" w:hAnsi="Arial"/>
                <w:sz w:val="20"/>
              </w:rPr>
              <w:t>&lt; 0</w:t>
            </w:r>
          </w:p>
        </w:tc>
      </w:tr>
      <w:tr>
        <w:tc>
          <w:tcPr>
            <w:tcW w:type="dxa" w:w="2351"/>
          </w:tcPr>
          <w:p>
            <w:r>
              <w:rPr>
                <w:rFonts w:ascii="Arial" w:hAnsi="Arial"/>
                <w:sz w:val="20"/>
              </w:rPr>
            </w:r>
            <w:r>
              <w:rPr>
                <w:rFonts w:ascii="Arial" w:hAnsi="Arial"/>
                <w:sz w:val="20"/>
              </w:rPr>
              <w:t>Control-rod worth</w:t>
            </w:r>
          </w:p>
        </w:tc>
        <w:tc>
          <w:tcPr>
            <w:tcW w:type="dxa" w:w="2351"/>
          </w:tcPr>
          <w:p>
            <w:r>
              <w:rPr>
                <w:rFonts w:ascii="Arial" w:hAnsi="Arial"/>
                <w:sz w:val="20"/>
              </w:rPr>
            </w:r>
            <w:r>
              <w:rPr>
                <w:rFonts w:ascii="Arial" w:hAnsi="Arial"/>
                <w:sz w:val="20"/>
              </w:rPr>
              <w:t>15 226 pcm</w:t>
            </w:r>
          </w:p>
        </w:tc>
        <w:tc>
          <w:tcPr>
            <w:tcW w:type="dxa" w:w="2351"/>
          </w:tcPr>
          <w:p>
            <w:r>
              <w:rPr>
                <w:rFonts w:ascii="Arial" w:hAnsi="Arial"/>
                <w:sz w:val="20"/>
              </w:rPr>
            </w:r>
            <w:r>
              <w:rPr>
                <w:rFonts w:ascii="Arial" w:hAnsi="Arial"/>
                <w:sz w:val="20"/>
              </w:rPr>
              <w:t>14 414 → 15 553 pcm (BOC→EOC)</w:t>
            </w:r>
          </w:p>
        </w:tc>
        <w:tc>
          <w:tcPr>
            <w:tcW w:type="dxa" w:w="2351"/>
          </w:tcPr>
          <w:p>
            <w:r>
              <w:rPr>
                <w:rFonts w:ascii="Arial" w:hAnsi="Arial"/>
                <w:sz w:val="20"/>
              </w:rPr>
            </w:r>
            <w:r>
              <w:rPr>
                <w:rFonts w:ascii="Arial" w:hAnsi="Arial"/>
                <w:sz w:val="20"/>
              </w:rPr>
              <w:t>—</w:t>
            </w:r>
          </w:p>
        </w:tc>
      </w:tr>
      <w:tr>
        <w:tc>
          <w:tcPr>
            <w:tcW w:type="dxa" w:w="2351"/>
          </w:tcPr>
          <w:p>
            <w:r>
              <w:rPr>
                <w:rFonts w:ascii="Arial" w:hAnsi="Arial"/>
                <w:sz w:val="20"/>
              </w:rPr>
            </w:r>
            <w:r>
              <w:rPr>
                <w:rFonts w:ascii="Arial" w:hAnsi="Arial"/>
                <w:sz w:val="20"/>
              </w:rPr>
              <w:t>F_q / F_ΔH</w:t>
            </w:r>
          </w:p>
        </w:tc>
        <w:tc>
          <w:tcPr>
            <w:tcW w:type="dxa" w:w="2351"/>
          </w:tcPr>
          <w:p>
            <w:r>
              <w:rPr>
                <w:rFonts w:ascii="Arial" w:hAnsi="Arial"/>
                <w:sz w:val="20"/>
              </w:rPr>
            </w:r>
            <w:r>
              <w:rPr>
                <w:rFonts w:ascii="Arial" w:hAnsi="Arial"/>
                <w:sz w:val="20"/>
              </w:rPr>
              <w:t>3.48 / 2.27</w:t>
            </w:r>
          </w:p>
        </w:tc>
        <w:tc>
          <w:tcPr>
            <w:tcW w:type="dxa" w:w="2351"/>
          </w:tcPr>
          <w:p>
            <w:r>
              <w:rPr>
                <w:rFonts w:ascii="Arial" w:hAnsi="Arial"/>
                <w:sz w:val="20"/>
              </w:rPr>
            </w:r>
            <w:r>
              <w:rPr>
                <w:rFonts w:ascii="Arial" w:hAnsi="Arial"/>
                <w:sz w:val="20"/>
              </w:rPr>
              <w:t>1.86 / 1.39</w:t>
            </w:r>
          </w:p>
        </w:tc>
        <w:tc>
          <w:tcPr>
            <w:tcW w:type="dxa" w:w="2351"/>
          </w:tcPr>
          <w:p>
            <w:r>
              <w:rPr>
                <w:rFonts w:ascii="Arial" w:hAnsi="Arial"/>
                <w:sz w:val="20"/>
              </w:rPr>
            </w:r>
            <w:r>
              <w:rPr>
                <w:rFonts w:ascii="Arial" w:hAnsi="Arial"/>
                <w:sz w:val="20"/>
              </w:rPr>
              <w:t>—</w:t>
            </w:r>
          </w:p>
        </w:tc>
      </w:tr>
    </w:tbl>
    <w:p/>
    <w:p>
      <w:pPr>
        <w:jc w:val="both"/>
      </w:pPr>
      <w:r>
        <w:rPr>
          <w:rFonts w:ascii="Arial" w:hAnsi="Arial"/>
        </w:rPr>
        <w:t>The comparison supports three defensible claims for the FER:</w:t>
      </w:r>
    </w:p>
    <w:p>
      <w:pPr>
        <w:pStyle w:val="ListBullet"/>
        <w:jc w:val="both"/>
      </w:pPr>
      <w:r>
        <w:rPr>
          <w:rFonts w:ascii="Arial" w:hAnsi="Arial"/>
          <w:b/>
        </w:rPr>
        <w:t>The coefficients and rod worth are in-family with a licensed iPWR.</w:t>
      </w:r>
      <w:r>
        <w:rPr>
          <w:rFonts w:ascii="Arial" w:hAnsi="Arial"/>
        </w:rPr>
        <w:t xml:space="preserve"> The Aegis-40 MTC (−19.9 pcm/°F) sits inside NuScale's design band (0 to −32.5 pcm/°F); the total control-rod worth (15 226 pcm) sits between NuScale's BOC and EOC values (14 414–15 553 pcm); the Doppler coefficient is solidly negative, somewhat smaller in magnitude than NuScale's, consistent with the higher fuel enrichment (relatively less U-238 resonance absorber). The burnable-absorber strategy — integral gadolinia at a comparable per-assembly count — is the same.</w:t>
      </w:r>
    </w:p>
    <w:p>
      <w:pPr>
        <w:pStyle w:val="ListBullet"/>
        <w:jc w:val="both"/>
      </w:pPr>
      <w:r>
        <w:rPr>
          <w:rFonts w:ascii="Arial" w:hAnsi="Arial"/>
          <w:b/>
        </w:rPr>
        <w:t>Higher peaking is the expected, bounded cost of being boron-free.</w:t>
      </w:r>
      <w:r>
        <w:rPr>
          <w:rFonts w:ascii="Arial" w:hAnsi="Arial"/>
        </w:rPr>
        <w:t xml:space="preserve"> Aegis-40's F_q (3.48) exceeds NuScale's (1.86) because soluble boron is the single most effective power-flattening tool and we have removed it by design. The value remains well within the SBF-SMR class (Jang SBF-SMPWR limit F_q &lt; 5.09) and the binding check is the §8.4/§8.5 MDNBR analysis at our low core power density (~24 MW/tHM), not a borrowed peaking number.</w:t>
      </w:r>
    </w:p>
    <w:p>
      <w:pPr>
        <w:pStyle w:val="ListBullet"/>
        <w:jc w:val="both"/>
      </w:pPr>
      <w:r>
        <w:rPr>
          <w:rFonts w:ascii="Arial" w:hAnsi="Arial"/>
          <w:b/>
        </w:rPr>
        <w:t>LEU + high burnup is a deliberate non-proliferation / fuel-supply choice.</w:t>
      </w:r>
      <w:r>
        <w:rPr>
          <w:rFonts w:ascii="Arial" w:hAnsi="Arial"/>
        </w:rPr>
        <w:t xml:space="preserve"> Where RITM-200 buys multi-year refuelling intervals with 14–20 wt% HALEU, Aegis-40 stays inside the &lt; 5 wt% commercial LEU envelope (standard fabrication and supply, lower proliferation attractiveness) and still reaches 42.8 GWd/MTU discharge — far above the boron-free peer CAREM-25 (~24 GWd/MTU).</w:t>
      </w:r>
    </w:p>
    <w:p>
      <w:pPr>
        <w:jc w:val="center"/>
      </w:pPr>
      <w:r>
        <w:drawing>
          <wp:inline xmlns:a="http://schemas.openxmlformats.org/drawingml/2006/main" xmlns:pic="http://schemas.openxmlformats.org/drawingml/2006/picture">
            <wp:extent cx="5486400" cy="2034050"/>
            <wp:docPr id="4" name="Picture 4"/>
            <wp:cNvGraphicFramePr>
              <a:graphicFrameLocks noChangeAspect="1"/>
            </wp:cNvGraphicFramePr>
            <a:graphic>
              <a:graphicData uri="http://schemas.openxmlformats.org/drawingml/2006/picture">
                <pic:pic>
                  <pic:nvPicPr>
                    <pic:cNvPr id="0" name="keff_vs_burnup.png"/>
                    <pic:cNvPicPr/>
                  </pic:nvPicPr>
                  <pic:blipFill>
                    <a:blip r:embed="rId12"/>
                    <a:stretch>
                      <a:fillRect/>
                    </a:stretch>
                  </pic:blipFill>
                  <pic:spPr>
                    <a:xfrm>
                      <a:off x="0" y="0"/>
                      <a:ext cx="5486400" cy="2034050"/>
                    </a:xfrm>
                    <a:prstGeom prst="rect"/>
                  </pic:spPr>
                </pic:pic>
              </a:graphicData>
            </a:graphic>
          </wp:inline>
        </w:drawing>
      </w:r>
    </w:p>
    <w:p>
      <w:pPr>
        <w:jc w:val="center"/>
      </w:pPr>
      <w:r>
        <w:rPr>
          <w:i/>
          <w:color w:val="555555"/>
          <w:sz w:val="19"/>
        </w:rPr>
        <w:t>Figure 8.2-5 — Cycle reactivity (k_eff and excess reactivity vs burnup, BOC → EOC) from the full-core depletion run</w:t>
      </w:r>
    </w:p>
    <w:p>
      <w:pPr>
        <w:jc w:val="center"/>
      </w:pPr>
      <w:r>
        <w:drawing>
          <wp:inline xmlns:a="http://schemas.openxmlformats.org/drawingml/2006/main" xmlns:pic="http://schemas.openxmlformats.org/drawingml/2006/picture">
            <wp:extent cx="5486400" cy="1663242"/>
            <wp:docPr id="5" name="Picture 5"/>
            <wp:cNvGraphicFramePr>
              <a:graphicFrameLocks noChangeAspect="1"/>
            </wp:cNvGraphicFramePr>
            <a:graphic>
              <a:graphicData uri="http://schemas.openxmlformats.org/drawingml/2006/picture">
                <pic:pic>
                  <pic:nvPicPr>
                    <pic:cNvPr id="0" name="power_distribution_boc.png"/>
                    <pic:cNvPicPr/>
                  </pic:nvPicPr>
                  <pic:blipFill>
                    <a:blip r:embed="rId13"/>
                    <a:stretch>
                      <a:fillRect/>
                    </a:stretch>
                  </pic:blipFill>
                  <pic:spPr>
                    <a:xfrm>
                      <a:off x="0" y="0"/>
                      <a:ext cx="5486400" cy="1663242"/>
                    </a:xfrm>
                    <a:prstGeom prst="rect"/>
                  </pic:spPr>
                </pic:pic>
              </a:graphicData>
            </a:graphic>
          </wp:inline>
        </w:drawing>
      </w:r>
    </w:p>
    <w:p>
      <w:pPr>
        <w:jc w:val="center"/>
      </w:pPr>
      <w:r>
        <w:rPr>
          <w:i/>
          <w:color w:val="555555"/>
          <w:sz w:val="19"/>
        </w:rPr>
        <w:t>Figure 8.2-6 — BOC power distribution</w:t>
      </w:r>
    </w:p>
    <w:p>
      <w:pPr>
        <w:jc w:val="both"/>
      </w:pPr>
      <w:r>
        <w:rPr>
          <w:rFonts w:ascii="Arial" w:hAnsi="Arial"/>
          <w:b/>
        </w:rPr>
        <w:t>BOC → equilibrium cycle behaviour.</w:t>
      </w:r>
      <w:r>
        <w:rPr>
          <w:rFonts w:ascii="Arial" w:hAnsi="Arial"/>
        </w:rPr>
        <w:t xml:space="preserve"> The depletion k_eff curve </w:t>
      </w:r>
      <w:r>
        <w:rPr>
          <w:rFonts w:ascii="Arial" w:hAnsi="Arial"/>
          <w:b/>
        </w:rPr>
        <w:t>dips, then rises, then declines</w:t>
      </w:r>
      <w:r>
        <w:rPr>
          <w:rFonts w:ascii="Arial" w:hAnsi="Arial"/>
        </w:rPr>
        <w:t xml:space="preserve"> (k_BOL 1.0264 → dip ≈ 0.98 → Gd-burnout hump → k_EOC ≈ 0.876 at the 479 EFPD cycle). This shape is the expected signature of a Gd-controlled boron-free core, and is intended:</w:t>
      </w:r>
    </w:p>
    <w:p>
      <w:pPr>
        <w:pStyle w:val="ListNumber"/>
        <w:jc w:val="both"/>
      </w:pPr>
      <w:r>
        <w:rPr>
          <w:rFonts w:ascii="Arial" w:hAnsi="Arial"/>
          <w:b/>
        </w:rPr>
        <w:t>Dip (first days):</w:t>
      </w:r>
      <w:r>
        <w:rPr>
          <w:rFonts w:ascii="Arial" w:hAnsi="Arial"/>
        </w:rPr>
        <w:t xml:space="preserve"> equilibrium xenon builds in (~−2700 pcm).</w:t>
      </w:r>
    </w:p>
    <w:p>
      <w:pPr>
        <w:pStyle w:val="ListNumber"/>
        <w:jc w:val="both"/>
      </w:pPr>
      <w:r>
        <w:rPr>
          <w:rFonts w:ascii="Arial" w:hAnsi="Arial"/>
          <w:b/>
        </w:rPr>
        <w:t>Rise (~0–400 EFPD):</w:t>
      </w:r>
      <w:r>
        <w:rPr>
          <w:rFonts w:ascii="Arial" w:hAnsi="Arial"/>
        </w:rPr>
        <w:t xml:space="preserve"> fresh Gd-155/157 hold k down at BOL; as they burn out their absorption disappears faster than the fuel depletes, so net k climbs — the reactivity "stored" in the Gd is released to sustain the long SBF cycle.</w:t>
      </w:r>
    </w:p>
    <w:p>
      <w:pPr>
        <w:pStyle w:val="ListNumber"/>
        <w:jc w:val="both"/>
      </w:pPr>
      <w:r>
        <w:rPr>
          <w:rFonts w:ascii="Arial" w:hAnsi="Arial"/>
          <w:b/>
        </w:rPr>
        <w:t>Decline (post-burnout):</w:t>
      </w:r>
      <w:r>
        <w:rPr>
          <w:rFonts w:ascii="Arial" w:hAnsi="Arial"/>
        </w:rPr>
        <w:t xml:space="preserve"> normal fuel-depletion fall-off to EOC.</w:t>
      </w:r>
    </w:p>
    <w:p>
      <w:pPr>
        <w:jc w:val="both"/>
      </w:pPr>
      <w:r>
        <w:rPr>
          <w:rFonts w:ascii="Arial" w:hAnsi="Arial"/>
        </w:rPr>
        <w:t>This is consistent with published integral-Gd SBF behaviour (Kim, Jung &amp; Yoon, *Nucl. Eng. Tech.* 56 (2024) 3144), which describes the reactivity "holding" and the engineered control of the "reactivity upswing following gadolinia depletion." In a boron-controlled core the curve only falls; the hump is the distinguishing feature of integral-Gd SBF control.</w:t>
      </w:r>
    </w:p>
    <w:p>
      <w:pPr>
        <w:jc w:val="both"/>
      </w:pPr>
      <w:r>
        <w:rPr>
          <w:rFonts w:ascii="Arial" w:hAnsi="Arial"/>
          <w:b/>
        </w:rPr>
        <w:t>Scope: first core through equilibrium cycle.</w:t>
      </w:r>
      <w:r>
        <w:rPr>
          <w:rFonts w:ascii="Arial" w:hAnsi="Arial"/>
        </w:rPr>
        <w:t xml:space="preserve"> The depletion presented above is the </w:t>
      </w:r>
      <w:r>
        <w:rPr>
          <w:rFonts w:ascii="Arial" w:hAnsi="Arial"/>
          <w:b/>
        </w:rPr>
        <w:t>first (all-fresh) core</w:t>
      </w:r>
      <w:r>
        <w:rPr>
          <w:rFonts w:ascii="Arial" w:hAnsi="Arial"/>
        </w:rPr>
        <w:t xml:space="preserve">, run from BOC to its 42.8 GWd/MTU / 479 EFPD end-of-cycle. The reactor reaches its operating equilibrium through the </w:t>
      </w:r>
      <w:r>
        <w:rPr>
          <w:rFonts w:ascii="Arial" w:hAnsi="Arial"/>
          <w:b/>
        </w:rPr>
        <w:t>four-batch reload</w:t>
      </w:r>
      <w:r>
        <w:rPr>
          <w:rFonts w:ascii="Arial" w:hAnsi="Arial"/>
        </w:rPr>
        <w:t xml:space="preserve"> (§8.2.2): at equilibrium the core holds a mix of fresh, once-, twice- and thrice-burned assemblies, so the equilibrium cycle is </w:t>
      </w:r>
      <w:r>
        <w:rPr>
          <w:rFonts w:ascii="Arial" w:hAnsi="Arial"/>
          <w:b/>
        </w:rPr>
        <w:t>less reactive at BOC and shorter</w:t>
      </w:r>
      <w:r>
        <w:rPr>
          <w:rFonts w:ascii="Arial" w:hAnsi="Arial"/>
        </w:rPr>
        <w:t xml:space="preserve"> than the all-fresh first cycle, while the </w:t>
      </w:r>
      <w:r>
        <w:rPr>
          <w:rFonts w:ascii="Arial" w:hAnsi="Arial"/>
          <w:b/>
        </w:rPr>
        <w:t>per-batch discharge burnup converges on the 42.8 GWd/MTU</w:t>
      </w:r>
      <w:r>
        <w:rPr>
          <w:rFonts w:ascii="Arial" w:hAnsi="Arial"/>
        </w:rPr>
        <w:t xml:space="preserve"> design value. The first-core results therefore </w:t>
      </w:r>
      <w:r>
        <w:rPr>
          <w:rFonts w:ascii="Arial" w:hAnsi="Arial"/>
          <w:b/>
        </w:rPr>
        <w:t>bound</w:t>
      </w:r>
      <w:r>
        <w:rPr>
          <w:rFonts w:ascii="Arial" w:hAnsi="Arial"/>
        </w:rPr>
        <w:t xml:space="preserve"> the equilibrium cycle on the safety-relevant metrics — first-core BOC excess reactivity (hence required hold-down and rod/SDM duty, Table 8.2-3) is the maximum the control system must cover, and the first-core peaking (Table 8.2-5) is representative because the zoning is identical each reload. A full equilibrium-core depletion (explicit fresh + burned shuffle) is identified as the next depletion step for the final FER; it is expected to confirm the bounding argument and slightly relax the BOC hold-down requirement.</w:t>
      </w:r>
    </w:p>
    <w:p>
      <w:pPr>
        <w:jc w:val="both"/>
      </w:pPr>
      <w:r>
        <w:rPr>
          <w:rFonts w:ascii="Arial" w:hAnsi="Arial"/>
          <w:b/>
        </w:rPr>
        <w:t>Compliance with safety criteria / regulations.</w:t>
      </w:r>
      <w:r>
        <w:rPr>
          <w:rFonts w:ascii="Arial" w:hAnsi="Arial"/>
        </w:rPr>
        <w:t xml:space="preserve"> The neutronic safety parameters (Table 8.2-3) meet the adopted criteria, which map directly onto national (Türkiye NDK) and international (IAEA, US NRC)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Neutronic result</w:t>
            </w:r>
          </w:p>
        </w:tc>
        <w:tc>
          <w:tcPr>
            <w:tcW w:type="dxa" w:w="3135"/>
            <w:shd w:val="clear" w:fill="DDE3EA"/>
          </w:tcPr>
          <w:p>
            <w:r>
              <w:rPr>
                <w:rFonts w:ascii="Arial" w:hAnsi="Arial"/>
                <w:b/>
                <w:sz w:val="20"/>
              </w:rPr>
            </w:r>
            <w:r>
              <w:rPr>
                <w:rFonts w:ascii="Arial" w:hAnsi="Arial"/>
                <w:b/>
                <w:sz w:val="20"/>
              </w:rPr>
              <w:t>Criterion met</w:t>
            </w:r>
          </w:p>
        </w:tc>
        <w:tc>
          <w:tcPr>
            <w:tcW w:type="dxa" w:w="3135"/>
            <w:shd w:val="clear" w:fill="DDE3EA"/>
          </w:tcPr>
          <w:p>
            <w:r>
              <w:rPr>
                <w:rFonts w:ascii="Arial" w:hAnsi="Arial"/>
                <w:b/>
                <w:sz w:val="20"/>
              </w:rPr>
            </w:r>
            <w:r>
              <w:rPr>
                <w:rFonts w:ascii="Arial" w:hAnsi="Arial"/>
                <w:b/>
                <w:sz w:val="20"/>
              </w:rPr>
              <w:t>Regulatory basis</w:t>
            </w:r>
          </w:p>
        </w:tc>
      </w:tr>
      <w:tr>
        <w:tc>
          <w:tcPr>
            <w:tcW w:type="dxa" w:w="3135"/>
          </w:tcPr>
          <w:p>
            <w:r>
              <w:rPr>
                <w:rFonts w:ascii="Arial" w:hAnsi="Arial"/>
                <w:sz w:val="20"/>
              </w:rPr>
            </w:r>
            <w:r>
              <w:rPr>
                <w:rFonts w:ascii="Arial" w:hAnsi="Arial"/>
                <w:sz w:val="20"/>
              </w:rPr>
              <w:t>MTC, DTC, void all &lt; 0</w:t>
            </w:r>
          </w:p>
        </w:tc>
        <w:tc>
          <w:tcPr>
            <w:tcW w:type="dxa" w:w="3135"/>
          </w:tcPr>
          <w:p>
            <w:r>
              <w:rPr>
                <w:rFonts w:ascii="Arial" w:hAnsi="Arial"/>
                <w:sz w:val="20"/>
              </w:rPr>
            </w:r>
            <w:r>
              <w:rPr>
                <w:rFonts w:ascii="Arial" w:hAnsi="Arial"/>
                <w:sz w:val="20"/>
              </w:rPr>
              <w:t>inherent negative power/temperature feedback</w:t>
            </w:r>
          </w:p>
        </w:tc>
        <w:tc>
          <w:tcPr>
            <w:tcW w:type="dxa" w:w="3135"/>
          </w:tcPr>
          <w:p>
            <w:r>
              <w:rPr>
                <w:rFonts w:ascii="Arial" w:hAnsi="Arial"/>
                <w:sz w:val="20"/>
              </w:rPr>
            </w:r>
            <w:r>
              <w:rPr>
                <w:rFonts w:ascii="Arial" w:hAnsi="Arial"/>
                <w:sz w:val="20"/>
              </w:rPr>
              <w:t>NDK *Nuclear Power Plant Design Regulation* (reactivity-feedback provisions) [ref T-1]; IAEA SSR-2/1 Rev.1 Req. 35 [ref I-1]; US NRC 10 CFR 50 App. A GDC 11 [ref N-1]</w:t>
            </w:r>
          </w:p>
        </w:tc>
      </w:tr>
      <w:tr>
        <w:tc>
          <w:tcPr>
            <w:tcW w:type="dxa" w:w="3135"/>
          </w:tcPr>
          <w:p>
            <w:r>
              <w:rPr>
                <w:rFonts w:ascii="Arial" w:hAnsi="Arial"/>
                <w:sz w:val="20"/>
              </w:rPr>
            </w:r>
            <w:r>
              <w:rPr>
                <w:rFonts w:ascii="Arial" w:hAnsi="Arial"/>
                <w:sz w:val="20"/>
              </w:rPr>
              <w:t>Two independent control means (rods + integral BA), CR worth 15,226 pcm</w:t>
            </w:r>
          </w:p>
        </w:tc>
        <w:tc>
          <w:tcPr>
            <w:tcW w:type="dxa" w:w="3135"/>
          </w:tcPr>
          <w:p>
            <w:r>
              <w:rPr>
                <w:rFonts w:ascii="Arial" w:hAnsi="Arial"/>
                <w:sz w:val="20"/>
              </w:rPr>
            </w:r>
            <w:r>
              <w:rPr>
                <w:rFonts w:ascii="Arial" w:hAnsi="Arial"/>
                <w:sz w:val="20"/>
              </w:rPr>
              <w:t>redundant, independent reactivity control</w:t>
            </w:r>
          </w:p>
        </w:tc>
        <w:tc>
          <w:tcPr>
            <w:tcW w:type="dxa" w:w="3135"/>
          </w:tcPr>
          <w:p>
            <w:r>
              <w:rPr>
                <w:rFonts w:ascii="Arial" w:hAnsi="Arial"/>
                <w:sz w:val="20"/>
              </w:rPr>
            </w:r>
            <w:r>
              <w:rPr>
                <w:rFonts w:ascii="Arial" w:hAnsi="Arial"/>
                <w:sz w:val="20"/>
              </w:rPr>
              <w:t>IAEA SSR-2/1 Req. 24–25 [ref I-1]; GDC 26 &amp; 27 [ref N-1]</w:t>
            </w:r>
          </w:p>
        </w:tc>
      </w:tr>
      <w:tr>
        <w:tc>
          <w:tcPr>
            <w:tcW w:type="dxa" w:w="3135"/>
          </w:tcPr>
          <w:p>
            <w:r>
              <w:rPr>
                <w:rFonts w:ascii="Arial" w:hAnsi="Arial"/>
                <w:sz w:val="20"/>
              </w:rPr>
            </w:r>
            <w:r>
              <w:rPr>
                <w:rFonts w:ascii="Arial" w:hAnsi="Arial"/>
                <w:sz w:val="20"/>
              </w:rPr>
              <w:t>SDM 12.4 %Δk/k; k_ARI 0.888; worst-stuck-rod (N−1) 0.890 &lt; 1.0</w:t>
            </w:r>
          </w:p>
        </w:tc>
        <w:tc>
          <w:tcPr>
            <w:tcW w:type="dxa" w:w="3135"/>
          </w:tcPr>
          <w:p>
            <w:r>
              <w:rPr>
                <w:rFonts w:ascii="Arial" w:hAnsi="Arial"/>
                <w:sz w:val="20"/>
              </w:rPr>
            </w:r>
            <w:r>
              <w:rPr>
                <w:rFonts w:ascii="Arial" w:hAnsi="Arial"/>
                <w:sz w:val="20"/>
              </w:rPr>
              <w:t>shutdown margin with most-reactive rod stuck; subcriticality with single failure</w:t>
            </w:r>
          </w:p>
        </w:tc>
        <w:tc>
          <w:tcPr>
            <w:tcW w:type="dxa" w:w="3135"/>
          </w:tcPr>
          <w:p>
            <w:r>
              <w:rPr>
                <w:rFonts w:ascii="Arial" w:hAnsi="Arial"/>
                <w:sz w:val="20"/>
              </w:rPr>
            </w:r>
            <w:r>
              <w:rPr>
                <w:rFonts w:ascii="Arial" w:hAnsi="Arial"/>
                <w:sz w:val="20"/>
              </w:rPr>
              <w:t>IAEA SSR-2/1 Req. 25; GDC 26 [ref N-1]</w:t>
            </w:r>
          </w:p>
        </w:tc>
      </w:tr>
      <w:tr>
        <w:tc>
          <w:tcPr>
            <w:tcW w:type="dxa" w:w="3135"/>
          </w:tcPr>
          <w:p>
            <w:r>
              <w:rPr>
                <w:rFonts w:ascii="Arial" w:hAnsi="Arial"/>
                <w:sz w:val="20"/>
              </w:rPr>
            </w:r>
            <w:r>
              <w:rPr>
                <w:rFonts w:ascii="Arial" w:hAnsi="Arial"/>
                <w:sz w:val="20"/>
              </w:rPr>
              <w:t>Max enrichment 4.95 wt% ≤ 5.0</w:t>
            </w:r>
          </w:p>
        </w:tc>
        <w:tc>
          <w:tcPr>
            <w:tcW w:type="dxa" w:w="3135"/>
          </w:tcPr>
          <w:p>
            <w:r>
              <w:rPr>
                <w:rFonts w:ascii="Arial" w:hAnsi="Arial"/>
                <w:sz w:val="20"/>
              </w:rPr>
            </w:r>
            <w:r>
              <w:rPr>
                <w:rFonts w:ascii="Arial" w:hAnsi="Arial"/>
                <w:sz w:val="20"/>
              </w:rPr>
              <w:t>LEU fabrication/licensing limit</w:t>
            </w:r>
          </w:p>
        </w:tc>
        <w:tc>
          <w:tcPr>
            <w:tcW w:type="dxa" w:w="3135"/>
          </w:tcPr>
          <w:p>
            <w:r>
              <w:rPr>
                <w:rFonts w:ascii="Arial" w:hAnsi="Arial"/>
                <w:sz w:val="20"/>
              </w:rPr>
            </w:r>
            <w:r>
              <w:rPr>
                <w:rFonts w:ascii="Arial" w:hAnsi="Arial"/>
                <w:sz w:val="20"/>
              </w:rPr>
              <w:t>commercial LEU limit; IAEA fuel-safety guidance</w:t>
            </w:r>
          </w:p>
        </w:tc>
      </w:tr>
    </w:tbl>
    <w:p/>
    <w:p>
      <w:pPr>
        <w:jc w:val="both"/>
      </w:pPr>
      <w:r>
        <w:rPr>
          <w:rFonts w:ascii="Arial" w:hAnsi="Arial"/>
        </w:rPr>
        <w:t xml:space="preserve">Türkiye's nuclear activities are licensed by the </w:t>
      </w:r>
      <w:r>
        <w:rPr>
          <w:rFonts w:ascii="Arial" w:hAnsi="Arial"/>
          <w:b/>
        </w:rPr>
        <w:t>Nükleer Düzenleme Kurumu (NDK)</w:t>
      </w:r>
      <w:r>
        <w:rPr>
          <w:rFonts w:ascii="Arial" w:hAnsi="Arial"/>
        </w:rPr>
        <w:t xml:space="preserve"> under the Nuclear Regulation Law (No. 7381, 2022), whose design framework adopts the IAEA Safety Standards; the criteria above are therefore satisfied under the national regime as well as the IAEA/NRC references. </w:t>
      </w:r>
      <w:r>
        <w:rPr>
          <w:rFonts w:ascii="Arial" w:hAnsi="Arial"/>
          <w:i/>
          <w:color w:val="555555"/>
        </w:rPr>
        <w:t>[TODO: Confirm the exact NDK regulation title/article the team standardises on and align with the §8.1 codes-and-standards list.]</w:t>
      </w:r>
    </w:p>
    <w:p>
      <w:pPr>
        <w:jc w:val="both"/>
      </w:pPr>
      <w:r>
        <w:rPr>
          <w:rFonts w:ascii="Arial" w:hAnsi="Arial"/>
          <w:b/>
        </w:rPr>
        <w:t>Code verification and statistical convergence.</w:t>
      </w:r>
      <w:r>
        <w:rPr>
          <w:rFonts w:ascii="Arial" w:hAnsi="Arial"/>
        </w:rPr>
        <w:t xml:space="preserve"> All neutronic results above are produced with</w:t>
      </w:r>
    </w:p>
    <w:p>
      <w:pPr>
        <w:jc w:val="both"/>
      </w:pPr>
      <w:r>
        <w:rPr>
          <w:rFonts w:ascii="Arial" w:hAnsi="Arial"/>
          <w:b/>
        </w:rPr>
        <w:t>OpenMC</w:t>
      </w:r>
      <w:r>
        <w:rPr>
          <w:rFonts w:ascii="Arial" w:hAnsi="Arial"/>
        </w:rPr>
        <w:t xml:space="preserve"> (continuous-energy Monte Carlo, ENDF/B-VIII.0) in full-core eigenvalue mode, with depletion through the OpenMC depletion solver and the </w:t>
      </w:r>
      <w:r>
        <w:rPr>
          <w:rFonts w:ascii="Consolas" w:hAnsi="Consolas"/>
          <w:sz w:val="21"/>
        </w:rPr>
        <w:t>chain_endfb80_pwr</w:t>
      </w:r>
      <w:r>
        <w:rPr>
          <w:rFonts w:ascii="Arial" w:hAnsi="Arial"/>
        </w:rPr>
        <w:t xml:space="preserve"> chain. Following the verification practice of comparable SMR neutronics studies (e.g. the SMART (U/Th)O₂ assessment of Akbari-Jeyhouni et al. 2018, which benchmarks its MCNP model against the SMART SSAR before using it), the Aegis-40 transport/depletion path is judged against </w:t>
      </w:r>
      <w:r>
        <w:rPr>
          <w:rFonts w:ascii="Arial" w:hAnsi="Arial"/>
          <w:b/>
        </w:rPr>
        <w:t>published, citable</w:t>
      </w:r>
      <w:r>
        <w:rPr>
          <w:rFonts w:ascii="Arial" w:hAnsi="Arial"/>
        </w:rPr>
        <w:t xml:space="preserve"> validation of the same code rather than re-derived (Table 8.2-8); the full evidence package is the Digital-Appendix V&amp;V plan (</w:t>
      </w:r>
      <w:r>
        <w:rPr>
          <w:rFonts w:ascii="Consolas" w:hAnsi="Consolas"/>
          <w:sz w:val="21"/>
        </w:rPr>
        <w:t>docs/competition/digital-appendix-vv-plan.md</w:t>
      </w:r>
      <w:r>
        <w:rPr>
          <w:rFonts w:ascii="Arial" w:hAnsi="Arial"/>
        </w:rPr>
        <w:t>). The k_eff values quoted (BOL = 1.0264, k_EOC ≈ 0.876) carry a production-statistics 1-σ at the few-×10 pcm level (Table 8.2-6 settings, 20 000 neutrons/batch).</w:t>
      </w:r>
    </w:p>
    <w:p>
      <w:pPr>
        <w:jc w:val="both"/>
      </w:pPr>
      <w:r>
        <w:rPr>
          <w:rFonts w:ascii="Arial" w:hAnsi="Arial"/>
          <w:b/>
        </w:rPr>
        <w:t>Table 8.2-8 — Neutronics verification &amp; benchmarking (OpenMC)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DDE3EA"/>
          </w:tcPr>
          <w:p>
            <w:r>
              <w:rPr>
                <w:rFonts w:ascii="Arial" w:hAnsi="Arial"/>
                <w:b/>
                <w:sz w:val="20"/>
              </w:rPr>
            </w:r>
            <w:r>
              <w:rPr>
                <w:rFonts w:ascii="Arial" w:hAnsi="Arial"/>
                <w:b/>
                <w:sz w:val="20"/>
              </w:rPr>
              <w:t>Capability</w:t>
            </w:r>
          </w:p>
        </w:tc>
        <w:tc>
          <w:tcPr>
            <w:tcW w:type="dxa" w:w="2351"/>
            <w:shd w:val="clear" w:fill="DDE3EA"/>
          </w:tcPr>
          <w:p>
            <w:r>
              <w:rPr>
                <w:rFonts w:ascii="Arial" w:hAnsi="Arial"/>
                <w:b/>
                <w:sz w:val="20"/>
              </w:rPr>
            </w:r>
            <w:r>
              <w:rPr>
                <w:rFonts w:ascii="Arial" w:hAnsi="Arial"/>
                <w:b/>
                <w:sz w:val="20"/>
              </w:rPr>
              <w:t>Citable benchmark / reference</w:t>
            </w:r>
          </w:p>
        </w:tc>
        <w:tc>
          <w:tcPr>
            <w:tcW w:type="dxa" w:w="2351"/>
            <w:shd w:val="clear" w:fill="DDE3EA"/>
          </w:tcPr>
          <w:p>
            <w:r>
              <w:rPr>
                <w:rFonts w:ascii="Arial" w:hAnsi="Arial"/>
                <w:b/>
                <w:sz w:val="20"/>
              </w:rPr>
            </w:r>
            <w:r>
              <w:rPr>
                <w:rFonts w:ascii="Arial" w:hAnsi="Arial"/>
                <w:b/>
                <w:sz w:val="20"/>
              </w:rPr>
              <w:t>Agreement</w:t>
            </w:r>
          </w:p>
        </w:tc>
        <w:tc>
          <w:tcPr>
            <w:tcW w:type="dxa" w:w="2351"/>
            <w:shd w:val="clear" w:fill="DDE3EA"/>
          </w:tcPr>
          <w:p>
            <w:r>
              <w:rPr>
                <w:rFonts w:ascii="Arial" w:hAnsi="Arial"/>
                <w:b/>
                <w:sz w:val="20"/>
              </w:rPr>
            </w:r>
            <w:r>
              <w:rPr>
                <w:rFonts w:ascii="Arial" w:hAnsi="Arial"/>
                <w:b/>
                <w:sz w:val="20"/>
              </w:rPr>
              <w:t>Status</w:t>
            </w:r>
          </w:p>
        </w:tc>
      </w:tr>
      <w:tr>
        <w:tc>
          <w:tcPr>
            <w:tcW w:type="dxa" w:w="2351"/>
          </w:tcPr>
          <w:p>
            <w:r>
              <w:rPr>
                <w:rFonts w:ascii="Arial" w:hAnsi="Arial"/>
                <w:sz w:val="20"/>
              </w:rPr>
            </w:r>
            <w:r>
              <w:rPr>
                <w:rFonts w:ascii="Arial" w:hAnsi="Arial"/>
                <w:sz w:val="20"/>
              </w:rPr>
              <w:t>Transport / k_eff method</w:t>
            </w:r>
          </w:p>
        </w:tc>
        <w:tc>
          <w:tcPr>
            <w:tcW w:type="dxa" w:w="2351"/>
          </w:tcPr>
          <w:p>
            <w:r>
              <w:rPr>
                <w:rFonts w:ascii="Arial" w:hAnsi="Arial"/>
                <w:sz w:val="20"/>
              </w:rPr>
            </w:r>
            <w:r>
              <w:rPr>
                <w:rFonts w:ascii="Arial" w:hAnsi="Arial"/>
                <w:sz w:val="20"/>
              </w:rPr>
              <w:t>Romano &amp; Forget, *Ann. Nucl. Energy* 51 (2013) 274 (OpenMC code paper); ICSBEP handbook (OECD-NEA)</w:t>
            </w:r>
          </w:p>
        </w:tc>
        <w:tc>
          <w:tcPr>
            <w:tcW w:type="dxa" w:w="2351"/>
          </w:tcPr>
          <w:p>
            <w:r>
              <w:rPr>
                <w:rFonts w:ascii="Arial" w:hAnsi="Arial"/>
                <w:sz w:val="20"/>
              </w:rPr>
            </w:r>
            <w:r>
              <w:rPr>
                <w:rFonts w:ascii="Arial" w:hAnsi="Arial"/>
                <w:sz w:val="20"/>
              </w:rPr>
              <w:t>published; OpenMC tracks ICSBEP suite</w:t>
            </w:r>
          </w:p>
        </w:tc>
        <w:tc>
          <w:tcPr>
            <w:tcW w:type="dxa" w:w="2351"/>
          </w:tcPr>
          <w:p>
            <w:r>
              <w:rPr>
                <w:rFonts w:ascii="Arial" w:hAnsi="Arial"/>
                <w:sz w:val="20"/>
              </w:rPr>
            </w:r>
            <w:r>
              <w:rPr>
                <w:rFonts w:ascii="Arial" w:hAnsi="Arial"/>
                <w:sz w:val="20"/>
              </w:rPr>
              <w:t>Cite</w:t>
            </w:r>
          </w:p>
        </w:tc>
      </w:tr>
      <w:tr>
        <w:tc>
          <w:tcPr>
            <w:tcW w:type="dxa" w:w="2351"/>
          </w:tcPr>
          <w:p>
            <w:r>
              <w:rPr>
                <w:rFonts w:ascii="Arial" w:hAnsi="Arial"/>
                <w:sz w:val="20"/>
              </w:rPr>
            </w:r>
            <w:r>
              <w:rPr>
                <w:rFonts w:ascii="Arial" w:hAnsi="Arial"/>
                <w:sz w:val="20"/>
              </w:rPr>
              <w:t>Reactor-physics lattice/core</w:t>
            </w:r>
          </w:p>
        </w:tc>
        <w:tc>
          <w:tcPr>
            <w:tcW w:type="dxa" w:w="2351"/>
          </w:tcPr>
          <w:p>
            <w:r>
              <w:rPr>
                <w:rFonts w:ascii="Arial" w:hAnsi="Arial"/>
                <w:sz w:val="20"/>
              </w:rPr>
            </w:r>
            <w:r>
              <w:rPr>
                <w:rFonts w:ascii="Arial" w:hAnsi="Arial"/>
                <w:sz w:val="20"/>
              </w:rPr>
              <w:t>C5G7 (OECD-NEA); BEAVRS full-core PWR (MIT-CRPG)</w:t>
            </w:r>
          </w:p>
        </w:tc>
        <w:tc>
          <w:tcPr>
            <w:tcW w:type="dxa" w:w="2351"/>
          </w:tcPr>
          <w:p>
            <w:r>
              <w:rPr>
                <w:rFonts w:ascii="Arial" w:hAnsi="Arial"/>
                <w:sz w:val="20"/>
              </w:rPr>
            </w:r>
            <w:r>
              <w:rPr>
                <w:rFonts w:ascii="Arial" w:hAnsi="Arial"/>
                <w:sz w:val="20"/>
              </w:rPr>
              <w:t>published</w:t>
            </w:r>
          </w:p>
        </w:tc>
        <w:tc>
          <w:tcPr>
            <w:tcW w:type="dxa" w:w="2351"/>
          </w:tcPr>
          <w:p>
            <w:r>
              <w:rPr>
                <w:rFonts w:ascii="Arial" w:hAnsi="Arial"/>
                <w:sz w:val="20"/>
              </w:rPr>
            </w:r>
            <w:r>
              <w:rPr>
                <w:rFonts w:ascii="Arial" w:hAnsi="Arial"/>
                <w:sz w:val="20"/>
              </w:rPr>
              <w:t>Cite (our core deck = sample input)</w:t>
            </w:r>
          </w:p>
        </w:tc>
      </w:tr>
      <w:tr>
        <w:tc>
          <w:tcPr>
            <w:tcW w:type="dxa" w:w="2351"/>
          </w:tcPr>
          <w:p>
            <w:r>
              <w:rPr>
                <w:rFonts w:ascii="Arial" w:hAnsi="Arial"/>
                <w:sz w:val="20"/>
              </w:rPr>
            </w:r>
            <w:r>
              <w:rPr>
                <w:rFonts w:ascii="Arial" w:hAnsi="Arial"/>
                <w:sz w:val="20"/>
              </w:rPr>
              <w:t>Depletion / actinide &amp; FP isotopics</w:t>
            </w:r>
          </w:p>
        </w:tc>
        <w:tc>
          <w:tcPr>
            <w:tcW w:type="dxa" w:w="2351"/>
          </w:tcPr>
          <w:p>
            <w:r>
              <w:rPr>
                <w:rFonts w:ascii="Arial" w:hAnsi="Arial"/>
                <w:sz w:val="20"/>
              </w:rPr>
            </w:r>
            <w:r>
              <w:rPr>
                <w:rFonts w:ascii="Arial" w:hAnsi="Arial"/>
                <w:sz w:val="20"/>
              </w:rPr>
              <w:t>OpenMC vs Serpent on BEAVRS 2.4 % pincell — Romano et al., *Ann. Nucl. Energy* 152 (2021) 107989</w:t>
            </w:r>
          </w:p>
        </w:tc>
        <w:tc>
          <w:tcPr>
            <w:tcW w:type="dxa" w:w="2351"/>
          </w:tcPr>
          <w:p>
            <w:r>
              <w:rPr>
                <w:rFonts w:ascii="Arial" w:hAnsi="Arial"/>
                <w:sz w:val="20"/>
              </w:rPr>
            </w:r>
            <w:r>
              <w:rPr>
                <w:rFonts w:ascii="Arial" w:hAnsi="Arial"/>
                <w:b/>
                <w:sz w:val="20"/>
              </w:rPr>
              <w:t>k_eff &lt; 20 pcm; actinides &lt; 1 %; FPs &lt; 1 %</w:t>
            </w:r>
            <w:r>
              <w:rPr>
                <w:rFonts w:ascii="Arial" w:hAnsi="Arial"/>
                <w:sz w:val="20"/>
              </w:rPr>
              <w:t xml:space="preserve"> to 50 MWd/kg</w:t>
            </w:r>
          </w:p>
        </w:tc>
        <w:tc>
          <w:tcPr>
            <w:tcW w:type="dxa" w:w="2351"/>
          </w:tcPr>
          <w:p>
            <w:r>
              <w:rPr>
                <w:rFonts w:ascii="Arial" w:hAnsi="Arial"/>
                <w:sz w:val="20"/>
              </w:rPr>
            </w:r>
            <w:r>
              <w:rPr>
                <w:rFonts w:ascii="Arial" w:hAnsi="Arial"/>
                <w:sz w:val="20"/>
              </w:rPr>
              <w:t>Cite + confirmatory run</w:t>
            </w:r>
          </w:p>
        </w:tc>
      </w:tr>
      <w:tr>
        <w:tc>
          <w:tcPr>
            <w:tcW w:type="dxa" w:w="2351"/>
          </w:tcPr>
          <w:p>
            <w:r>
              <w:rPr>
                <w:rFonts w:ascii="Arial" w:hAnsi="Arial"/>
                <w:sz w:val="20"/>
              </w:rPr>
            </w:r>
            <w:r>
              <w:rPr>
                <w:rFonts w:ascii="Arial" w:hAnsi="Arial"/>
                <w:sz w:val="20"/>
              </w:rPr>
              <w:t>Statistical repeatability</w:t>
            </w:r>
          </w:p>
        </w:tc>
        <w:tc>
          <w:tcPr>
            <w:tcW w:type="dxa" w:w="2351"/>
          </w:tcPr>
          <w:p>
            <w:r>
              <w:rPr>
                <w:rFonts w:ascii="Arial" w:hAnsi="Arial"/>
                <w:sz w:val="20"/>
              </w:rPr>
            </w:r>
            <w:r>
              <w:rPr>
                <w:rFonts w:ascii="Arial" w:hAnsi="Arial"/>
                <w:sz w:val="20"/>
              </w:rPr>
              <w:t>re-run with independent RNG seeds</w:t>
            </w:r>
          </w:p>
        </w:tc>
        <w:tc>
          <w:tcPr>
            <w:tcW w:type="dxa" w:w="2351"/>
          </w:tcPr>
          <w:p>
            <w:r>
              <w:rPr>
                <w:rFonts w:ascii="Arial" w:hAnsi="Arial"/>
                <w:sz w:val="20"/>
              </w:rPr>
            </w:r>
            <w:r>
              <w:rPr>
                <w:rFonts w:ascii="Arial" w:hAnsi="Arial"/>
                <w:sz w:val="20"/>
              </w:rPr>
              <w:t>k_eff per step within combined Monte-Carlo σ</w:t>
            </w:r>
          </w:p>
        </w:tc>
        <w:tc>
          <w:tcPr>
            <w:tcW w:type="dxa" w:w="2351"/>
          </w:tcPr>
          <w:p>
            <w:r>
              <w:rPr>
                <w:rFonts w:ascii="Arial" w:hAnsi="Arial"/>
                <w:sz w:val="20"/>
              </w:rPr>
            </w:r>
            <w:r>
              <w:rPr>
                <w:rFonts w:ascii="Arial" w:hAnsi="Arial"/>
                <w:sz w:val="20"/>
              </w:rPr>
              <w:t>Run</w:t>
            </w:r>
          </w:p>
        </w:tc>
      </w:tr>
    </w:tbl>
    <w:p/>
    <w:p>
      <w:pPr>
        <w:jc w:val="both"/>
      </w:pPr>
      <w:r>
        <w:rPr>
          <w:rFonts w:ascii="Arial" w:hAnsi="Arial"/>
          <w:b/>
        </w:rPr>
        <w:t>Depleted-fuel inventory (BOC → EOC).</w:t>
      </w:r>
      <w:r>
        <w:rPr>
          <w:rFonts w:ascii="Arial" w:hAnsi="Arial"/>
        </w:rPr>
        <w:t xml:space="preserve"> Table 8.2-9 gives the major-actinide inventory at beginning of cycle (fresh UO₂ loading) and at the 42.8 GWd/MTU discharge — the quantitative basis for the fuel-utilisation (§8.11) and non-proliferation (§8.7 / 3S assessment) claims. BOC values are the fresh loading (core-average ≈ 4.7 wt% over ~5.28 tHM; ⚠CONFIRM exact step-0 mass against the depletion </w:t>
      </w:r>
      <w:r>
        <w:rPr>
          <w:rFonts w:ascii="Consolas" w:hAnsi="Consolas"/>
          <w:sz w:val="21"/>
        </w:rPr>
        <w:t>--step 0</w:t>
      </w:r>
      <w:r>
        <w:rPr>
          <w:rFonts w:ascii="Arial" w:hAnsi="Arial"/>
        </w:rPr>
        <w:t xml:space="preserve"> extraction); EOC values are the exact whole-core OpenMC depletion result (</w:t>
      </w:r>
      <w:r>
        <w:rPr>
          <w:rFonts w:ascii="Consolas" w:hAnsi="Consolas"/>
          <w:sz w:val="21"/>
        </w:rPr>
        <w:t>docs/competition/waste/discharge_inventory.csv</w:t>
      </w:r>
      <w:r>
        <w:rPr>
          <w:rFonts w:ascii="Arial" w:hAnsi="Arial"/>
        </w:rPr>
        <w:t>).</w:t>
      </w:r>
    </w:p>
    <w:p>
      <w:pPr>
        <w:jc w:val="both"/>
      </w:pPr>
      <w:r>
        <w:rPr>
          <w:rFonts w:ascii="Arial" w:hAnsi="Arial"/>
          <w:b/>
        </w:rPr>
        <w:t>Table 8.2-9 — Whole-core actinide inventory, BOC → EOC (42.8 GWd/MTU discharge)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DDE3EA"/>
          </w:tcPr>
          <w:p>
            <w:r>
              <w:rPr>
                <w:rFonts w:ascii="Arial" w:hAnsi="Arial"/>
                <w:b/>
                <w:sz w:val="20"/>
              </w:rPr>
            </w:r>
            <w:r>
              <w:rPr>
                <w:rFonts w:ascii="Arial" w:hAnsi="Arial"/>
                <w:b/>
                <w:sz w:val="20"/>
              </w:rPr>
              <w:t>Nuclide</w:t>
            </w:r>
          </w:p>
        </w:tc>
        <w:tc>
          <w:tcPr>
            <w:tcW w:type="dxa" w:w="2351"/>
            <w:shd w:val="clear" w:fill="DDE3EA"/>
          </w:tcPr>
          <w:p>
            <w:r>
              <w:rPr>
                <w:rFonts w:ascii="Arial" w:hAnsi="Arial"/>
                <w:b/>
                <w:sz w:val="20"/>
              </w:rPr>
            </w:r>
            <w:r>
              <w:rPr>
                <w:rFonts w:ascii="Arial" w:hAnsi="Arial"/>
                <w:b/>
                <w:sz w:val="20"/>
              </w:rPr>
              <w:t>BOC mass (kg)</w:t>
            </w:r>
          </w:p>
        </w:tc>
        <w:tc>
          <w:tcPr>
            <w:tcW w:type="dxa" w:w="2351"/>
            <w:shd w:val="clear" w:fill="DDE3EA"/>
          </w:tcPr>
          <w:p>
            <w:r>
              <w:rPr>
                <w:rFonts w:ascii="Arial" w:hAnsi="Arial"/>
                <w:b/>
                <w:sz w:val="20"/>
              </w:rPr>
            </w:r>
            <w:r>
              <w:rPr>
                <w:rFonts w:ascii="Arial" w:hAnsi="Arial"/>
                <w:b/>
                <w:sz w:val="20"/>
              </w:rPr>
              <w:t>EOC mass (kg)</w:t>
            </w:r>
          </w:p>
        </w:tc>
        <w:tc>
          <w:tcPr>
            <w:tcW w:type="dxa" w:w="2351"/>
            <w:shd w:val="clear" w:fill="DDE3EA"/>
          </w:tcPr>
          <w:p>
            <w:r>
              <w:rPr>
                <w:rFonts w:ascii="Arial" w:hAnsi="Arial"/>
                <w:b/>
                <w:sz w:val="20"/>
              </w:rPr>
            </w:r>
            <w:r>
              <w:rPr>
                <w:rFonts w:ascii="Arial" w:hAnsi="Arial"/>
                <w:b/>
                <w:sz w:val="20"/>
              </w:rPr>
              <w:t>Note</w:t>
            </w:r>
          </w:p>
        </w:tc>
      </w:tr>
      <w:tr>
        <w:tc>
          <w:tcPr>
            <w:tcW w:type="dxa" w:w="2351"/>
          </w:tcPr>
          <w:p>
            <w:r>
              <w:rPr>
                <w:rFonts w:ascii="Arial" w:hAnsi="Arial"/>
                <w:sz w:val="20"/>
              </w:rPr>
            </w:r>
            <w:r>
              <w:rPr>
                <w:rFonts w:ascii="Arial" w:hAnsi="Arial"/>
                <w:sz w:val="20"/>
              </w:rPr>
              <w:t>U-234</w:t>
            </w:r>
          </w:p>
        </w:tc>
        <w:tc>
          <w:tcPr>
            <w:tcW w:type="dxa" w:w="2351"/>
          </w:tcPr>
          <w:p>
            <w:r>
              <w:rPr>
                <w:rFonts w:ascii="Arial" w:hAnsi="Arial"/>
                <w:sz w:val="20"/>
              </w:rPr>
            </w:r>
            <w:r>
              <w:rPr>
                <w:rFonts w:ascii="Arial" w:hAnsi="Arial"/>
                <w:sz w:val="20"/>
              </w:rPr>
              <w:t>~0.4 (trace)</w:t>
            </w:r>
          </w:p>
        </w:tc>
        <w:tc>
          <w:tcPr>
            <w:tcW w:type="dxa" w:w="2351"/>
          </w:tcPr>
          <w:p>
            <w:r>
              <w:rPr>
                <w:rFonts w:ascii="Arial" w:hAnsi="Arial"/>
                <w:sz w:val="20"/>
              </w:rPr>
            </w:r>
            <w:r>
              <w:rPr>
                <w:rFonts w:ascii="Arial" w:hAnsi="Arial"/>
                <w:sz w:val="20"/>
              </w:rPr>
              <w:t>1.18</w:t>
            </w:r>
          </w:p>
        </w:tc>
        <w:tc>
          <w:tcPr>
            <w:tcW w:type="dxa" w:w="2351"/>
          </w:tcPr>
          <w:p>
            <w:r>
              <w:rPr>
                <w:rFonts w:ascii="Arial" w:hAnsi="Arial"/>
                <w:sz w:val="20"/>
              </w:rPr>
            </w:r>
            <w:r>
              <w:rPr>
                <w:rFonts w:ascii="Arial" w:hAnsi="Arial"/>
                <w:sz w:val="20"/>
              </w:rPr>
              <w:t>enrichment-tail + Pu-238 α-decay chain</w:t>
            </w:r>
          </w:p>
        </w:tc>
      </w:tr>
      <w:tr>
        <w:tc>
          <w:tcPr>
            <w:tcW w:type="dxa" w:w="2351"/>
          </w:tcPr>
          <w:p>
            <w:r>
              <w:rPr>
                <w:rFonts w:ascii="Arial" w:hAnsi="Arial"/>
                <w:sz w:val="20"/>
              </w:rPr>
            </w:r>
            <w:r>
              <w:rPr>
                <w:rFonts w:ascii="Arial" w:hAnsi="Arial"/>
                <w:sz w:val="20"/>
              </w:rPr>
              <w:t>U-235</w:t>
            </w:r>
          </w:p>
        </w:tc>
        <w:tc>
          <w:tcPr>
            <w:tcW w:type="dxa" w:w="2351"/>
          </w:tcPr>
          <w:p>
            <w:r>
              <w:rPr>
                <w:rFonts w:ascii="Arial" w:hAnsi="Arial"/>
                <w:sz w:val="20"/>
              </w:rPr>
            </w:r>
            <w:r>
              <w:rPr>
                <w:rFonts w:ascii="Arial" w:hAnsi="Arial"/>
                <w:b/>
                <w:sz w:val="20"/>
              </w:rPr>
              <w:t>248</w:t>
            </w:r>
          </w:p>
        </w:tc>
        <w:tc>
          <w:tcPr>
            <w:tcW w:type="dxa" w:w="2351"/>
          </w:tcPr>
          <w:p>
            <w:r>
              <w:rPr>
                <w:rFonts w:ascii="Arial" w:hAnsi="Arial"/>
                <w:sz w:val="20"/>
              </w:rPr>
            </w:r>
            <w:r>
              <w:rPr>
                <w:rFonts w:ascii="Arial" w:hAnsi="Arial"/>
                <w:b/>
                <w:sz w:val="20"/>
              </w:rPr>
              <w:t>54.9</w:t>
            </w:r>
          </w:p>
        </w:tc>
        <w:tc>
          <w:tcPr>
            <w:tcW w:type="dxa" w:w="2351"/>
          </w:tcPr>
          <w:p>
            <w:r>
              <w:rPr>
                <w:rFonts w:ascii="Arial" w:hAnsi="Arial"/>
                <w:sz w:val="20"/>
              </w:rPr>
            </w:r>
            <w:r>
              <w:rPr>
                <w:rFonts w:ascii="Arial" w:hAnsi="Arial"/>
                <w:sz w:val="20"/>
              </w:rPr>
              <w:t>193 kg fissile consumed</w:t>
            </w:r>
          </w:p>
        </w:tc>
      </w:tr>
      <w:tr>
        <w:tc>
          <w:tcPr>
            <w:tcW w:type="dxa" w:w="2351"/>
          </w:tcPr>
          <w:p>
            <w:r>
              <w:rPr>
                <w:rFonts w:ascii="Arial" w:hAnsi="Arial"/>
                <w:sz w:val="20"/>
              </w:rPr>
            </w:r>
            <w:r>
              <w:rPr>
                <w:rFonts w:ascii="Arial" w:hAnsi="Arial"/>
                <w:sz w:val="20"/>
              </w:rPr>
              <w:t>U-236</w:t>
            </w:r>
          </w:p>
        </w:tc>
        <w:tc>
          <w:tcPr>
            <w:tcW w:type="dxa" w:w="2351"/>
          </w:tcPr>
          <w:p>
            <w:r>
              <w:rPr>
                <w:rFonts w:ascii="Arial" w:hAnsi="Arial"/>
                <w:sz w:val="20"/>
              </w:rPr>
            </w:r>
            <w:r>
              <w:rPr>
                <w:rFonts w:ascii="Arial" w:hAnsi="Arial"/>
                <w:sz w:val="20"/>
              </w:rPr>
              <w:t>0</w:t>
            </w:r>
          </w:p>
        </w:tc>
        <w:tc>
          <w:tcPr>
            <w:tcW w:type="dxa" w:w="2351"/>
          </w:tcPr>
          <w:p>
            <w:r>
              <w:rPr>
                <w:rFonts w:ascii="Arial" w:hAnsi="Arial"/>
                <w:sz w:val="20"/>
              </w:rPr>
            </w:r>
            <w:r>
              <w:rPr>
                <w:rFonts w:ascii="Arial" w:hAnsi="Arial"/>
                <w:sz w:val="20"/>
              </w:rPr>
              <w:t>33.2</w:t>
            </w:r>
          </w:p>
        </w:tc>
        <w:tc>
          <w:tcPr>
            <w:tcW w:type="dxa" w:w="2351"/>
          </w:tcPr>
          <w:p>
            <w:r>
              <w:rPr>
                <w:rFonts w:ascii="Arial" w:hAnsi="Arial"/>
                <w:sz w:val="20"/>
              </w:rPr>
            </w:r>
            <w:r>
              <w:rPr>
                <w:rFonts w:ascii="Arial" w:hAnsi="Arial"/>
                <w:sz w:val="20"/>
              </w:rPr>
              <w:t>U-235 (n,γ) capture product</w:t>
            </w:r>
          </w:p>
        </w:tc>
      </w:tr>
      <w:tr>
        <w:tc>
          <w:tcPr>
            <w:tcW w:type="dxa" w:w="2351"/>
          </w:tcPr>
          <w:p>
            <w:r>
              <w:rPr>
                <w:rFonts w:ascii="Arial" w:hAnsi="Arial"/>
                <w:sz w:val="20"/>
              </w:rPr>
            </w:r>
            <w:r>
              <w:rPr>
                <w:rFonts w:ascii="Arial" w:hAnsi="Arial"/>
                <w:sz w:val="20"/>
              </w:rPr>
              <w:t>U-238</w:t>
            </w:r>
          </w:p>
        </w:tc>
        <w:tc>
          <w:tcPr>
            <w:tcW w:type="dxa" w:w="2351"/>
          </w:tcPr>
          <w:p>
            <w:r>
              <w:rPr>
                <w:rFonts w:ascii="Arial" w:hAnsi="Arial"/>
                <w:sz w:val="20"/>
              </w:rPr>
            </w:r>
            <w:r>
              <w:rPr>
                <w:rFonts w:ascii="Arial" w:hAnsi="Arial"/>
                <w:sz w:val="20"/>
              </w:rPr>
              <w:t>~5 030</w:t>
            </w:r>
          </w:p>
        </w:tc>
        <w:tc>
          <w:tcPr>
            <w:tcW w:type="dxa" w:w="2351"/>
          </w:tcPr>
          <w:p>
            <w:r>
              <w:rPr>
                <w:rFonts w:ascii="Arial" w:hAnsi="Arial"/>
                <w:sz w:val="20"/>
              </w:rPr>
            </w:r>
            <w:r>
              <w:rPr>
                <w:rFonts w:ascii="Arial" w:hAnsi="Arial"/>
                <w:sz w:val="20"/>
              </w:rPr>
              <w:t>4 892</w:t>
            </w:r>
          </w:p>
        </w:tc>
        <w:tc>
          <w:tcPr>
            <w:tcW w:type="dxa" w:w="2351"/>
          </w:tcPr>
          <w:p>
            <w:r>
              <w:rPr>
                <w:rFonts w:ascii="Arial" w:hAnsi="Arial"/>
                <w:sz w:val="20"/>
              </w:rPr>
            </w:r>
            <w:r>
              <w:rPr>
                <w:rFonts w:ascii="Arial" w:hAnsi="Arial"/>
                <w:sz w:val="20"/>
              </w:rPr>
              <w:t>fertile; ~140 kg → Pu / fission</w:t>
            </w:r>
          </w:p>
        </w:tc>
      </w:tr>
      <w:tr>
        <w:tc>
          <w:tcPr>
            <w:tcW w:type="dxa" w:w="2351"/>
          </w:tcPr>
          <w:p>
            <w:r>
              <w:rPr>
                <w:rFonts w:ascii="Arial" w:hAnsi="Arial"/>
                <w:sz w:val="20"/>
              </w:rPr>
            </w:r>
            <w:r>
              <w:rPr>
                <w:rFonts w:ascii="Arial" w:hAnsi="Arial"/>
                <w:sz w:val="20"/>
              </w:rPr>
              <w:t>Np-237</w:t>
            </w:r>
          </w:p>
        </w:tc>
        <w:tc>
          <w:tcPr>
            <w:tcW w:type="dxa" w:w="2351"/>
          </w:tcPr>
          <w:p>
            <w:r>
              <w:rPr>
                <w:rFonts w:ascii="Arial" w:hAnsi="Arial"/>
                <w:sz w:val="20"/>
              </w:rPr>
            </w:r>
            <w:r>
              <w:rPr>
                <w:rFonts w:ascii="Arial" w:hAnsi="Arial"/>
                <w:sz w:val="20"/>
              </w:rPr>
              <w:t>0</w:t>
            </w:r>
          </w:p>
        </w:tc>
        <w:tc>
          <w:tcPr>
            <w:tcW w:type="dxa" w:w="2351"/>
          </w:tcPr>
          <w:p>
            <w:r>
              <w:rPr>
                <w:rFonts w:ascii="Arial" w:hAnsi="Arial"/>
                <w:sz w:val="20"/>
              </w:rPr>
            </w:r>
            <w:r>
              <w:rPr>
                <w:rFonts w:ascii="Arial" w:hAnsi="Arial"/>
                <w:sz w:val="20"/>
              </w:rPr>
              <w:t>3.34</w:t>
            </w:r>
          </w:p>
        </w:tc>
        <w:tc>
          <w:tcPr>
            <w:tcW w:type="dxa" w:w="2351"/>
          </w:tcPr>
          <w:p>
            <w:r>
              <w:rPr>
                <w:rFonts w:ascii="Arial" w:hAnsi="Arial"/>
                <w:sz w:val="20"/>
              </w:rPr>
            </w:r>
            <w:r>
              <w:rPr>
                <w:rFonts w:ascii="Arial" w:hAnsi="Arial"/>
                <w:sz w:val="20"/>
              </w:rPr>
              <w:t>minor actinide build-up</w:t>
            </w:r>
          </w:p>
        </w:tc>
      </w:tr>
      <w:tr>
        <w:tc>
          <w:tcPr>
            <w:tcW w:type="dxa" w:w="2351"/>
          </w:tcPr>
          <w:p>
            <w:r>
              <w:rPr>
                <w:rFonts w:ascii="Arial" w:hAnsi="Arial"/>
                <w:sz w:val="20"/>
              </w:rPr>
            </w:r>
            <w:r>
              <w:rPr>
                <w:rFonts w:ascii="Arial" w:hAnsi="Arial"/>
                <w:sz w:val="20"/>
              </w:rPr>
              <w:t>Pu-238</w:t>
            </w:r>
          </w:p>
        </w:tc>
        <w:tc>
          <w:tcPr>
            <w:tcW w:type="dxa" w:w="2351"/>
          </w:tcPr>
          <w:p>
            <w:r>
              <w:rPr>
                <w:rFonts w:ascii="Arial" w:hAnsi="Arial"/>
                <w:sz w:val="20"/>
              </w:rPr>
            </w:r>
            <w:r>
              <w:rPr>
                <w:rFonts w:ascii="Arial" w:hAnsi="Arial"/>
                <w:sz w:val="20"/>
              </w:rPr>
              <w:t>0</w:t>
            </w:r>
          </w:p>
        </w:tc>
        <w:tc>
          <w:tcPr>
            <w:tcW w:type="dxa" w:w="2351"/>
          </w:tcPr>
          <w:p>
            <w:r>
              <w:rPr>
                <w:rFonts w:ascii="Arial" w:hAnsi="Arial"/>
                <w:sz w:val="20"/>
              </w:rPr>
            </w:r>
            <w:r>
              <w:rPr>
                <w:rFonts w:ascii="Arial" w:hAnsi="Arial"/>
                <w:sz w:val="20"/>
              </w:rPr>
              <w:t>1.51</w:t>
            </w:r>
          </w:p>
        </w:tc>
        <w:tc>
          <w:tcPr>
            <w:tcW w:type="dxa" w:w="2351"/>
          </w:tcPr>
          <w:p>
            <w:r>
              <w:rPr>
                <w:rFonts w:ascii="Arial" w:hAnsi="Arial"/>
                <w:sz w:val="20"/>
              </w:rPr>
            </w:r>
            <w:r>
              <w:rPr>
                <w:rFonts w:ascii="Arial" w:hAnsi="Arial"/>
                <w:sz w:val="20"/>
              </w:rPr>
              <w:t>high-burnup; raises decay heat / SF-n (self-protection)</w:t>
            </w:r>
          </w:p>
        </w:tc>
      </w:tr>
      <w:tr>
        <w:tc>
          <w:tcPr>
            <w:tcW w:type="dxa" w:w="2351"/>
          </w:tcPr>
          <w:p>
            <w:r>
              <w:rPr>
                <w:rFonts w:ascii="Arial" w:hAnsi="Arial"/>
                <w:sz w:val="20"/>
              </w:rPr>
            </w:r>
            <w:r>
              <w:rPr>
                <w:rFonts w:ascii="Arial" w:hAnsi="Arial"/>
                <w:sz w:val="20"/>
              </w:rPr>
              <w:t>Pu-239</w:t>
            </w:r>
          </w:p>
        </w:tc>
        <w:tc>
          <w:tcPr>
            <w:tcW w:type="dxa" w:w="2351"/>
          </w:tcPr>
          <w:p>
            <w:r>
              <w:rPr>
                <w:rFonts w:ascii="Arial" w:hAnsi="Arial"/>
                <w:sz w:val="20"/>
              </w:rPr>
            </w:r>
            <w:r>
              <w:rPr>
                <w:rFonts w:ascii="Arial" w:hAnsi="Arial"/>
                <w:sz w:val="20"/>
              </w:rPr>
              <w:t>0</w:t>
            </w:r>
          </w:p>
        </w:tc>
        <w:tc>
          <w:tcPr>
            <w:tcW w:type="dxa" w:w="2351"/>
          </w:tcPr>
          <w:p>
            <w:r>
              <w:rPr>
                <w:rFonts w:ascii="Arial" w:hAnsi="Arial"/>
                <w:sz w:val="20"/>
              </w:rPr>
            </w:r>
            <w:r>
              <w:rPr>
                <w:rFonts w:ascii="Arial" w:hAnsi="Arial"/>
                <w:sz w:val="20"/>
              </w:rPr>
              <w:t>28.94</w:t>
            </w:r>
          </w:p>
        </w:tc>
        <w:tc>
          <w:tcPr>
            <w:tcW w:type="dxa" w:w="2351"/>
          </w:tcPr>
          <w:p>
            <w:r>
              <w:rPr>
                <w:rFonts w:ascii="Arial" w:hAnsi="Arial"/>
                <w:sz w:val="20"/>
              </w:rPr>
            </w:r>
            <w:r>
              <w:rPr>
                <w:rFonts w:ascii="Arial" w:hAnsi="Arial"/>
                <w:sz w:val="20"/>
              </w:rPr>
              <w:t>bred fissile</w:t>
            </w:r>
          </w:p>
        </w:tc>
      </w:tr>
      <w:tr>
        <w:tc>
          <w:tcPr>
            <w:tcW w:type="dxa" w:w="2351"/>
          </w:tcPr>
          <w:p>
            <w:r>
              <w:rPr>
                <w:rFonts w:ascii="Arial" w:hAnsi="Arial"/>
                <w:sz w:val="20"/>
              </w:rPr>
            </w:r>
            <w:r>
              <w:rPr>
                <w:rFonts w:ascii="Arial" w:hAnsi="Arial"/>
                <w:sz w:val="20"/>
              </w:rPr>
              <w:t>Pu-240</w:t>
            </w:r>
          </w:p>
        </w:tc>
        <w:tc>
          <w:tcPr>
            <w:tcW w:type="dxa" w:w="2351"/>
          </w:tcPr>
          <w:p>
            <w:r>
              <w:rPr>
                <w:rFonts w:ascii="Arial" w:hAnsi="Arial"/>
                <w:sz w:val="20"/>
              </w:rPr>
            </w:r>
            <w:r>
              <w:rPr>
                <w:rFonts w:ascii="Arial" w:hAnsi="Arial"/>
                <w:sz w:val="20"/>
              </w:rPr>
              <w:t>0</w:t>
            </w:r>
          </w:p>
        </w:tc>
        <w:tc>
          <w:tcPr>
            <w:tcW w:type="dxa" w:w="2351"/>
          </w:tcPr>
          <w:p>
            <w:r>
              <w:rPr>
                <w:rFonts w:ascii="Arial" w:hAnsi="Arial"/>
                <w:sz w:val="20"/>
              </w:rPr>
            </w:r>
            <w:r>
              <w:rPr>
                <w:rFonts w:ascii="Arial" w:hAnsi="Arial"/>
                <w:sz w:val="20"/>
              </w:rPr>
              <w:t>13.62</w:t>
            </w:r>
          </w:p>
        </w:tc>
        <w:tc>
          <w:tcPr>
            <w:tcW w:type="dxa" w:w="2351"/>
          </w:tcPr>
          <w:p>
            <w:r>
              <w:rPr>
                <w:rFonts w:ascii="Arial" w:hAnsi="Arial"/>
                <w:sz w:val="20"/>
              </w:rPr>
            </w:r>
            <w:r>
              <w:rPr>
                <w:rFonts w:ascii="Arial" w:hAnsi="Arial"/>
                <w:sz w:val="20"/>
              </w:rPr>
              <w:t>drives reactor-grade vector (24.6 wt% of Pu)</w:t>
            </w:r>
          </w:p>
        </w:tc>
      </w:tr>
      <w:tr>
        <w:tc>
          <w:tcPr>
            <w:tcW w:type="dxa" w:w="2351"/>
          </w:tcPr>
          <w:p>
            <w:r>
              <w:rPr>
                <w:rFonts w:ascii="Arial" w:hAnsi="Arial"/>
                <w:sz w:val="20"/>
              </w:rPr>
            </w:r>
            <w:r>
              <w:rPr>
                <w:rFonts w:ascii="Arial" w:hAnsi="Arial"/>
                <w:sz w:val="20"/>
              </w:rPr>
              <w:t>Pu-241</w:t>
            </w:r>
          </w:p>
        </w:tc>
        <w:tc>
          <w:tcPr>
            <w:tcW w:type="dxa" w:w="2351"/>
          </w:tcPr>
          <w:p>
            <w:r>
              <w:rPr>
                <w:rFonts w:ascii="Arial" w:hAnsi="Arial"/>
                <w:sz w:val="20"/>
              </w:rPr>
            </w:r>
            <w:r>
              <w:rPr>
                <w:rFonts w:ascii="Arial" w:hAnsi="Arial"/>
                <w:sz w:val="20"/>
              </w:rPr>
              <w:t>0</w:t>
            </w:r>
          </w:p>
        </w:tc>
        <w:tc>
          <w:tcPr>
            <w:tcW w:type="dxa" w:w="2351"/>
          </w:tcPr>
          <w:p>
            <w:r>
              <w:rPr>
                <w:rFonts w:ascii="Arial" w:hAnsi="Arial"/>
                <w:sz w:val="20"/>
              </w:rPr>
            </w:r>
            <w:r>
              <w:rPr>
                <w:rFonts w:ascii="Arial" w:hAnsi="Arial"/>
                <w:sz w:val="20"/>
              </w:rPr>
              <w:t>7.70</w:t>
            </w:r>
          </w:p>
        </w:tc>
        <w:tc>
          <w:tcPr>
            <w:tcW w:type="dxa" w:w="2351"/>
          </w:tcPr>
          <w:p>
            <w:r>
              <w:rPr>
                <w:rFonts w:ascii="Arial" w:hAnsi="Arial"/>
                <w:sz w:val="20"/>
              </w:rPr>
            </w:r>
            <w:r>
              <w:rPr>
                <w:rFonts w:ascii="Arial" w:hAnsi="Arial"/>
                <w:sz w:val="20"/>
              </w:rPr>
              <w:t>fissile</w:t>
            </w:r>
          </w:p>
        </w:tc>
      </w:tr>
      <w:tr>
        <w:tc>
          <w:tcPr>
            <w:tcW w:type="dxa" w:w="2351"/>
          </w:tcPr>
          <w:p>
            <w:r>
              <w:rPr>
                <w:rFonts w:ascii="Arial" w:hAnsi="Arial"/>
                <w:sz w:val="20"/>
              </w:rPr>
            </w:r>
            <w:r>
              <w:rPr>
                <w:rFonts w:ascii="Arial" w:hAnsi="Arial"/>
                <w:sz w:val="20"/>
              </w:rPr>
              <w:t>Pu-242</w:t>
            </w:r>
          </w:p>
        </w:tc>
        <w:tc>
          <w:tcPr>
            <w:tcW w:type="dxa" w:w="2351"/>
          </w:tcPr>
          <w:p>
            <w:r>
              <w:rPr>
                <w:rFonts w:ascii="Arial" w:hAnsi="Arial"/>
                <w:sz w:val="20"/>
              </w:rPr>
            </w:r>
            <w:r>
              <w:rPr>
                <w:rFonts w:ascii="Arial" w:hAnsi="Arial"/>
                <w:sz w:val="20"/>
              </w:rPr>
              <w:t>0</w:t>
            </w:r>
          </w:p>
        </w:tc>
        <w:tc>
          <w:tcPr>
            <w:tcW w:type="dxa" w:w="2351"/>
          </w:tcPr>
          <w:p>
            <w:r>
              <w:rPr>
                <w:rFonts w:ascii="Arial" w:hAnsi="Arial"/>
                <w:sz w:val="20"/>
              </w:rPr>
            </w:r>
            <w:r>
              <w:rPr>
                <w:rFonts w:ascii="Arial" w:hAnsi="Arial"/>
                <w:sz w:val="20"/>
              </w:rPr>
              <w:t>3.57</w:t>
            </w:r>
          </w:p>
        </w:tc>
        <w:tc>
          <w:tcPr>
            <w:tcW w:type="dxa" w:w="2351"/>
          </w:tcPr>
          <w:p>
            <w:r>
              <w:rPr>
                <w:rFonts w:ascii="Arial" w:hAnsi="Arial"/>
                <w:sz w:val="20"/>
              </w:rPr>
            </w:r>
            <w:r>
              <w:rPr>
                <w:rFonts w:ascii="Arial" w:hAnsi="Arial"/>
                <w:sz w:val="20"/>
              </w:rPr>
              <w:t>—</w:t>
            </w:r>
          </w:p>
        </w:tc>
      </w:tr>
      <w:tr>
        <w:tc>
          <w:tcPr>
            <w:tcW w:type="dxa" w:w="2351"/>
          </w:tcPr>
          <w:p>
            <w:r>
              <w:rPr>
                <w:rFonts w:ascii="Arial" w:hAnsi="Arial"/>
                <w:sz w:val="20"/>
              </w:rPr>
            </w:r>
            <w:r>
              <w:rPr>
                <w:rFonts w:ascii="Arial" w:hAnsi="Arial"/>
                <w:sz w:val="20"/>
              </w:rPr>
              <w:t>Am-241</w:t>
            </w:r>
          </w:p>
        </w:tc>
        <w:tc>
          <w:tcPr>
            <w:tcW w:type="dxa" w:w="2351"/>
          </w:tcPr>
          <w:p>
            <w:r>
              <w:rPr>
                <w:rFonts w:ascii="Arial" w:hAnsi="Arial"/>
                <w:sz w:val="20"/>
              </w:rPr>
            </w:r>
            <w:r>
              <w:rPr>
                <w:rFonts w:ascii="Arial" w:hAnsi="Arial"/>
                <w:sz w:val="20"/>
              </w:rPr>
              <w:t>0</w:t>
            </w:r>
          </w:p>
        </w:tc>
        <w:tc>
          <w:tcPr>
            <w:tcW w:type="dxa" w:w="2351"/>
          </w:tcPr>
          <w:p>
            <w:r>
              <w:rPr>
                <w:rFonts w:ascii="Arial" w:hAnsi="Arial"/>
                <w:sz w:val="20"/>
              </w:rPr>
            </w:r>
            <w:r>
              <w:rPr>
                <w:rFonts w:ascii="Arial" w:hAnsi="Arial"/>
                <w:sz w:val="20"/>
              </w:rPr>
              <w:t>0.37</w:t>
            </w:r>
          </w:p>
        </w:tc>
        <w:tc>
          <w:tcPr>
            <w:tcW w:type="dxa" w:w="2351"/>
          </w:tcPr>
          <w:p>
            <w:r>
              <w:rPr>
                <w:rFonts w:ascii="Arial" w:hAnsi="Arial"/>
                <w:sz w:val="20"/>
              </w:rPr>
            </w:r>
            <w:r>
              <w:rPr>
                <w:rFonts w:ascii="Arial" w:hAnsi="Arial"/>
                <w:sz w:val="20"/>
              </w:rPr>
              <w:t>grows in storage from Pu-241 β-decay</w:t>
            </w:r>
          </w:p>
        </w:tc>
      </w:tr>
      <w:tr>
        <w:tc>
          <w:tcPr>
            <w:tcW w:type="dxa" w:w="2351"/>
          </w:tcPr>
          <w:p>
            <w:r>
              <w:rPr>
                <w:rFonts w:ascii="Arial" w:hAnsi="Arial"/>
                <w:sz w:val="20"/>
              </w:rPr>
            </w:r>
            <w:r>
              <w:rPr>
                <w:rFonts w:ascii="Arial" w:hAnsi="Arial"/>
                <w:sz w:val="20"/>
              </w:rPr>
              <w:t>Am-243</w:t>
            </w:r>
          </w:p>
        </w:tc>
        <w:tc>
          <w:tcPr>
            <w:tcW w:type="dxa" w:w="2351"/>
          </w:tcPr>
          <w:p>
            <w:r>
              <w:rPr>
                <w:rFonts w:ascii="Arial" w:hAnsi="Arial"/>
                <w:sz w:val="20"/>
              </w:rPr>
            </w:r>
            <w:r>
              <w:rPr>
                <w:rFonts w:ascii="Arial" w:hAnsi="Arial"/>
                <w:sz w:val="20"/>
              </w:rPr>
              <w:t>0</w:t>
            </w:r>
          </w:p>
        </w:tc>
        <w:tc>
          <w:tcPr>
            <w:tcW w:type="dxa" w:w="2351"/>
          </w:tcPr>
          <w:p>
            <w:r>
              <w:rPr>
                <w:rFonts w:ascii="Arial" w:hAnsi="Arial"/>
                <w:sz w:val="20"/>
              </w:rPr>
            </w:r>
            <w:r>
              <w:rPr>
                <w:rFonts w:ascii="Arial" w:hAnsi="Arial"/>
                <w:sz w:val="20"/>
              </w:rPr>
              <w:t>0.71</w:t>
            </w:r>
          </w:p>
        </w:tc>
        <w:tc>
          <w:tcPr>
            <w:tcW w:type="dxa" w:w="2351"/>
          </w:tcPr>
          <w:p>
            <w:r>
              <w:rPr>
                <w:rFonts w:ascii="Arial" w:hAnsi="Arial"/>
                <w:sz w:val="20"/>
              </w:rPr>
            </w:r>
            <w:r>
              <w:rPr>
                <w:rFonts w:ascii="Arial" w:hAnsi="Arial"/>
                <w:sz w:val="20"/>
              </w:rPr>
              <w:t>—</w:t>
            </w:r>
          </w:p>
        </w:tc>
      </w:tr>
      <w:tr>
        <w:tc>
          <w:tcPr>
            <w:tcW w:type="dxa" w:w="2351"/>
          </w:tcPr>
          <w:p>
            <w:r>
              <w:rPr>
                <w:rFonts w:ascii="Arial" w:hAnsi="Arial"/>
                <w:sz w:val="20"/>
              </w:rPr>
            </w:r>
            <w:r>
              <w:rPr>
                <w:rFonts w:ascii="Arial" w:hAnsi="Arial"/>
                <w:sz w:val="20"/>
              </w:rPr>
              <w:t>Cm-244</w:t>
            </w:r>
          </w:p>
        </w:tc>
        <w:tc>
          <w:tcPr>
            <w:tcW w:type="dxa" w:w="2351"/>
          </w:tcPr>
          <w:p>
            <w:r>
              <w:rPr>
                <w:rFonts w:ascii="Arial" w:hAnsi="Arial"/>
                <w:sz w:val="20"/>
              </w:rPr>
            </w:r>
            <w:r>
              <w:rPr>
                <w:rFonts w:ascii="Arial" w:hAnsi="Arial"/>
                <w:sz w:val="20"/>
              </w:rPr>
              <w:t>0</w:t>
            </w:r>
          </w:p>
        </w:tc>
        <w:tc>
          <w:tcPr>
            <w:tcW w:type="dxa" w:w="2351"/>
          </w:tcPr>
          <w:p>
            <w:r>
              <w:rPr>
                <w:rFonts w:ascii="Arial" w:hAnsi="Arial"/>
                <w:sz w:val="20"/>
              </w:rPr>
            </w:r>
            <w:r>
              <w:rPr>
                <w:rFonts w:ascii="Arial" w:hAnsi="Arial"/>
                <w:sz w:val="20"/>
              </w:rPr>
              <w:t>0.27</w:t>
            </w:r>
          </w:p>
        </w:tc>
        <w:tc>
          <w:tcPr>
            <w:tcW w:type="dxa" w:w="2351"/>
          </w:tcPr>
          <w:p>
            <w:r>
              <w:rPr>
                <w:rFonts w:ascii="Arial" w:hAnsi="Arial"/>
                <w:sz w:val="20"/>
              </w:rPr>
            </w:r>
            <w:r>
              <w:rPr>
                <w:rFonts w:ascii="Arial" w:hAnsi="Arial"/>
                <w:sz w:val="20"/>
              </w:rPr>
              <w:t>dominates the spent-fuel neutron field</w:t>
            </w:r>
          </w:p>
        </w:tc>
      </w:tr>
      <w:tr>
        <w:tc>
          <w:tcPr>
            <w:tcW w:type="dxa" w:w="2351"/>
          </w:tcPr>
          <w:p>
            <w:r>
              <w:rPr>
                <w:rFonts w:ascii="Arial" w:hAnsi="Arial"/>
                <w:sz w:val="20"/>
              </w:rPr>
            </w:r>
            <w:r>
              <w:rPr>
                <w:rFonts w:ascii="Arial" w:hAnsi="Arial"/>
                <w:b/>
                <w:sz w:val="20"/>
              </w:rPr>
              <w:t>Total Pu</w:t>
            </w:r>
          </w:p>
        </w:tc>
        <w:tc>
          <w:tcPr>
            <w:tcW w:type="dxa" w:w="2351"/>
          </w:tcPr>
          <w:p>
            <w:r>
              <w:rPr>
                <w:rFonts w:ascii="Arial" w:hAnsi="Arial"/>
                <w:sz w:val="20"/>
              </w:rPr>
            </w:r>
            <w:r>
              <w:rPr>
                <w:rFonts w:ascii="Arial" w:hAnsi="Arial"/>
                <w:b/>
                <w:sz w:val="20"/>
              </w:rPr>
              <w:t>0</w:t>
            </w:r>
          </w:p>
        </w:tc>
        <w:tc>
          <w:tcPr>
            <w:tcW w:type="dxa" w:w="2351"/>
          </w:tcPr>
          <w:p>
            <w:r>
              <w:rPr>
                <w:rFonts w:ascii="Arial" w:hAnsi="Arial"/>
                <w:sz w:val="20"/>
              </w:rPr>
            </w:r>
            <w:r>
              <w:rPr>
                <w:rFonts w:ascii="Arial" w:hAnsi="Arial"/>
                <w:b/>
                <w:sz w:val="20"/>
              </w:rPr>
              <w:t>55.3</w:t>
            </w:r>
          </w:p>
        </w:tc>
        <w:tc>
          <w:tcPr>
            <w:tcW w:type="dxa" w:w="2351"/>
          </w:tcPr>
          <w:p>
            <w:r>
              <w:rPr>
                <w:rFonts w:ascii="Arial" w:hAnsi="Arial"/>
                <w:sz w:val="20"/>
              </w:rPr>
            </w:r>
            <w:r>
              <w:rPr>
                <w:rFonts w:ascii="Arial" w:hAnsi="Arial"/>
                <w:sz w:val="20"/>
              </w:rPr>
              <w:t>reactor-grade (66.2 % fissile) — see §8.7 / 3S</w:t>
            </w:r>
          </w:p>
        </w:tc>
      </w:tr>
      <w:tr>
        <w:tc>
          <w:tcPr>
            <w:tcW w:type="dxa" w:w="2351"/>
          </w:tcPr>
          <w:p>
            <w:r>
              <w:rPr>
                <w:rFonts w:ascii="Arial" w:hAnsi="Arial"/>
                <w:sz w:val="20"/>
              </w:rPr>
            </w:r>
            <w:r>
              <w:rPr>
                <w:rFonts w:ascii="Arial" w:hAnsi="Arial"/>
                <w:b/>
                <w:sz w:val="20"/>
              </w:rPr>
              <w:t>Fissile (U-235+Pu-239+Pu-241)</w:t>
            </w:r>
          </w:p>
        </w:tc>
        <w:tc>
          <w:tcPr>
            <w:tcW w:type="dxa" w:w="2351"/>
          </w:tcPr>
          <w:p>
            <w:r>
              <w:rPr>
                <w:rFonts w:ascii="Arial" w:hAnsi="Arial"/>
                <w:sz w:val="20"/>
              </w:rPr>
            </w:r>
            <w:r>
              <w:rPr>
                <w:rFonts w:ascii="Arial" w:hAnsi="Arial"/>
                <w:b/>
                <w:sz w:val="20"/>
              </w:rPr>
              <w:t>248</w:t>
            </w:r>
          </w:p>
        </w:tc>
        <w:tc>
          <w:tcPr>
            <w:tcW w:type="dxa" w:w="2351"/>
          </w:tcPr>
          <w:p>
            <w:r>
              <w:rPr>
                <w:rFonts w:ascii="Arial" w:hAnsi="Arial"/>
                <w:sz w:val="20"/>
              </w:rPr>
            </w:r>
            <w:r>
              <w:rPr>
                <w:rFonts w:ascii="Arial" w:hAnsi="Arial"/>
                <w:b/>
                <w:sz w:val="20"/>
              </w:rPr>
              <w:t>91.6</w:t>
            </w:r>
          </w:p>
        </w:tc>
        <w:tc>
          <w:tcPr>
            <w:tcW w:type="dxa" w:w="2351"/>
          </w:tcPr>
          <w:p>
            <w:r>
              <w:rPr>
                <w:rFonts w:ascii="Arial" w:hAnsi="Arial"/>
                <w:sz w:val="20"/>
              </w:rPr>
            </w:r>
            <w:r>
              <w:rPr>
                <w:rFonts w:ascii="Arial" w:hAnsi="Arial"/>
                <w:sz w:val="20"/>
              </w:rPr>
              <w:t>net fissile drawdown over the cycle</w:t>
            </w:r>
          </w:p>
        </w:tc>
      </w:tr>
    </w:tbl>
    <w:p/>
    <w:p>
      <w:pPr>
        <w:jc w:val="both"/>
      </w:pPr>
      <w:r>
        <w:rPr>
          <w:rFonts w:ascii="Arial" w:hAnsi="Arial"/>
        </w:rPr>
        <w:t xml:space="preserve">The inventory tells the design story in one table: </w:t>
      </w:r>
      <w:r>
        <w:rPr>
          <w:rFonts w:ascii="Arial" w:hAnsi="Arial"/>
          <w:b/>
        </w:rPr>
        <w:t>193 kg of U-235 is burned</w:t>
      </w:r>
      <w:r>
        <w:rPr>
          <w:rFonts w:ascii="Arial" w:hAnsi="Arial"/>
        </w:rPr>
        <w:t xml:space="preserve"> while </w:t>
      </w:r>
      <w:r>
        <w:rPr>
          <w:rFonts w:ascii="Arial" w:hAnsi="Arial"/>
          <w:b/>
        </w:rPr>
        <w:t>55 kg of plutonium is bred</w:t>
      </w:r>
      <w:r>
        <w:rPr>
          <w:rFonts w:ascii="Arial" w:hAnsi="Arial"/>
        </w:rPr>
        <w:t xml:space="preserve"> (net fissile falls 248 → 92 kg), and the high discharge burnup degrades the bred plutonium to a </w:t>
      </w:r>
      <w:r>
        <w:rPr>
          <w:rFonts w:ascii="Arial" w:hAnsi="Arial"/>
          <w:b/>
        </w:rPr>
        <w:t>reactor-grade, self-protecting</w:t>
      </w:r>
      <w:r>
        <w:rPr>
          <w:rFonts w:ascii="Arial" w:hAnsi="Arial"/>
        </w:rPr>
        <w:t xml:space="preserve"> vector (Pu-240 = 24.6 wt%, Pu-238 and Cm-244 raising the decay-heat and neutron background) — the quantitative root of both the §8.11 waste-intensity result and the §8.7 non-proliferation assessment.</w:t>
      </w:r>
    </w:p>
    <w:p>
      <w:pPr>
        <w:spacing w:before="200" w:after="80"/>
      </w:pPr>
      <w:r>
        <w:rPr>
          <w:rFonts w:ascii="Arial Black" w:hAnsi="Arial Black"/>
          <w:b/>
          <w:color w:val="1F4E79"/>
          <w:sz w:val="25"/>
        </w:rPr>
        <w:t>8.2.4 Steady-State Thermal-Hydraulic Analysis (inputs &amp; interface to §8.4)</w:t>
      </w:r>
    </w:p>
    <w:p>
      <w:pPr>
        <w:jc w:val="both"/>
      </w:pPr>
      <w:r>
        <w:rPr>
          <w:rFonts w:ascii="Arial" w:hAnsi="Arial"/>
          <w:b/>
        </w:rPr>
        <w:t>Modelling assumptions (steady state).</w:t>
      </w:r>
      <w:r>
        <w:rPr>
          <w:rFonts w:ascii="Arial" w:hAnsi="Arial"/>
        </w:rPr>
        <w:t xml:space="preserve"> The core is evaluated at full power (125 MWth, the BOC power shape of Table 8.2-5), single-phase pressurised water at ≈ 12.8 MPa cooled by </w:t>
      </w:r>
      <w:r>
        <w:rPr>
          <w:rFonts w:ascii="Arial" w:hAnsi="Arial"/>
          <w:b/>
        </w:rPr>
        <w:t>natural circulation</w:t>
      </w:r>
      <w:r>
        <w:rPr>
          <w:rFonts w:ascii="Arial" w:hAnsi="Arial"/>
        </w:rPr>
        <w:t xml:space="preserve"> (no reactor coolant pumps). The primary boundary conditions, fixed by the §8.4 loop analysis, are core inlet 258 °C, core outlet 308 °C (ΔT 50 K), core-average 283 °C, and primary flow ≈ 483 kg/s; hot-channel departure-from-nucleate-boiling is evaluated with the W-3 CHF correlation (Tong) applied to the Table 8.2-5 peaking factors.</w:t>
      </w:r>
    </w:p>
    <w:p>
      <w:pPr>
        <w:jc w:val="both"/>
      </w:pPr>
      <w:r>
        <w:rPr>
          <w:rFonts w:ascii="Arial" w:hAnsi="Arial"/>
          <w:b/>
        </w:rPr>
        <w:t>Results.</w:t>
      </w:r>
      <w:r>
        <w:rPr>
          <w:rFonts w:ascii="Arial" w:hAnsi="Arial"/>
        </w:rPr>
        <w:t xml:space="preserve"> The low core specific power (~24 MW/tHM) and moderate peaking give large margin on every steady-state thermal limit (full distributions and the loop pressure balance in §8.4):</w:t>
      </w:r>
    </w:p>
    <w:p>
      <w:pPr>
        <w:jc w:val="both"/>
      </w:pPr>
      <w:r>
        <w:rPr>
          <w:rFonts w:ascii="Arial" w:hAnsi="Arial"/>
          <w:b/>
        </w:rPr>
        <w:t>Table 8.2-10 — Core steady-state thermal-hydraulic summary (from §8.4)</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DDE3EA"/>
          </w:tcPr>
          <w:p>
            <w:r>
              <w:rPr>
                <w:rFonts w:ascii="Arial" w:hAnsi="Arial"/>
                <w:b/>
                <w:sz w:val="20"/>
              </w:rPr>
            </w:r>
            <w:r>
              <w:rPr>
                <w:rFonts w:ascii="Arial" w:hAnsi="Arial"/>
                <w:b/>
                <w:sz w:val="20"/>
              </w:rPr>
              <w:t>Quantity</w:t>
            </w:r>
          </w:p>
        </w:tc>
        <w:tc>
          <w:tcPr>
            <w:tcW w:type="dxa" w:w="2351"/>
            <w:shd w:val="clear" w:fill="DDE3EA"/>
          </w:tcPr>
          <w:p>
            <w:r>
              <w:rPr>
                <w:rFonts w:ascii="Arial" w:hAnsi="Arial"/>
                <w:b/>
                <w:sz w:val="20"/>
              </w:rPr>
            </w:r>
            <w:r>
              <w:rPr>
                <w:rFonts w:ascii="Arial" w:hAnsi="Arial"/>
                <w:b/>
                <w:sz w:val="20"/>
              </w:rPr>
              <w:t>Result</w:t>
            </w:r>
          </w:p>
        </w:tc>
        <w:tc>
          <w:tcPr>
            <w:tcW w:type="dxa" w:w="2351"/>
            <w:shd w:val="clear" w:fill="DDE3EA"/>
          </w:tcPr>
          <w:p>
            <w:r>
              <w:rPr>
                <w:rFonts w:ascii="Arial" w:hAnsi="Arial"/>
                <w:b/>
                <w:sz w:val="20"/>
              </w:rPr>
            </w:r>
            <w:r>
              <w:rPr>
                <w:rFonts w:ascii="Arial" w:hAnsi="Arial"/>
                <w:b/>
                <w:sz w:val="20"/>
              </w:rPr>
              <w:t>Limit</w:t>
            </w:r>
          </w:p>
        </w:tc>
        <w:tc>
          <w:tcPr>
            <w:tcW w:type="dxa" w:w="2351"/>
            <w:shd w:val="clear" w:fill="DDE3EA"/>
          </w:tcPr>
          <w:p>
            <w:r>
              <w:rPr>
                <w:rFonts w:ascii="Arial" w:hAnsi="Arial"/>
                <w:b/>
                <w:sz w:val="20"/>
              </w:rPr>
            </w:r>
            <w:r>
              <w:rPr>
                <w:rFonts w:ascii="Arial" w:hAnsi="Arial"/>
                <w:b/>
                <w:sz w:val="20"/>
              </w:rPr>
              <w:t>Margin</w:t>
            </w:r>
          </w:p>
        </w:tc>
      </w:tr>
      <w:tr>
        <w:tc>
          <w:tcPr>
            <w:tcW w:type="dxa" w:w="2351"/>
          </w:tcPr>
          <w:p>
            <w:r>
              <w:rPr>
                <w:rFonts w:ascii="Arial" w:hAnsi="Arial"/>
                <w:sz w:val="20"/>
              </w:rPr>
            </w:r>
            <w:r>
              <w:rPr>
                <w:rFonts w:ascii="Arial" w:hAnsi="Arial"/>
                <w:sz w:val="20"/>
              </w:rPr>
              <w:t>Primary T (in / out / avg)</w:t>
            </w:r>
          </w:p>
        </w:tc>
        <w:tc>
          <w:tcPr>
            <w:tcW w:type="dxa" w:w="2351"/>
          </w:tcPr>
          <w:p>
            <w:r>
              <w:rPr>
                <w:rFonts w:ascii="Arial" w:hAnsi="Arial"/>
                <w:sz w:val="20"/>
              </w:rPr>
            </w:r>
            <w:r>
              <w:rPr>
                <w:rFonts w:ascii="Arial" w:hAnsi="Arial"/>
                <w:sz w:val="20"/>
              </w:rPr>
              <w:t>258 / 308 / 283 °C</w:t>
            </w:r>
          </w:p>
        </w:tc>
        <w:tc>
          <w:tcPr>
            <w:tcW w:type="dxa" w:w="2351"/>
          </w:tcPr>
          <w:p>
            <w:r>
              <w:rPr>
                <w:rFonts w:ascii="Arial" w:hAnsi="Arial"/>
                <w:sz w:val="20"/>
              </w:rPr>
            </w:r>
            <w:r>
              <w:rPr>
                <w:rFonts w:ascii="Arial" w:hAnsi="Arial"/>
                <w:sz w:val="20"/>
              </w:rPr>
              <w:t>—</w:t>
            </w:r>
          </w:p>
        </w:tc>
        <w:tc>
          <w:tcPr>
            <w:tcW w:type="dxa" w:w="2351"/>
          </w:tcPr>
          <w:p>
            <w:r>
              <w:rPr>
                <w:rFonts w:ascii="Arial" w:hAnsi="Arial"/>
                <w:sz w:val="20"/>
              </w:rPr>
            </w:r>
            <w:r>
              <w:rPr>
                <w:rFonts w:ascii="Arial" w:hAnsi="Arial"/>
                <w:sz w:val="20"/>
              </w:rPr>
              <w:t>single-phase</w:t>
            </w:r>
          </w:p>
        </w:tc>
      </w:tr>
      <w:tr>
        <w:tc>
          <w:tcPr>
            <w:tcW w:type="dxa" w:w="2351"/>
          </w:tcPr>
          <w:p>
            <w:r>
              <w:rPr>
                <w:rFonts w:ascii="Arial" w:hAnsi="Arial"/>
                <w:sz w:val="20"/>
              </w:rPr>
            </w:r>
            <w:r>
              <w:rPr>
                <w:rFonts w:ascii="Arial" w:hAnsi="Arial"/>
                <w:sz w:val="20"/>
              </w:rPr>
              <w:t>Hot-leg subcooling</w:t>
            </w:r>
          </w:p>
        </w:tc>
        <w:tc>
          <w:tcPr>
            <w:tcW w:type="dxa" w:w="2351"/>
          </w:tcPr>
          <w:p>
            <w:r>
              <w:rPr>
                <w:rFonts w:ascii="Arial" w:hAnsi="Arial"/>
                <w:sz w:val="20"/>
              </w:rPr>
            </w:r>
            <w:r>
              <w:rPr>
                <w:rFonts w:ascii="Arial" w:hAnsi="Arial"/>
                <w:sz w:val="20"/>
              </w:rPr>
              <w:t>21.7 °C</w:t>
            </w:r>
          </w:p>
        </w:tc>
        <w:tc>
          <w:tcPr>
            <w:tcW w:type="dxa" w:w="2351"/>
          </w:tcPr>
          <w:p>
            <w:r>
              <w:rPr>
                <w:rFonts w:ascii="Arial" w:hAnsi="Arial"/>
                <w:sz w:val="20"/>
              </w:rPr>
            </w:r>
            <w:r>
              <w:rPr>
                <w:rFonts w:ascii="Arial" w:hAnsi="Arial"/>
                <w:sz w:val="20"/>
              </w:rPr>
              <w:t>&gt; 0</w:t>
            </w:r>
          </w:p>
        </w:tc>
        <w:tc>
          <w:tcPr>
            <w:tcW w:type="dxa" w:w="2351"/>
          </w:tcPr>
          <w:p>
            <w:r>
              <w:rPr>
                <w:rFonts w:ascii="Arial" w:hAnsi="Arial"/>
                <w:sz w:val="20"/>
              </w:rPr>
            </w:r>
            <w:r>
              <w:rPr>
                <w:rFonts w:ascii="Arial" w:hAnsi="Arial"/>
                <w:sz w:val="20"/>
              </w:rPr>
              <w:t>no bulk boiling</w:t>
            </w:r>
          </w:p>
        </w:tc>
      </w:tr>
      <w:tr>
        <w:tc>
          <w:tcPr>
            <w:tcW w:type="dxa" w:w="2351"/>
          </w:tcPr>
          <w:p>
            <w:r>
              <w:rPr>
                <w:rFonts w:ascii="Arial" w:hAnsi="Arial"/>
                <w:sz w:val="20"/>
              </w:rPr>
            </w:r>
            <w:r>
              <w:rPr>
                <w:rFonts w:ascii="Arial" w:hAnsi="Arial"/>
                <w:sz w:val="20"/>
              </w:rPr>
              <w:t>MDNBR (hot pin, W-3)</w:t>
            </w:r>
          </w:p>
        </w:tc>
        <w:tc>
          <w:tcPr>
            <w:tcW w:type="dxa" w:w="2351"/>
          </w:tcPr>
          <w:p>
            <w:r>
              <w:rPr>
                <w:rFonts w:ascii="Arial" w:hAnsi="Arial"/>
                <w:sz w:val="20"/>
              </w:rPr>
            </w:r>
            <w:r>
              <w:rPr>
                <w:rFonts w:ascii="Arial" w:hAnsi="Arial"/>
                <w:sz w:val="20"/>
              </w:rPr>
              <w:t>1.466</w:t>
            </w:r>
          </w:p>
        </w:tc>
        <w:tc>
          <w:tcPr>
            <w:tcW w:type="dxa" w:w="2351"/>
          </w:tcPr>
          <w:p>
            <w:r>
              <w:rPr>
                <w:rFonts w:ascii="Arial" w:hAnsi="Arial"/>
                <w:sz w:val="20"/>
              </w:rPr>
            </w:r>
            <w:r>
              <w:rPr>
                <w:rFonts w:ascii="Arial" w:hAnsi="Arial"/>
                <w:sz w:val="20"/>
              </w:rPr>
              <w:t>≥ 1.3</w:t>
            </w:r>
          </w:p>
        </w:tc>
        <w:tc>
          <w:tcPr>
            <w:tcW w:type="dxa" w:w="2351"/>
          </w:tcPr>
          <w:p>
            <w:r>
              <w:rPr>
                <w:rFonts w:ascii="Arial" w:hAnsi="Arial"/>
                <w:sz w:val="20"/>
              </w:rPr>
            </w:r>
            <w:r>
              <w:rPr>
                <w:rFonts w:ascii="Arial" w:hAnsi="Arial"/>
                <w:sz w:val="20"/>
              </w:rPr>
              <w:t>+12.8 %</w:t>
            </w:r>
          </w:p>
        </w:tc>
      </w:tr>
      <w:tr>
        <w:tc>
          <w:tcPr>
            <w:tcW w:type="dxa" w:w="2351"/>
          </w:tcPr>
          <w:p>
            <w:r>
              <w:rPr>
                <w:rFonts w:ascii="Arial" w:hAnsi="Arial"/>
                <w:sz w:val="20"/>
              </w:rPr>
            </w:r>
            <w:r>
              <w:rPr>
                <w:rFonts w:ascii="Arial" w:hAnsi="Arial"/>
                <w:sz w:val="20"/>
              </w:rPr>
              <w:t>Peak clad temperature (steady)</w:t>
            </w:r>
          </w:p>
        </w:tc>
        <w:tc>
          <w:tcPr>
            <w:tcW w:type="dxa" w:w="2351"/>
          </w:tcPr>
          <w:p>
            <w:r>
              <w:rPr>
                <w:rFonts w:ascii="Arial" w:hAnsi="Arial"/>
                <w:sz w:val="20"/>
              </w:rPr>
            </w:r>
            <w:r>
              <w:rPr>
                <w:rFonts w:ascii="Arial" w:hAnsi="Arial"/>
                <w:sz w:val="20"/>
              </w:rPr>
              <w:t>391 °C</w:t>
            </w:r>
          </w:p>
        </w:tc>
        <w:tc>
          <w:tcPr>
            <w:tcW w:type="dxa" w:w="2351"/>
          </w:tcPr>
          <w:p>
            <w:r>
              <w:rPr>
                <w:rFonts w:ascii="Arial" w:hAnsi="Arial"/>
                <w:sz w:val="20"/>
              </w:rPr>
            </w:r>
            <w:r>
              <w:rPr>
                <w:rFonts w:ascii="Arial" w:hAnsi="Arial"/>
                <w:sz w:val="20"/>
              </w:rPr>
              <w:t>&lt; 1200 °C</w:t>
            </w:r>
          </w:p>
        </w:tc>
        <w:tc>
          <w:tcPr>
            <w:tcW w:type="dxa" w:w="2351"/>
          </w:tcPr>
          <w:p>
            <w:r>
              <w:rPr>
                <w:rFonts w:ascii="Arial" w:hAnsi="Arial"/>
                <w:sz w:val="20"/>
              </w:rPr>
            </w:r>
            <w:r>
              <w:rPr>
                <w:rFonts w:ascii="Arial" w:hAnsi="Arial"/>
                <w:sz w:val="20"/>
              </w:rPr>
              <w:t>+809 °C</w:t>
            </w:r>
          </w:p>
        </w:tc>
      </w:tr>
      <w:tr>
        <w:tc>
          <w:tcPr>
            <w:tcW w:type="dxa" w:w="2351"/>
          </w:tcPr>
          <w:p>
            <w:r>
              <w:rPr>
                <w:rFonts w:ascii="Arial" w:hAnsi="Arial"/>
                <w:sz w:val="20"/>
              </w:rPr>
            </w:r>
            <w:r>
              <w:rPr>
                <w:rFonts w:ascii="Arial" w:hAnsi="Arial"/>
                <w:sz w:val="20"/>
              </w:rPr>
              <w:t>Peak fuel centerline (BOL)</w:t>
            </w:r>
          </w:p>
        </w:tc>
        <w:tc>
          <w:tcPr>
            <w:tcW w:type="dxa" w:w="2351"/>
          </w:tcPr>
          <w:p>
            <w:r>
              <w:rPr>
                <w:rFonts w:ascii="Arial" w:hAnsi="Arial"/>
                <w:sz w:val="20"/>
              </w:rPr>
            </w:r>
            <w:r>
              <w:rPr>
                <w:rFonts w:ascii="Arial" w:hAnsi="Arial"/>
                <w:sz w:val="20"/>
              </w:rPr>
              <w:t>≈ 1 750 °C (§8.3)</w:t>
            </w:r>
          </w:p>
        </w:tc>
        <w:tc>
          <w:tcPr>
            <w:tcW w:type="dxa" w:w="2351"/>
          </w:tcPr>
          <w:p>
            <w:r>
              <w:rPr>
                <w:rFonts w:ascii="Arial" w:hAnsi="Arial"/>
                <w:sz w:val="20"/>
              </w:rPr>
            </w:r>
            <w:r>
              <w:rPr>
                <w:rFonts w:ascii="Arial" w:hAnsi="Arial"/>
                <w:sz w:val="20"/>
              </w:rPr>
              <w:t>&lt; melt (~2840 °C)</w:t>
            </w:r>
          </w:p>
        </w:tc>
        <w:tc>
          <w:tcPr>
            <w:tcW w:type="dxa" w:w="2351"/>
          </w:tcPr>
          <w:p>
            <w:r>
              <w:rPr>
                <w:rFonts w:ascii="Arial" w:hAnsi="Arial"/>
                <w:sz w:val="20"/>
              </w:rPr>
            </w:r>
            <w:r>
              <w:rPr>
                <w:rFonts w:ascii="Arial" w:hAnsi="Arial"/>
                <w:sz w:val="20"/>
              </w:rPr>
              <w:t>≈ 1 090 °C</w:t>
            </w:r>
          </w:p>
        </w:tc>
      </w:tr>
      <w:tr>
        <w:tc>
          <w:tcPr>
            <w:tcW w:type="dxa" w:w="2351"/>
          </w:tcPr>
          <w:p>
            <w:r>
              <w:rPr>
                <w:rFonts w:ascii="Arial" w:hAnsi="Arial"/>
                <w:sz w:val="20"/>
              </w:rPr>
            </w:r>
            <w:r>
              <w:rPr>
                <w:rFonts w:ascii="Arial" w:hAnsi="Arial"/>
                <w:sz w:val="20"/>
              </w:rPr>
              <w:t>Primary driving head / flow</w:t>
            </w:r>
          </w:p>
        </w:tc>
        <w:tc>
          <w:tcPr>
            <w:tcW w:type="dxa" w:w="2351"/>
          </w:tcPr>
          <w:p>
            <w:r>
              <w:rPr>
                <w:rFonts w:ascii="Arial" w:hAnsi="Arial"/>
                <w:sz w:val="20"/>
              </w:rPr>
            </w:r>
            <w:r>
              <w:rPr>
                <w:rFonts w:ascii="Arial" w:hAnsi="Arial"/>
                <w:sz w:val="20"/>
              </w:rPr>
              <w:t>2.62 kPa / ≈ 483 kg/s</w:t>
            </w:r>
          </w:p>
        </w:tc>
        <w:tc>
          <w:tcPr>
            <w:tcW w:type="dxa" w:w="2351"/>
          </w:tcPr>
          <w:p>
            <w:r>
              <w:rPr>
                <w:rFonts w:ascii="Arial" w:hAnsi="Arial"/>
                <w:sz w:val="20"/>
              </w:rPr>
            </w:r>
            <w:r>
              <w:rPr>
                <w:rFonts w:ascii="Arial" w:hAnsi="Arial"/>
                <w:sz w:val="20"/>
              </w:rPr>
              <w:t>self-sustaining</w:t>
            </w:r>
          </w:p>
        </w:tc>
        <w:tc>
          <w:tcPr>
            <w:tcW w:type="dxa" w:w="2351"/>
          </w:tcPr>
          <w:p>
            <w:r>
              <w:rPr>
                <w:rFonts w:ascii="Arial" w:hAnsi="Arial"/>
                <w:sz w:val="20"/>
              </w:rPr>
            </w:r>
            <w:r>
              <w:rPr>
                <w:rFonts w:ascii="Arial" w:hAnsi="Arial"/>
                <w:sz w:val="20"/>
              </w:rPr>
              <w:t>stable upflow</w:t>
            </w:r>
          </w:p>
        </w:tc>
      </w:tr>
    </w:tbl>
    <w:p/>
    <w:p>
      <w:pPr>
        <w:jc w:val="both"/>
      </w:pPr>
      <w:r>
        <w:rPr>
          <w:rFonts w:ascii="Arial" w:hAnsi="Arial"/>
        </w:rPr>
        <w:t>The natural-circulation loop self-regulates (ṁ ∝ P^1/3, §8.4.2.3) with all-positive upflow and no recirculation, confirming the cooling system extracts the full 125 MWth from the core with margin.</w:t>
      </w:r>
    </w:p>
    <w:p>
      <w:pPr>
        <w:jc w:val="both"/>
      </w:pPr>
      <w:r>
        <w:rPr>
          <w:rFonts w:ascii="Arial" w:hAnsi="Arial"/>
        </w:rPr>
        <w:t>---</w:t>
      </w:r>
    </w:p>
    <w:p>
      <w:pPr>
        <w:spacing w:before="200" w:after="80"/>
      </w:pPr>
      <w:r>
        <w:rPr>
          <w:rFonts w:ascii="Arial Black" w:hAnsi="Arial Black"/>
          <w:b/>
          <w:color w:val="1F4E79"/>
          <w:sz w:val="28"/>
        </w:rPr>
        <w:t>8.3 Fuel and Material Design</w:t>
      </w:r>
    </w:p>
    <w:p>
      <w:pPr>
        <w:jc w:val="both"/>
      </w:pPr>
      <w:r>
        <w:rPr>
          <w:rFonts w:ascii="Arial" w:hAnsi="Arial"/>
        </w:rPr>
        <w:t xml:space="preserve">This section presents the fuel and structural-material design and the fuel-performance / fuel-safety demonstration. Consistent with the brief, the analysis uses </w:t>
      </w:r>
      <w:r>
        <w:rPr>
          <w:rFonts w:ascii="Arial" w:hAnsi="Arial"/>
          <w:b/>
        </w:rPr>
        <w:t>established correlations and published in-pile data</w:t>
      </w:r>
      <w:r>
        <w:rPr>
          <w:rFonts w:ascii="Arial" w:hAnsi="Arial"/>
        </w:rPr>
        <w:t xml:space="preserve"> rather than new simulation; each calculation states its method, inputs, and assumptions, and all conditions are bounded by the core design of §8.2.</w:t>
      </w:r>
    </w:p>
    <w:p>
      <w:pPr>
        <w:spacing w:before="200" w:after="80"/>
      </w:pPr>
      <w:r>
        <w:rPr>
          <w:rFonts w:ascii="Arial Black" w:hAnsi="Arial Black"/>
          <w:b/>
          <w:color w:val="1F4E79"/>
          <w:sz w:val="25"/>
        </w:rPr>
        <w:t>8.3.1 Fuel and Structural Material — Technical Data</w:t>
      </w:r>
    </w:p>
    <w:p>
      <w:pPr>
        <w:jc w:val="both"/>
      </w:pPr>
      <w:r>
        <w:rPr>
          <w:rFonts w:ascii="Arial" w:hAnsi="Arial"/>
          <w:b/>
        </w:rPr>
        <w:t>Table 8.3-1 — Fuel and cladding property summary (literature)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Property</w:t>
            </w:r>
          </w:p>
        </w:tc>
        <w:tc>
          <w:tcPr>
            <w:tcW w:type="dxa" w:w="3135"/>
            <w:shd w:val="clear" w:fill="DDE3EA"/>
          </w:tcPr>
          <w:p>
            <w:r>
              <w:rPr>
                <w:rFonts w:ascii="Arial" w:hAnsi="Arial"/>
                <w:b/>
                <w:sz w:val="20"/>
              </w:rPr>
            </w:r>
            <w:r>
              <w:rPr>
                <w:rFonts w:ascii="Arial" w:hAnsi="Arial"/>
                <w:b/>
                <w:sz w:val="20"/>
              </w:rPr>
              <w:t>UO₂ fuel</w:t>
            </w:r>
          </w:p>
        </w:tc>
        <w:tc>
          <w:tcPr>
            <w:tcW w:type="dxa" w:w="3135"/>
            <w:shd w:val="clear" w:fill="DDE3EA"/>
          </w:tcPr>
          <w:p>
            <w:r>
              <w:rPr>
                <w:rFonts w:ascii="Arial" w:hAnsi="Arial"/>
                <w:b/>
                <w:sz w:val="20"/>
              </w:rPr>
            </w:r>
            <w:r>
              <w:rPr>
                <w:rFonts w:ascii="Arial" w:hAnsi="Arial"/>
                <w:b/>
                <w:sz w:val="20"/>
              </w:rPr>
              <w:t>Zircaloy-4 cladding</w:t>
            </w:r>
          </w:p>
        </w:tc>
      </w:tr>
      <w:tr>
        <w:tc>
          <w:tcPr>
            <w:tcW w:type="dxa" w:w="3135"/>
          </w:tcPr>
          <w:p>
            <w:r>
              <w:rPr>
                <w:rFonts w:ascii="Arial" w:hAnsi="Arial"/>
                <w:sz w:val="20"/>
              </w:rPr>
            </w:r>
            <w:r>
              <w:rPr>
                <w:rFonts w:ascii="Arial" w:hAnsi="Arial"/>
                <w:sz w:val="20"/>
              </w:rPr>
              <w:t>Form / dimensions</w:t>
            </w:r>
          </w:p>
        </w:tc>
        <w:tc>
          <w:tcPr>
            <w:tcW w:type="dxa" w:w="3135"/>
          </w:tcPr>
          <w:p>
            <w:r>
              <w:rPr>
                <w:rFonts w:ascii="Arial" w:hAnsi="Arial"/>
                <w:sz w:val="20"/>
              </w:rPr>
            </w:r>
            <w:r>
              <w:rPr>
                <w:rFonts w:ascii="Arial" w:hAnsi="Arial"/>
                <w:sz w:val="20"/>
              </w:rPr>
              <w:t>Sintered pellet, Ø8.192 mm, ~95% TD</w:t>
            </w:r>
          </w:p>
        </w:tc>
        <w:tc>
          <w:tcPr>
            <w:tcW w:type="dxa" w:w="3135"/>
          </w:tcPr>
          <w:p>
            <w:r>
              <w:rPr>
                <w:rFonts w:ascii="Arial" w:hAnsi="Arial"/>
                <w:sz w:val="20"/>
              </w:rPr>
            </w:r>
            <w:r>
              <w:rPr>
                <w:rFonts w:ascii="Arial" w:hAnsi="Arial"/>
                <w:sz w:val="20"/>
              </w:rPr>
              <w:t>Tube OD 9.520 / ID 8.375 mm, 0.573 mm wall</w:t>
            </w:r>
          </w:p>
        </w:tc>
      </w:tr>
      <w:tr>
        <w:tc>
          <w:tcPr>
            <w:tcW w:type="dxa" w:w="3135"/>
          </w:tcPr>
          <w:p>
            <w:r>
              <w:rPr>
                <w:rFonts w:ascii="Arial" w:hAnsi="Arial"/>
                <w:sz w:val="20"/>
              </w:rPr>
            </w:r>
            <w:r>
              <w:rPr>
                <w:rFonts w:ascii="Arial" w:hAnsi="Arial"/>
                <w:sz w:val="20"/>
              </w:rPr>
              <w:t>Density</w:t>
            </w:r>
          </w:p>
        </w:tc>
        <w:tc>
          <w:tcPr>
            <w:tcW w:type="dxa" w:w="3135"/>
          </w:tcPr>
          <w:p>
            <w:r>
              <w:rPr>
                <w:rFonts w:ascii="Arial" w:hAnsi="Arial"/>
                <w:sz w:val="20"/>
              </w:rPr>
            </w:r>
            <w:r>
              <w:rPr>
                <w:rFonts w:ascii="Arial" w:hAnsi="Arial"/>
                <w:sz w:val="20"/>
              </w:rPr>
              <w:t>~10.4–10.5 g/cm³ (95% TD)</w:t>
            </w:r>
          </w:p>
        </w:tc>
        <w:tc>
          <w:tcPr>
            <w:tcW w:type="dxa" w:w="3135"/>
          </w:tcPr>
          <w:p>
            <w:r>
              <w:rPr>
                <w:rFonts w:ascii="Arial" w:hAnsi="Arial"/>
                <w:sz w:val="20"/>
              </w:rPr>
            </w:r>
            <w:r>
              <w:rPr>
                <w:rFonts w:ascii="Arial" w:hAnsi="Arial"/>
                <w:sz w:val="20"/>
              </w:rPr>
              <w:t>6.55 g/cm³</w:t>
            </w:r>
          </w:p>
        </w:tc>
      </w:tr>
      <w:tr>
        <w:tc>
          <w:tcPr>
            <w:tcW w:type="dxa" w:w="3135"/>
          </w:tcPr>
          <w:p>
            <w:r>
              <w:rPr>
                <w:rFonts w:ascii="Arial" w:hAnsi="Arial"/>
                <w:sz w:val="20"/>
              </w:rPr>
            </w:r>
            <w:r>
              <w:rPr>
                <w:rFonts w:ascii="Arial" w:hAnsi="Arial"/>
                <w:sz w:val="20"/>
              </w:rPr>
              <w:t>Melting point</w:t>
            </w:r>
          </w:p>
        </w:tc>
        <w:tc>
          <w:tcPr>
            <w:tcW w:type="dxa" w:w="3135"/>
          </w:tcPr>
          <w:p>
            <w:r>
              <w:rPr>
                <w:rFonts w:ascii="Arial" w:hAnsi="Arial"/>
                <w:sz w:val="20"/>
              </w:rPr>
            </w:r>
            <w:r>
              <w:rPr>
                <w:rFonts w:ascii="Arial" w:hAnsi="Arial"/>
                <w:sz w:val="20"/>
              </w:rPr>
              <w:t>~2840 °C (fresh; ↓ ~0.5 °C/GWd-t with burnup)</w:t>
            </w:r>
          </w:p>
        </w:tc>
        <w:tc>
          <w:tcPr>
            <w:tcW w:type="dxa" w:w="3135"/>
          </w:tcPr>
          <w:p>
            <w:r>
              <w:rPr>
                <w:rFonts w:ascii="Arial" w:hAnsi="Arial"/>
                <w:sz w:val="20"/>
              </w:rPr>
            </w:r>
            <w:r>
              <w:rPr>
                <w:rFonts w:ascii="Arial" w:hAnsi="Arial"/>
                <w:sz w:val="20"/>
              </w:rPr>
              <w:t>~1850 °C (β-phase); design heat-up limit 1204 °C (LOCA PCT)</w:t>
            </w:r>
          </w:p>
        </w:tc>
      </w:tr>
      <w:tr>
        <w:tc>
          <w:tcPr>
            <w:tcW w:type="dxa" w:w="3135"/>
          </w:tcPr>
          <w:p>
            <w:r>
              <w:rPr>
                <w:rFonts w:ascii="Arial" w:hAnsi="Arial"/>
                <w:sz w:val="20"/>
              </w:rPr>
            </w:r>
            <w:r>
              <w:rPr>
                <w:rFonts w:ascii="Arial" w:hAnsi="Arial"/>
                <w:sz w:val="20"/>
              </w:rPr>
              <w:t>Thermal conductivity</w:t>
            </w:r>
          </w:p>
        </w:tc>
        <w:tc>
          <w:tcPr>
            <w:tcW w:type="dxa" w:w="3135"/>
          </w:tcPr>
          <w:p>
            <w:r>
              <w:rPr>
                <w:rFonts w:ascii="Arial" w:hAnsi="Arial"/>
                <w:sz w:val="20"/>
              </w:rPr>
            </w:r>
            <w:r>
              <w:rPr>
                <w:rFonts w:ascii="Arial" w:hAnsi="Arial"/>
                <w:sz w:val="20"/>
              </w:rPr>
              <w:t>~3–8 W/m·K, decreasing with T and burnup (Lucuta/Halden)</w:t>
            </w:r>
          </w:p>
        </w:tc>
        <w:tc>
          <w:tcPr>
            <w:tcW w:type="dxa" w:w="3135"/>
          </w:tcPr>
          <w:p>
            <w:r>
              <w:rPr>
                <w:rFonts w:ascii="Arial" w:hAnsi="Arial"/>
                <w:sz w:val="20"/>
              </w:rPr>
            </w:r>
            <w:r>
              <w:rPr>
                <w:rFonts w:ascii="Arial" w:hAnsi="Arial"/>
                <w:sz w:val="20"/>
              </w:rPr>
              <w:t>~17 W/m·K (≈ const. over range)</w:t>
            </w:r>
          </w:p>
        </w:tc>
      </w:tr>
      <w:tr>
        <w:tc>
          <w:tcPr>
            <w:tcW w:type="dxa" w:w="3135"/>
          </w:tcPr>
          <w:p>
            <w:r>
              <w:rPr>
                <w:rFonts w:ascii="Arial" w:hAnsi="Arial"/>
                <w:sz w:val="20"/>
              </w:rPr>
            </w:r>
            <w:r>
              <w:rPr>
                <w:rFonts w:ascii="Arial" w:hAnsi="Arial"/>
                <w:sz w:val="20"/>
              </w:rPr>
              <w:t>Coeff. thermal expansion</w:t>
            </w:r>
          </w:p>
        </w:tc>
        <w:tc>
          <w:tcPr>
            <w:tcW w:type="dxa" w:w="3135"/>
          </w:tcPr>
          <w:p>
            <w:r>
              <w:rPr>
                <w:rFonts w:ascii="Arial" w:hAnsi="Arial"/>
                <w:sz w:val="20"/>
              </w:rPr>
            </w:r>
            <w:r>
              <w:rPr>
                <w:rFonts w:ascii="Arial" w:hAnsi="Arial"/>
                <w:sz w:val="20"/>
              </w:rPr>
              <w:t>~10 × 10⁻⁶ /K</w:t>
            </w:r>
          </w:p>
        </w:tc>
        <w:tc>
          <w:tcPr>
            <w:tcW w:type="dxa" w:w="3135"/>
          </w:tcPr>
          <w:p>
            <w:r>
              <w:rPr>
                <w:rFonts w:ascii="Arial" w:hAnsi="Arial"/>
                <w:sz w:val="20"/>
              </w:rPr>
            </w:r>
            <w:r>
              <w:rPr>
                <w:rFonts w:ascii="Arial" w:hAnsi="Arial"/>
                <w:sz w:val="20"/>
              </w:rPr>
              <w:t>~6 × 10⁻⁶ /K</w:t>
            </w:r>
          </w:p>
        </w:tc>
      </w:tr>
      <w:tr>
        <w:tc>
          <w:tcPr>
            <w:tcW w:type="dxa" w:w="3135"/>
          </w:tcPr>
          <w:p>
            <w:r>
              <w:rPr>
                <w:rFonts w:ascii="Arial" w:hAnsi="Arial"/>
                <w:sz w:val="20"/>
              </w:rPr>
            </w:r>
            <w:r>
              <w:rPr>
                <w:rFonts w:ascii="Arial" w:hAnsi="Arial"/>
                <w:sz w:val="20"/>
              </w:rPr>
              <w:t>Neutronic role</w:t>
            </w:r>
          </w:p>
        </w:tc>
        <w:tc>
          <w:tcPr>
            <w:tcW w:type="dxa" w:w="3135"/>
          </w:tcPr>
          <w:p>
            <w:r>
              <w:rPr>
                <w:rFonts w:ascii="Arial" w:hAnsi="Arial"/>
                <w:sz w:val="20"/>
              </w:rPr>
            </w:r>
            <w:r>
              <w:rPr>
                <w:rFonts w:ascii="Arial" w:hAnsi="Arial"/>
                <w:sz w:val="20"/>
              </w:rPr>
              <w:t>fissile/fertile matrix; Doppler broadening (−1.84 pcm/K)</w:t>
            </w:r>
          </w:p>
        </w:tc>
        <w:tc>
          <w:tcPr>
            <w:tcW w:type="dxa" w:w="3135"/>
          </w:tcPr>
          <w:p>
            <w:r>
              <w:rPr>
                <w:rFonts w:ascii="Arial" w:hAnsi="Arial"/>
                <w:sz w:val="20"/>
              </w:rPr>
            </w:r>
            <w:r>
              <w:rPr>
                <w:rFonts w:ascii="Arial" w:hAnsi="Arial"/>
                <w:sz w:val="20"/>
              </w:rPr>
              <w:t>low absorption (~0.2 b)</w:t>
            </w:r>
          </w:p>
        </w:tc>
      </w:tr>
      <w:tr>
        <w:tc>
          <w:tcPr>
            <w:tcW w:type="dxa" w:w="3135"/>
          </w:tcPr>
          <w:p>
            <w:r>
              <w:rPr>
                <w:rFonts w:ascii="Arial" w:hAnsi="Arial"/>
                <w:sz w:val="20"/>
              </w:rPr>
            </w:r>
            <w:r>
              <w:rPr>
                <w:rFonts w:ascii="Arial" w:hAnsi="Arial"/>
                <w:sz w:val="20"/>
              </w:rPr>
              <w:t>Qualified burnup</w:t>
            </w:r>
          </w:p>
        </w:tc>
        <w:tc>
          <w:tcPr>
            <w:tcW w:type="dxa" w:w="3135"/>
          </w:tcPr>
          <w:p>
            <w:r>
              <w:rPr>
                <w:rFonts w:ascii="Arial" w:hAnsi="Arial"/>
                <w:sz w:val="20"/>
              </w:rPr>
            </w:r>
            <w:r>
              <w:rPr>
                <w:rFonts w:ascii="Arial" w:hAnsi="Arial"/>
                <w:sz w:val="20"/>
              </w:rPr>
              <w:t>reference LEU practice to ~62 GWd/t</w:t>
            </w:r>
          </w:p>
        </w:tc>
        <w:tc>
          <w:tcPr>
            <w:tcW w:type="dxa" w:w="3135"/>
          </w:tcPr>
          <w:p>
            <w:r>
              <w:rPr>
                <w:rFonts w:ascii="Arial" w:hAnsi="Arial"/>
                <w:sz w:val="20"/>
              </w:rPr>
            </w:r>
            <w:r>
              <w:rPr>
                <w:rFonts w:ascii="Arial" w:hAnsi="Arial"/>
                <w:sz w:val="20"/>
              </w:rPr>
              <w:t>rod-avg ≤ 62 GWd/t (regulatory ceiling)</w:t>
            </w:r>
          </w:p>
        </w:tc>
      </w:tr>
    </w:tbl>
    <w:p/>
    <w:p>
      <w:pPr>
        <w:jc w:val="both"/>
      </w:pPr>
      <w:r>
        <w:rPr>
          <w:rFonts w:ascii="Arial" w:hAnsi="Arial"/>
        </w:rPr>
        <w:t>Property sources to cite: IAEA-TECDOC thermophysical properties of UO₂/Zr-4; Todreas &amp; Kazimi,</w:t>
      </w:r>
    </w:p>
    <w:p>
      <w:pPr>
        <w:jc w:val="both"/>
      </w:pPr>
      <w:r>
        <w:rPr>
          <w:rFonts w:ascii="Arial" w:hAnsi="Arial"/>
        </w:rPr>
        <w:t xml:space="preserve">*Nuclear Systems I*; Halden Reactor Project fuel-behaviour data. </w:t>
      </w:r>
      <w:r>
        <w:rPr>
          <w:rFonts w:ascii="Arial" w:hAnsi="Arial"/>
          <w:i/>
          <w:color w:val="555555"/>
        </w:rPr>
        <w:t>[TODO: Insert exact references.]</w:t>
      </w:r>
    </w:p>
    <w:p>
      <w:pPr>
        <w:spacing w:before="200" w:after="80"/>
      </w:pPr>
      <w:r>
        <w:rPr>
          <w:rFonts w:ascii="Arial Black" w:hAnsi="Arial Black"/>
          <w:b/>
          <w:color w:val="1F4E79"/>
          <w:sz w:val="25"/>
        </w:rPr>
        <w:t>8.3.2 Linear Heat Rate and Power Density (design basis for fuel performance)</w:t>
      </w:r>
    </w:p>
    <w:p>
      <w:pPr>
        <w:jc w:val="both"/>
      </w:pPr>
      <w:r>
        <w:rPr>
          <w:rFonts w:ascii="Arial" w:hAnsi="Arial"/>
        </w:rPr>
        <w:t>The fuel-duty inputs follow directly from §8.2:</w:t>
      </w:r>
    </w:p>
    <w:p>
      <w:pPr>
        <w:pStyle w:val="ListBullet"/>
        <w:jc w:val="both"/>
      </w:pPr>
      <w:r>
        <w:rPr>
          <w:rFonts w:ascii="Arial" w:hAnsi="Arial"/>
        </w:rPr>
        <w:t xml:space="preserve">Fuel rods in core: 21 FA × 264 = </w:t>
      </w:r>
      <w:r>
        <w:rPr>
          <w:rFonts w:ascii="Arial" w:hAnsi="Arial"/>
          <w:b/>
        </w:rPr>
        <w:t>5,544 rods</w:t>
      </w:r>
      <w:r>
        <w:rPr>
          <w:rFonts w:ascii="Arial" w:hAnsi="Arial"/>
        </w:rPr>
        <w:t>; active length 2.0 m → 11,088 m of fuel.</w:t>
      </w:r>
    </w:p>
    <w:p>
      <w:pPr>
        <w:pStyle w:val="ListBullet"/>
        <w:jc w:val="both"/>
      </w:pPr>
      <w:r>
        <w:rPr>
          <w:rFonts w:ascii="Arial" w:hAnsi="Arial"/>
          <w:b/>
        </w:rPr>
        <w:t>Core-average linear heat rate</w:t>
      </w:r>
      <w:r>
        <w:rPr>
          <w:rFonts w:ascii="Arial" w:hAnsi="Arial"/>
        </w:rPr>
        <w:t xml:space="preserve"> q′_avg = 125 MW / 11,088 m ≈ </w:t>
      </w:r>
      <w:r>
        <w:rPr>
          <w:rFonts w:ascii="Arial" w:hAnsi="Arial"/>
          <w:b/>
        </w:rPr>
        <w:t>11.3 kW/m</w:t>
      </w:r>
      <w:r>
        <w:rPr>
          <w:rFonts w:ascii="Arial" w:hAnsi="Arial"/>
        </w:rPr>
        <w:t>.</w:t>
      </w:r>
    </w:p>
    <w:p>
      <w:pPr>
        <w:pStyle w:val="ListBullet"/>
        <w:jc w:val="both"/>
      </w:pPr>
      <w:r>
        <w:rPr>
          <w:rFonts w:ascii="Arial" w:hAnsi="Arial"/>
          <w:b/>
        </w:rPr>
        <w:t>Peak linear heat rate</w:t>
      </w:r>
      <w:r>
        <w:rPr>
          <w:rFonts w:ascii="Arial" w:hAnsi="Arial"/>
        </w:rPr>
        <w:t xml:space="preserve"> q′_peak = q′_avg × F_q = 11.3 × 3.48 ≈ </w:t>
      </w:r>
      <w:r>
        <w:rPr>
          <w:rFonts w:ascii="Arial" w:hAnsi="Arial"/>
          <w:b/>
        </w:rPr>
        <w:t>39.2 kW/m</w:t>
      </w:r>
      <w:r>
        <w:rPr>
          <w:rFonts w:ascii="Arial" w:hAnsi="Arial"/>
        </w:rPr>
        <w:t>.</w:t>
      </w:r>
    </w:p>
    <w:p>
      <w:pPr>
        <w:pStyle w:val="ListBullet"/>
        <w:jc w:val="both"/>
      </w:pPr>
      <w:r>
        <w:rPr>
          <w:rFonts w:ascii="Arial" w:hAnsi="Arial"/>
        </w:rPr>
        <w:t xml:space="preserve">Core specific power ≈ 125 MW / 5.3 tHM ≈ </w:t>
      </w:r>
      <w:r>
        <w:rPr>
          <w:rFonts w:ascii="Arial" w:hAnsi="Arial"/>
          <w:b/>
        </w:rPr>
        <w:t>23.6 MW/tHM</w:t>
      </w:r>
      <w:r>
        <w:rPr>
          <w:rFonts w:ascii="Arial" w:hAnsi="Arial"/>
        </w:rPr>
        <w:t>.</w:t>
      </w:r>
    </w:p>
    <w:p>
      <w:pPr>
        <w:jc w:val="both"/>
      </w:pPr>
      <w:r>
        <w:rPr>
          <w:rFonts w:ascii="Arial" w:hAnsi="Arial"/>
        </w:rPr>
        <w:t>The peak linear heat rate (~39 kW/m) is below the classic LWR design guideline (~43 kW/m / 13 kW/ft), and the core-average value is well under a large-PWR average (~17.5 kW/m) — a direct consequence of the low-power-density, fuel-efficiency-driven design. This is the root of the thermal margin claimed throughout §8.2–§8.5.</w:t>
      </w:r>
    </w:p>
    <w:p>
      <w:pPr>
        <w:spacing w:before="200" w:after="80"/>
      </w:pPr>
      <w:r>
        <w:rPr>
          <w:rFonts w:ascii="Arial Black" w:hAnsi="Arial Black"/>
          <w:b/>
          <w:color w:val="1F4E79"/>
          <w:sz w:val="25"/>
        </w:rPr>
        <w:t>8.3.3 Fuel-Performance Analysis — Centerline Temperature</w:t>
      </w:r>
    </w:p>
    <w:p>
      <w:pPr>
        <w:jc w:val="both"/>
      </w:pPr>
      <w:r>
        <w:rPr>
          <w:rFonts w:ascii="Arial" w:hAnsi="Arial"/>
        </w:rPr>
        <w:t>The peak-rod steady-state fuel centerline temperature is built up from the coolant through each thermal resistance using standard one-dimensional conduction relations (Todreas &amp; Kazimi). Inputs: q′_peak = 39.2 kW/m; pellet Ø8.192 mm; gap 0.0915 mm; clad as Table 8.2-2; coolant boundary from §8.2.4. Heat-transfer coefficient h ≈ 34,000 W/m²·K; BOL gap conductance h_gap ≈ 6,000 W/m²·K; k_clad ≈ 17 W/m·K; effective k_fuel ≈ 3 W/m·K (high-temperature value, conservative).</w:t>
      </w:r>
    </w:p>
    <w:p>
      <w:pPr>
        <w:jc w:val="both"/>
      </w:pPr>
      <w:r>
        <w:rPr>
          <w:rFonts w:ascii="Arial" w:hAnsi="Arial"/>
          <w:b/>
        </w:rPr>
        <w:t>Table 8.3-2 — Peak-rod temperature stack-up (BOL, steady state, engineering estimate)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Resistance</w:t>
            </w:r>
          </w:p>
        </w:tc>
        <w:tc>
          <w:tcPr>
            <w:tcW w:type="dxa" w:w="3135"/>
            <w:shd w:val="clear" w:fill="DDE3EA"/>
          </w:tcPr>
          <w:p>
            <w:r>
              <w:rPr>
                <w:rFonts w:ascii="Arial" w:hAnsi="Arial"/>
                <w:b/>
                <w:sz w:val="20"/>
              </w:rPr>
            </w:r>
            <w:r>
              <w:rPr>
                <w:rFonts w:ascii="Arial" w:hAnsi="Arial"/>
                <w:b/>
                <w:sz w:val="20"/>
              </w:rPr>
              <w:t>ΔT (K)</w:t>
            </w:r>
          </w:p>
        </w:tc>
        <w:tc>
          <w:tcPr>
            <w:tcW w:type="dxa" w:w="3135"/>
            <w:shd w:val="clear" w:fill="DDE3EA"/>
          </w:tcPr>
          <w:p>
            <w:r>
              <w:rPr>
                <w:rFonts w:ascii="Arial" w:hAnsi="Arial"/>
                <w:b/>
                <w:sz w:val="20"/>
              </w:rPr>
            </w:r>
            <w:r>
              <w:rPr>
                <w:rFonts w:ascii="Arial" w:hAnsi="Arial"/>
                <w:b/>
                <w:sz w:val="20"/>
              </w:rPr>
              <w:t>Method</w:t>
            </w:r>
          </w:p>
        </w:tc>
      </w:tr>
      <w:tr>
        <w:tc>
          <w:tcPr>
            <w:tcW w:type="dxa" w:w="3135"/>
          </w:tcPr>
          <w:p>
            <w:r>
              <w:rPr>
                <w:rFonts w:ascii="Arial" w:hAnsi="Arial"/>
                <w:sz w:val="20"/>
              </w:rPr>
            </w:r>
            <w:r>
              <w:rPr>
                <w:rFonts w:ascii="Arial" w:hAnsi="Arial"/>
                <w:sz w:val="20"/>
              </w:rPr>
              <w:t>Bulk coolant (local hot)</w:t>
            </w:r>
          </w:p>
        </w:tc>
        <w:tc>
          <w:tcPr>
            <w:tcW w:type="dxa" w:w="3135"/>
          </w:tcPr>
          <w:p>
            <w:r>
              <w:rPr>
                <w:rFonts w:ascii="Arial" w:hAnsi="Arial"/>
                <w:sz w:val="20"/>
              </w:rPr>
            </w:r>
            <w:r>
              <w:rPr>
                <w:rFonts w:ascii="Arial" w:hAnsi="Arial"/>
                <w:sz w:val="20"/>
              </w:rPr>
              <w:t>— (≈ 315 °C)</w:t>
            </w:r>
          </w:p>
        </w:tc>
        <w:tc>
          <w:tcPr>
            <w:tcW w:type="dxa" w:w="3135"/>
          </w:tcPr>
          <w:p>
            <w:r>
              <w:rPr>
                <w:rFonts w:ascii="Arial" w:hAnsi="Arial"/>
                <w:sz w:val="20"/>
              </w:rPr>
            </w:r>
            <w:r>
              <w:rPr>
                <w:rFonts w:ascii="Arial" w:hAnsi="Arial"/>
                <w:sz w:val="20"/>
              </w:rPr>
              <w:t>from §8.2.4 / §8.4</w:t>
            </w:r>
          </w:p>
        </w:tc>
      </w:tr>
      <w:tr>
        <w:tc>
          <w:tcPr>
            <w:tcW w:type="dxa" w:w="3135"/>
          </w:tcPr>
          <w:p>
            <w:r>
              <w:rPr>
                <w:rFonts w:ascii="Arial" w:hAnsi="Arial"/>
                <w:sz w:val="20"/>
              </w:rPr>
            </w:r>
            <w:r>
              <w:rPr>
                <w:rFonts w:ascii="Arial" w:hAnsi="Arial"/>
                <w:sz w:val="20"/>
              </w:rPr>
              <w:t>Film (convective), q″≈1.3 MW/m²</w:t>
            </w:r>
          </w:p>
        </w:tc>
        <w:tc>
          <w:tcPr>
            <w:tcW w:type="dxa" w:w="3135"/>
          </w:tcPr>
          <w:p>
            <w:r>
              <w:rPr>
                <w:rFonts w:ascii="Arial" w:hAnsi="Arial"/>
                <w:sz w:val="20"/>
              </w:rPr>
            </w:r>
            <w:r>
              <w:rPr>
                <w:rFonts w:ascii="Arial" w:hAnsi="Arial"/>
                <w:sz w:val="20"/>
              </w:rPr>
              <w:t>~39</w:t>
            </w:r>
          </w:p>
        </w:tc>
        <w:tc>
          <w:tcPr>
            <w:tcW w:type="dxa" w:w="3135"/>
          </w:tcPr>
          <w:p>
            <w:r>
              <w:rPr>
                <w:rFonts w:ascii="Arial" w:hAnsi="Arial"/>
                <w:sz w:val="20"/>
              </w:rPr>
            </w:r>
            <w:r>
              <w:rPr>
                <w:rFonts w:ascii="Arial" w:hAnsi="Arial"/>
                <w:sz w:val="20"/>
              </w:rPr>
              <w:t>ΔT = q″/h</w:t>
            </w:r>
          </w:p>
        </w:tc>
      </w:tr>
      <w:tr>
        <w:tc>
          <w:tcPr>
            <w:tcW w:type="dxa" w:w="3135"/>
          </w:tcPr>
          <w:p>
            <w:r>
              <w:rPr>
                <w:rFonts w:ascii="Arial" w:hAnsi="Arial"/>
                <w:sz w:val="20"/>
              </w:rPr>
            </w:r>
            <w:r>
              <w:rPr>
                <w:rFonts w:ascii="Arial" w:hAnsi="Arial"/>
                <w:sz w:val="20"/>
              </w:rPr>
              <w:t>Clad conduction</w:t>
            </w:r>
          </w:p>
        </w:tc>
        <w:tc>
          <w:tcPr>
            <w:tcW w:type="dxa" w:w="3135"/>
          </w:tcPr>
          <w:p>
            <w:r>
              <w:rPr>
                <w:rFonts w:ascii="Arial" w:hAnsi="Arial"/>
                <w:sz w:val="20"/>
              </w:rPr>
            </w:r>
            <w:r>
              <w:rPr>
                <w:rFonts w:ascii="Arial" w:hAnsi="Arial"/>
                <w:sz w:val="20"/>
              </w:rPr>
              <w:t>~47</w:t>
            </w:r>
          </w:p>
        </w:tc>
        <w:tc>
          <w:tcPr>
            <w:tcW w:type="dxa" w:w="3135"/>
          </w:tcPr>
          <w:p>
            <w:r>
              <w:rPr>
                <w:rFonts w:ascii="Arial" w:hAnsi="Arial"/>
                <w:sz w:val="20"/>
              </w:rPr>
            </w:r>
            <w:r>
              <w:rPr>
                <w:rFonts w:ascii="Arial" w:hAnsi="Arial"/>
                <w:sz w:val="20"/>
              </w:rPr>
              <w:t>ΔT = q′·ln(r_o/r_i)/(2πk_clad)</w:t>
            </w:r>
          </w:p>
        </w:tc>
      </w:tr>
      <w:tr>
        <w:tc>
          <w:tcPr>
            <w:tcW w:type="dxa" w:w="3135"/>
          </w:tcPr>
          <w:p>
            <w:r>
              <w:rPr>
                <w:rFonts w:ascii="Arial" w:hAnsi="Arial"/>
                <w:sz w:val="20"/>
              </w:rPr>
            </w:r>
            <w:r>
              <w:rPr>
                <w:rFonts w:ascii="Arial" w:hAnsi="Arial"/>
                <w:sz w:val="20"/>
              </w:rPr>
              <w:t>Pellet–clad gap (BOL)</w:t>
            </w:r>
          </w:p>
        </w:tc>
        <w:tc>
          <w:tcPr>
            <w:tcW w:type="dxa" w:w="3135"/>
          </w:tcPr>
          <w:p>
            <w:r>
              <w:rPr>
                <w:rFonts w:ascii="Arial" w:hAnsi="Arial"/>
                <w:sz w:val="20"/>
              </w:rPr>
            </w:r>
            <w:r>
              <w:rPr>
                <w:rFonts w:ascii="Arial" w:hAnsi="Arial"/>
                <w:sz w:val="20"/>
              </w:rPr>
              <w:t>~250</w:t>
            </w:r>
          </w:p>
        </w:tc>
        <w:tc>
          <w:tcPr>
            <w:tcW w:type="dxa" w:w="3135"/>
          </w:tcPr>
          <w:p>
            <w:r>
              <w:rPr>
                <w:rFonts w:ascii="Arial" w:hAnsi="Arial"/>
                <w:sz w:val="20"/>
              </w:rPr>
            </w:r>
            <w:r>
              <w:rPr>
                <w:rFonts w:ascii="Arial" w:hAnsi="Arial"/>
                <w:sz w:val="20"/>
              </w:rPr>
              <w:t>ΔT = q″_gap/h_gap</w:t>
            </w:r>
          </w:p>
        </w:tc>
      </w:tr>
      <w:tr>
        <w:tc>
          <w:tcPr>
            <w:tcW w:type="dxa" w:w="3135"/>
          </w:tcPr>
          <w:p>
            <w:r>
              <w:rPr>
                <w:rFonts w:ascii="Arial" w:hAnsi="Arial"/>
                <w:sz w:val="20"/>
              </w:rPr>
            </w:r>
            <w:r>
              <w:rPr>
                <w:rFonts w:ascii="Arial" w:hAnsi="Arial"/>
                <w:sz w:val="20"/>
              </w:rPr>
              <w:t>Fuel pellet (surface → centre)</w:t>
            </w:r>
          </w:p>
        </w:tc>
        <w:tc>
          <w:tcPr>
            <w:tcW w:type="dxa" w:w="3135"/>
          </w:tcPr>
          <w:p>
            <w:r>
              <w:rPr>
                <w:rFonts w:ascii="Arial" w:hAnsi="Arial"/>
                <w:sz w:val="20"/>
              </w:rPr>
            </w:r>
            <w:r>
              <w:rPr>
                <w:rFonts w:ascii="Arial" w:hAnsi="Arial"/>
                <w:sz w:val="20"/>
              </w:rPr>
              <w:t>~1,100</w:t>
            </w:r>
          </w:p>
        </w:tc>
        <w:tc>
          <w:tcPr>
            <w:tcW w:type="dxa" w:w="3135"/>
          </w:tcPr>
          <w:p>
            <w:r>
              <w:rPr>
                <w:rFonts w:ascii="Arial" w:hAnsi="Arial"/>
                <w:sz w:val="20"/>
              </w:rPr>
            </w:r>
            <w:r>
              <w:rPr>
                <w:rFonts w:ascii="Arial" w:hAnsi="Arial"/>
                <w:sz w:val="20"/>
              </w:rPr>
              <w:t>∫k dT = q′/4π, k_fuel≈3</w:t>
            </w:r>
          </w:p>
        </w:tc>
      </w:tr>
      <w:tr>
        <w:tc>
          <w:tcPr>
            <w:tcW w:type="dxa" w:w="3135"/>
          </w:tcPr>
          <w:p>
            <w:r>
              <w:rPr>
                <w:rFonts w:ascii="Arial" w:hAnsi="Arial"/>
                <w:sz w:val="20"/>
              </w:rPr>
            </w:r>
            <w:r>
              <w:rPr>
                <w:rFonts w:ascii="Arial" w:hAnsi="Arial"/>
                <w:b/>
                <w:sz w:val="20"/>
              </w:rPr>
              <w:t>Peak centerline (estimate)</w:t>
            </w:r>
          </w:p>
        </w:tc>
        <w:tc>
          <w:tcPr>
            <w:tcW w:type="dxa" w:w="3135"/>
          </w:tcPr>
          <w:p>
            <w:r>
              <w:rPr>
                <w:rFonts w:ascii="Arial" w:hAnsi="Arial"/>
                <w:sz w:val="20"/>
              </w:rPr>
            </w:r>
            <w:r>
              <w:rPr>
                <w:rFonts w:ascii="Arial" w:hAnsi="Arial"/>
                <w:b/>
                <w:sz w:val="20"/>
              </w:rPr>
              <w:t>≈ 1,750 °C</w:t>
            </w:r>
          </w:p>
        </w:tc>
        <w:tc>
          <w:tcPr>
            <w:tcW w:type="dxa" w:w="3135"/>
          </w:tcPr>
          <w:p>
            <w:r>
              <w:rPr>
                <w:rFonts w:ascii="Arial" w:hAnsi="Arial"/>
                <w:sz w:val="20"/>
              </w:rPr>
            </w:r>
            <w:r>
              <w:rPr>
                <w:rFonts w:ascii="Arial" w:hAnsi="Arial"/>
                <w:sz w:val="20"/>
              </w:rPr>
              <w:t>sum</w:t>
            </w:r>
          </w:p>
        </w:tc>
      </w:tr>
    </w:tbl>
    <w:p/>
    <w:p>
      <w:pPr>
        <w:jc w:val="both"/>
      </w:pPr>
      <w:r>
        <w:rPr>
          <w:rFonts w:ascii="Arial" w:hAnsi="Arial"/>
          <w:b/>
        </w:rPr>
        <w:t>Result and margin.</w:t>
      </w:r>
      <w:r>
        <w:rPr>
          <w:rFonts w:ascii="Arial" w:hAnsi="Arial"/>
        </w:rPr>
        <w:t xml:space="preserve"> The estimated peak fuel centerline temperature (~1,750 °C, BOL hot rod) sits roughly </w:t>
      </w:r>
      <w:r>
        <w:rPr>
          <w:rFonts w:ascii="Arial" w:hAnsi="Arial"/>
          <w:b/>
        </w:rPr>
        <w:t>1,090 °C below the UO₂ melting point</w:t>
      </w:r>
      <w:r>
        <w:rPr>
          <w:rFonts w:ascii="Arial" w:hAnsi="Arial"/>
        </w:rPr>
        <w:t xml:space="preserve"> (~2,840 °C) — i.e. the hot-spot fuel runs at ~62% of melt on an absolute scale, a large no-melt margin. The gap term dominates and shrinks as the gap closes with burnup; fuel-conductivity degradation with burnup partially offsets this, so the peak centerline is not expected to exceed the BOL estimate through life. </w:t>
      </w:r>
      <w:r>
        <w:rPr>
          <w:rFonts w:ascii="Arial" w:hAnsi="Arial"/>
          <w:i/>
          <w:color w:val="555555"/>
        </w:rPr>
        <w:t>[TODO: Refine with the §8.4 coolant boundary and, if desired, a FRAPCON-class run for the Digital Appendix; current value is a bounding hand-calculation.]</w:t>
      </w:r>
    </w:p>
    <w:p>
      <w:pPr>
        <w:spacing w:before="200" w:after="80"/>
      </w:pPr>
      <w:r>
        <w:rPr>
          <w:rFonts w:ascii="Arial Black" w:hAnsi="Arial Black"/>
          <w:b/>
          <w:color w:val="1F4E79"/>
          <w:sz w:val="25"/>
        </w:rPr>
        <w:t>8.3.4 Fission-Gas Release, Rod Internal Pressure, and Clad Integrity</w:t>
      </w:r>
    </w:p>
    <w:p>
      <w:pPr>
        <w:pStyle w:val="ListBullet"/>
        <w:jc w:val="both"/>
      </w:pPr>
      <w:r>
        <w:rPr>
          <w:rFonts w:ascii="Arial" w:hAnsi="Arial"/>
          <w:b/>
        </w:rPr>
        <w:t>Fission-gas release (FGR).</w:t>
      </w:r>
      <w:r>
        <w:rPr>
          <w:rFonts w:ascii="Arial" w:hAnsi="Arial"/>
        </w:rPr>
        <w:t xml:space="preserve"> With most of the pellet volume below ~1,000 °C, FGR is governed by the Halden threshold (onset ~1% below ~1,000 °C, rising with temperature and burnup). At the Aegis-40 moderate linear heat rates and 42.8 GWd/MTU discharge burnup, peak-rod EOL FGR is expected to be modest (order ≤ 10–15%). The fuel rod includes a </w:t>
      </w:r>
      <w:r>
        <w:rPr>
          <w:rFonts w:ascii="Arial" w:hAnsi="Arial"/>
          <w:b/>
        </w:rPr>
        <w:t>gas plenum</w:t>
      </w:r>
      <w:r>
        <w:rPr>
          <w:rFonts w:ascii="Arial" w:hAnsi="Arial"/>
        </w:rPr>
        <w:t xml:space="preserve"> (~180 mm, with hold-down spring) sized so that the end-of-life rod internal pressure stays below the system pressure (no clad lift-off / no gap re-opening). </w:t>
      </w:r>
      <w:r>
        <w:rPr>
          <w:rFonts w:ascii="Arial" w:hAnsi="Arial"/>
          <w:i/>
          <w:color w:val="555555"/>
        </w:rPr>
        <w:t>[TODO: Confirm plenum sizing against the FGR estimate.]</w:t>
      </w:r>
    </w:p>
    <w:p>
      <w:pPr>
        <w:pStyle w:val="ListBullet"/>
        <w:jc w:val="both"/>
      </w:pPr>
      <w:r>
        <w:rPr>
          <w:rFonts w:ascii="Arial" w:hAnsi="Arial"/>
          <w:b/>
        </w:rPr>
        <w:t>Cladding stress and corrosion.</w:t>
      </w:r>
      <w:r>
        <w:rPr>
          <w:rFonts w:ascii="Arial" w:hAnsi="Arial"/>
        </w:rPr>
        <w:t xml:space="preserve"> The Zr-4 clad carries the coolant-to-rod pressure differential (compressive at BOL) within primary-membrane allowables; waterside corrosion (oxide-thickness limit ~100 µm), hydrogen pickup, irradiation creep/growth, and fast-fluence embrittlement are all bounded by the moderate </w:t>
      </w:r>
      <w:r>
        <w:rPr>
          <w:rFonts w:ascii="Arial" w:hAnsi="Arial"/>
          <w:b/>
        </w:rPr>
        <w:t>42.8 GWd/MTU</w:t>
      </w:r>
      <w:r>
        <w:rPr>
          <w:rFonts w:ascii="Arial" w:hAnsi="Arial"/>
        </w:rPr>
        <w:t xml:space="preserve"> discharge burnup — well below the 62 GWd/MTU Zr-4 ceiling — leaving margin on every clad damage mechanism. Accident-condition clad behaviour (oxidation, ballooning, 1204 °C PCT and 17% ECR limits) is carried in §8.5.</w:t>
      </w:r>
    </w:p>
    <w:p>
      <w:pPr>
        <w:pStyle w:val="ListBullet"/>
        <w:jc w:val="both"/>
      </w:pPr>
      <w:r>
        <w:rPr>
          <w:rFonts w:ascii="Arial" w:hAnsi="Arial"/>
          <w:b/>
        </w:rPr>
        <w:t>Pellet–clad mechanical interaction (PCMI).</w:t>
      </w:r>
      <w:r>
        <w:rPr>
          <w:rFonts w:ascii="Arial" w:hAnsi="Arial"/>
        </w:rPr>
        <w:t xml:space="preserve"> Mitigated by the dished/chamfered pellet geometry and the low-ramp operating strategy of a base-load SMR; bounded by the low peak linear heat rate.</w:t>
      </w:r>
    </w:p>
    <w:tbl>
      <w:tblPr>
        <w:tblStyle w:val="TableGrid"/>
        <w:tblW w:type="auto" w:w="0"/>
        <w:jc w:val="center"/>
        <w:tblLook w:firstColumn="1" w:firstRow="1" w:lastColumn="0" w:lastRow="0" w:noHBand="0" w:noVBand="1" w:val="04A0"/>
      </w:tblPr>
      <w:tblGrid>
        <w:gridCol w:w="9406"/>
      </w:tblGrid>
      <w:tr>
        <w:tc>
          <w:tcPr>
            <w:tcW w:type="dxa" w:w="9406"/>
            <w:shd w:val="clear" w:fill="FFF3CD"/>
          </w:tcPr>
          <w:p>
            <w:r>
              <w:rPr>
                <w:b/>
                <w:color w:val="9C2712"/>
                <w:sz w:val="22"/>
              </w:rPr>
              <w:t>■ 3D TECH DRAWING TO INSERT</w:t>
            </w:r>
            <w:r>
              <w:rPr>
                <w:b/>
                <w:sz w:val="20"/>
              </w:rPr>
              <w:t xml:space="preserve">   (Figure 8.3-1)</w:t>
            </w:r>
          </w:p>
          <w:p>
            <w:r>
              <w:rPr>
                <w:rFonts w:ascii="Arial" w:hAnsi="Arial"/>
                <w:sz w:val="20"/>
              </w:rPr>
              <w:t xml:space="preserve">Fuel-rod construction / end-plug cross-section. Ready now: </w:t>
            </w:r>
            <w:r>
              <w:rPr>
                <w:rFonts w:ascii="Consolas" w:hAnsi="Consolas"/>
                <w:sz w:val="20"/>
              </w:rPr>
              <w:t>cad/end_plug_detail.png</w:t>
            </w:r>
            <w:r>
              <w:rPr>
                <w:rFonts w:ascii="Arial" w:hAnsi="Arial"/>
                <w:sz w:val="20"/>
              </w:rPr>
              <w:t xml:space="preserve"> (pellet stack, gap, Zr-4 clad, stepped end plugs, plenum spring). Replace with the 3D sectioned-pin render when available.</w:t>
            </w:r>
          </w:p>
          <w:p>
            <w:r>
              <w:rPr>
                <w:i/>
                <w:color w:val="555555"/>
                <w:sz w:val="19"/>
              </w:rPr>
              <w:t>Suggested source: render aegis_fuel_pin.step — sectioned rod (pellet / gap / clad / plugs) — in Creo.</w:t>
            </w:r>
          </w:p>
        </w:tc>
      </w:tr>
    </w:tbl>
    <w:p/>
    <w:p>
      <w:pPr>
        <w:spacing w:before="200" w:after="80"/>
      </w:pPr>
      <w:r>
        <w:rPr>
          <w:rFonts w:ascii="Arial Black" w:hAnsi="Arial Black"/>
          <w:b/>
          <w:color w:val="1F4E79"/>
          <w:sz w:val="25"/>
        </w:rPr>
        <w:t>8.3.5 Front-End Fuel-Cycle Structural Materials</w:t>
      </w:r>
    </w:p>
    <w:p>
      <w:pPr>
        <w:jc w:val="both"/>
      </w:pPr>
      <w:r>
        <w:rPr>
          <w:rFonts w:ascii="Arial" w:hAnsi="Arial"/>
        </w:rPr>
        <w:t xml:space="preserve">The front-end fuel-cycle hardware (assembly skeleton: top/bottom nozzles, guide/instrument thimbles, spacer grids, hold-down springs) uses the qualified LWR material set: </w:t>
      </w:r>
      <w:r>
        <w:rPr>
          <w:rFonts w:ascii="Arial" w:hAnsi="Arial"/>
          <w:b/>
        </w:rPr>
        <w:t>Zircaloy-4 / Zirlo-class</w:t>
      </w:r>
      <w:r>
        <w:rPr>
          <w:rFonts w:ascii="Arial" w:hAnsi="Arial"/>
        </w:rPr>
        <w:t xml:space="preserve"> guide thimbles and grids for low parasitic absorption in the active region, and </w:t>
      </w:r>
      <w:r>
        <w:rPr>
          <w:rFonts w:ascii="Arial" w:hAnsi="Arial"/>
          <w:b/>
        </w:rPr>
        <w:t>stainless steel (304/308) / Inconel-718</w:t>
      </w:r>
      <w:r>
        <w:rPr>
          <w:rFonts w:ascii="Arial" w:hAnsi="Arial"/>
        </w:rPr>
        <w:t xml:space="preserve"> for the nozzles and hold-down springs where strength and relaxation resistance dominate over neutronics (outside the active height). Selection criteria: low neutron absorption in-core, corrosion compatibility with the primary coolant chemistry, dimensional stability under irradiation growth, and spring-force retention over life. </w:t>
      </w:r>
      <w:r>
        <w:rPr>
          <w:rFonts w:ascii="Arial" w:hAnsi="Arial"/>
          <w:i/>
          <w:color w:val="555555"/>
        </w:rPr>
        <w:t>[TODO: Add a short table of skeleton components × material × function if page budget allows; cross-reference the §8.10/§8.8 fuel handling &amp; storage hardware.]</w:t>
      </w:r>
    </w:p>
    <w:p>
      <w:pPr>
        <w:spacing w:before="200" w:after="80"/>
      </w:pPr>
      <w:r>
        <w:rPr>
          <w:rFonts w:ascii="Arial Black" w:hAnsi="Arial Black"/>
          <w:b/>
          <w:color w:val="1F4E79"/>
          <w:sz w:val="25"/>
        </w:rPr>
        <w:t>8.3.6 Reactor-Vessel and Radiation-Shielding Materials</w:t>
      </w:r>
    </w:p>
    <w:p>
      <w:pPr>
        <w:jc w:val="both"/>
      </w:pPr>
      <w:r>
        <w:rPr>
          <w:rFonts w:ascii="Arial" w:hAnsi="Arial"/>
        </w:rPr>
        <w:t xml:space="preserve">Outside the active core, the structural and shielding material set is selected for pressure-boundary integrity, fast-neutron-fluence tolerance, and combined neutron/gamma attenuation. The radial stack and its materials are the basis of the OpenMC coupled neutron–photon shielding model (rev7; digital appendix), which sizes the biological shield to the </w:t>
      </w:r>
      <w:r>
        <w:rPr>
          <w:rFonts w:ascii="Arial" w:hAnsi="Arial"/>
          <w:b/>
        </w:rPr>
        <w:t>&lt; 10 µSv/h</w:t>
      </w:r>
      <w:r>
        <w:rPr>
          <w:rFonts w:ascii="Arial" w:hAnsi="Arial"/>
        </w:rPr>
        <w:t xml:space="preserve"> total-dose design target behind the last layer (ALARA basis; Bagheri &amp; Khalafi 2023; Oğul et al. 2026) and feeds the §8.8 radiation-protection zoning and the §8.10 reactor-building footprint.</w:t>
      </w:r>
    </w:p>
    <w:p>
      <w:pPr>
        <w:jc w:val="both"/>
      </w:pPr>
      <w:r>
        <w:rPr>
          <w:rFonts w:ascii="Arial" w:hAnsi="Arial"/>
        </w:rPr>
        <w:t xml:space="preserve">The shield is deliberately </w:t>
      </w:r>
      <w:r>
        <w:rPr>
          <w:rFonts w:ascii="Arial" w:hAnsi="Arial"/>
          <w:b/>
        </w:rPr>
        <w:t>lead-free</w:t>
      </w:r>
      <w:r>
        <w:rPr>
          <w:rFonts w:ascii="Arial" w:hAnsi="Arial"/>
        </w:rPr>
        <w:t xml:space="preserve">. Lead is excluded for toxicity and decommissioning-waste burden; tungsten is excluded as uneconomic for a stationary wall. The bulk gamma + neutron shield is therefore </w:t>
      </w:r>
      <w:r>
        <w:rPr>
          <w:rFonts w:ascii="Arial" w:hAnsi="Arial"/>
          <w:b/>
        </w:rPr>
        <w:t>magnetite (heavy) concrete</w:t>
      </w:r>
      <w:r>
        <w:rPr>
          <w:rFonts w:ascii="Arial" w:hAnsi="Arial"/>
        </w:rPr>
        <w:t xml:space="preserve"> — inexpensive, lead-free, and carrying bound water that also moderates fast neutrons — preceded by a </w:t>
      </w:r>
      <w:r>
        <w:rPr>
          <w:rFonts w:ascii="Arial" w:hAnsi="Arial"/>
          <w:b/>
        </w:rPr>
        <w:t>borated-polyethylene</w:t>
      </w:r>
      <w:r>
        <w:rPr>
          <w:rFonts w:ascii="Arial" w:hAnsi="Arial"/>
        </w:rPr>
        <w:t xml:space="preserve"> layer that captures thermalised neutrons with low secondary-gamma yield. This keeps the published multilayer architecture (steel + water inner → neutron-capture + high-density outer) while replacing its lead/tungsten outer high-Z with heavy concrete.</w:t>
      </w:r>
    </w:p>
    <w:p>
      <w:pPr>
        <w:jc w:val="both"/>
      </w:pPr>
      <w:r>
        <w:rPr>
          <w:rFonts w:ascii="Arial" w:hAnsi="Arial"/>
          <w:b/>
        </w:rPr>
        <w:t>Table 8.3-3 — Reactor-vessel and shielding materials (radial stack, core outward)</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fill="DDE3EA"/>
          </w:tcPr>
          <w:p>
            <w:r>
              <w:rPr>
                <w:rFonts w:ascii="Arial" w:hAnsi="Arial"/>
                <w:b/>
                <w:sz w:val="20"/>
              </w:rPr>
            </w:r>
            <w:r>
              <w:rPr>
                <w:rFonts w:ascii="Arial" w:hAnsi="Arial"/>
                <w:b/>
                <w:sz w:val="20"/>
              </w:rPr>
              <w:t>Region</w:t>
            </w:r>
          </w:p>
        </w:tc>
        <w:tc>
          <w:tcPr>
            <w:tcW w:type="dxa" w:w="1568"/>
            <w:shd w:val="clear" w:fill="DDE3EA"/>
          </w:tcPr>
          <w:p>
            <w:r>
              <w:rPr>
                <w:rFonts w:ascii="Arial" w:hAnsi="Arial"/>
                <w:b/>
                <w:sz w:val="20"/>
              </w:rPr>
            </w:r>
            <w:r>
              <w:rPr>
                <w:rFonts w:ascii="Arial" w:hAnsi="Arial"/>
                <w:b/>
                <w:sz w:val="20"/>
              </w:rPr>
              <w:t>Material</w:t>
            </w:r>
          </w:p>
        </w:tc>
        <w:tc>
          <w:tcPr>
            <w:tcW w:type="dxa" w:w="1568"/>
            <w:shd w:val="clear" w:fill="DDE3EA"/>
          </w:tcPr>
          <w:p>
            <w:r>
              <w:rPr>
                <w:rFonts w:ascii="Arial" w:hAnsi="Arial"/>
                <w:b/>
                <w:sz w:val="20"/>
              </w:rPr>
            </w:r>
            <w:r>
              <w:rPr>
                <w:rFonts w:ascii="Arial" w:hAnsi="Arial"/>
                <w:b/>
                <w:sz w:val="20"/>
              </w:rPr>
              <w:t>Nominal composition (wt%)</w:t>
            </w:r>
          </w:p>
        </w:tc>
        <w:tc>
          <w:tcPr>
            <w:tcW w:type="dxa" w:w="1568"/>
            <w:shd w:val="clear" w:fill="DDE3EA"/>
          </w:tcPr>
          <w:p>
            <w:r>
              <w:rPr>
                <w:rFonts w:ascii="Arial" w:hAnsi="Arial"/>
                <w:b/>
                <w:sz w:val="20"/>
              </w:rPr>
            </w:r>
            <w:r>
              <w:rPr>
                <w:rFonts w:ascii="Arial" w:hAnsi="Arial"/>
                <w:b/>
                <w:sz w:val="20"/>
              </w:rPr>
              <w:t>Density (g/cm³)</w:t>
            </w:r>
          </w:p>
        </w:tc>
        <w:tc>
          <w:tcPr>
            <w:tcW w:type="dxa" w:w="1568"/>
            <w:shd w:val="clear" w:fill="DDE3EA"/>
          </w:tcPr>
          <w:p>
            <w:r>
              <w:rPr>
                <w:rFonts w:ascii="Arial" w:hAnsi="Arial"/>
                <w:b/>
                <w:sz w:val="20"/>
              </w:rPr>
            </w:r>
            <w:r>
              <w:rPr>
                <w:rFonts w:ascii="Arial" w:hAnsi="Arial"/>
                <w:b/>
                <w:sz w:val="20"/>
              </w:rPr>
              <w:t>Radial thickness (cm)</w:t>
            </w:r>
          </w:p>
        </w:tc>
        <w:tc>
          <w:tcPr>
            <w:tcW w:type="dxa" w:w="1568"/>
            <w:shd w:val="clear" w:fill="DDE3EA"/>
          </w:tcPr>
          <w:p>
            <w:r>
              <w:rPr>
                <w:rFonts w:ascii="Arial" w:hAnsi="Arial"/>
                <w:b/>
                <w:sz w:val="20"/>
              </w:rPr>
            </w:r>
            <w:r>
              <w:rPr>
                <w:rFonts w:ascii="Arial" w:hAnsi="Arial"/>
                <w:b/>
                <w:sz w:val="20"/>
              </w:rPr>
              <w:t>Function</w:t>
            </w:r>
          </w:p>
        </w:tc>
      </w:tr>
      <w:tr>
        <w:tc>
          <w:tcPr>
            <w:tcW w:type="dxa" w:w="1568"/>
          </w:tcPr>
          <w:p>
            <w:r>
              <w:rPr>
                <w:rFonts w:ascii="Arial" w:hAnsi="Arial"/>
                <w:sz w:val="20"/>
              </w:rPr>
            </w:r>
            <w:r>
              <w:rPr>
                <w:rFonts w:ascii="Arial" w:hAnsi="Arial"/>
                <w:sz w:val="20"/>
              </w:rPr>
              <w:t>Core barrel</w:t>
            </w:r>
          </w:p>
        </w:tc>
        <w:tc>
          <w:tcPr>
            <w:tcW w:type="dxa" w:w="1568"/>
          </w:tcPr>
          <w:p>
            <w:r>
              <w:rPr>
                <w:rFonts w:ascii="Arial" w:hAnsi="Arial"/>
                <w:sz w:val="20"/>
              </w:rPr>
            </w:r>
            <w:r>
              <w:rPr>
                <w:rFonts w:ascii="Arial" w:hAnsi="Arial"/>
                <w:sz w:val="20"/>
              </w:rPr>
              <w:t>Stainless steel 304</w:t>
            </w:r>
          </w:p>
        </w:tc>
        <w:tc>
          <w:tcPr>
            <w:tcW w:type="dxa" w:w="1568"/>
          </w:tcPr>
          <w:p>
            <w:r>
              <w:rPr>
                <w:rFonts w:ascii="Arial" w:hAnsi="Arial"/>
                <w:sz w:val="20"/>
              </w:rPr>
            </w:r>
            <w:r>
              <w:rPr>
                <w:rFonts w:ascii="Arial" w:hAnsi="Arial"/>
                <w:sz w:val="20"/>
              </w:rPr>
              <w:t>Fe 68.5, Cr 19.0, Ni 9.5, Mn 2.0, Si 1.0</w:t>
            </w:r>
          </w:p>
        </w:tc>
        <w:tc>
          <w:tcPr>
            <w:tcW w:type="dxa" w:w="1568"/>
          </w:tcPr>
          <w:p>
            <w:r>
              <w:rPr>
                <w:rFonts w:ascii="Arial" w:hAnsi="Arial"/>
                <w:sz w:val="20"/>
              </w:rPr>
            </w:r>
            <w:r>
              <w:rPr>
                <w:rFonts w:ascii="Arial" w:hAnsi="Arial"/>
                <w:sz w:val="20"/>
              </w:rPr>
              <w:t>8.00</w:t>
            </w:r>
          </w:p>
        </w:tc>
        <w:tc>
          <w:tcPr>
            <w:tcW w:type="dxa" w:w="1568"/>
          </w:tcPr>
          <w:p>
            <w:r>
              <w:rPr>
                <w:rFonts w:ascii="Arial" w:hAnsi="Arial"/>
                <w:sz w:val="20"/>
              </w:rPr>
            </w:r>
            <w:r>
              <w:rPr>
                <w:rFonts w:ascii="Arial" w:hAnsi="Arial"/>
                <w:sz w:val="20"/>
              </w:rPr>
              <w:t>5</w:t>
            </w:r>
          </w:p>
        </w:tc>
        <w:tc>
          <w:tcPr>
            <w:tcW w:type="dxa" w:w="1568"/>
          </w:tcPr>
          <w:p>
            <w:r>
              <w:rPr>
                <w:rFonts w:ascii="Arial" w:hAnsi="Arial"/>
                <w:sz w:val="20"/>
              </w:rPr>
            </w:r>
            <w:r>
              <w:rPr>
                <w:rFonts w:ascii="Arial" w:hAnsi="Arial"/>
                <w:sz w:val="20"/>
              </w:rPr>
              <w:t>Core support; first gamma/fast-neutron attenuation</w:t>
            </w:r>
          </w:p>
        </w:tc>
      </w:tr>
      <w:tr>
        <w:tc>
          <w:tcPr>
            <w:tcW w:type="dxa" w:w="1568"/>
          </w:tcPr>
          <w:p>
            <w:r>
              <w:rPr>
                <w:rFonts w:ascii="Arial" w:hAnsi="Arial"/>
                <w:sz w:val="20"/>
              </w:rPr>
            </w:r>
            <w:r>
              <w:rPr>
                <w:rFonts w:ascii="Arial" w:hAnsi="Arial"/>
                <w:sz w:val="20"/>
              </w:rPr>
              <w:t>Downcomer</w:t>
            </w:r>
          </w:p>
        </w:tc>
        <w:tc>
          <w:tcPr>
            <w:tcW w:type="dxa" w:w="1568"/>
          </w:tcPr>
          <w:p>
            <w:r>
              <w:rPr>
                <w:rFonts w:ascii="Arial" w:hAnsi="Arial"/>
                <w:sz w:val="20"/>
              </w:rPr>
            </w:r>
            <w:r>
              <w:rPr>
                <w:rFonts w:ascii="Arial" w:hAnsi="Arial"/>
                <w:sz w:val="20"/>
              </w:rPr>
              <w:t>Light water (H₂O)</w:t>
            </w:r>
          </w:p>
        </w:tc>
        <w:tc>
          <w:tcPr>
            <w:tcW w:type="dxa" w:w="1568"/>
          </w:tcPr>
          <w:p>
            <w:r>
              <w:rPr>
                <w:rFonts w:ascii="Arial" w:hAnsi="Arial"/>
                <w:sz w:val="20"/>
              </w:rPr>
            </w:r>
            <w:r>
              <w:rPr>
                <w:rFonts w:ascii="Arial" w:hAnsi="Arial"/>
                <w:sz w:val="20"/>
              </w:rPr>
              <w:t>H₂O</w:t>
            </w:r>
          </w:p>
        </w:tc>
        <w:tc>
          <w:tcPr>
            <w:tcW w:type="dxa" w:w="1568"/>
          </w:tcPr>
          <w:p>
            <w:r>
              <w:rPr>
                <w:rFonts w:ascii="Arial" w:hAnsi="Arial"/>
                <w:sz w:val="20"/>
              </w:rPr>
            </w:r>
            <w:r>
              <w:rPr>
                <w:rFonts w:ascii="Arial" w:hAnsi="Arial"/>
                <w:sz w:val="20"/>
              </w:rPr>
              <w:t>0.72 (hot)</w:t>
            </w:r>
          </w:p>
        </w:tc>
        <w:tc>
          <w:tcPr>
            <w:tcW w:type="dxa" w:w="1568"/>
          </w:tcPr>
          <w:p>
            <w:r>
              <w:rPr>
                <w:rFonts w:ascii="Arial" w:hAnsi="Arial"/>
                <w:sz w:val="20"/>
              </w:rPr>
            </w:r>
            <w:r>
              <w:rPr>
                <w:rFonts w:ascii="Arial" w:hAnsi="Arial"/>
                <w:sz w:val="20"/>
              </w:rPr>
              <w:t>13</w:t>
            </w:r>
          </w:p>
        </w:tc>
        <w:tc>
          <w:tcPr>
            <w:tcW w:type="dxa" w:w="1568"/>
          </w:tcPr>
          <w:p>
            <w:r>
              <w:rPr>
                <w:rFonts w:ascii="Arial" w:hAnsi="Arial"/>
                <w:sz w:val="20"/>
              </w:rPr>
            </w:r>
            <w:r>
              <w:rPr>
                <w:rFonts w:ascii="Arial" w:hAnsi="Arial"/>
                <w:sz w:val="20"/>
              </w:rPr>
              <w:t>Coolant return; fast-neutron moderation, RPV fluence reduction</w:t>
            </w:r>
          </w:p>
        </w:tc>
      </w:tr>
      <w:tr>
        <w:tc>
          <w:tcPr>
            <w:tcW w:type="dxa" w:w="1568"/>
          </w:tcPr>
          <w:p>
            <w:r>
              <w:rPr>
                <w:rFonts w:ascii="Arial" w:hAnsi="Arial"/>
                <w:sz w:val="20"/>
              </w:rPr>
            </w:r>
            <w:r>
              <w:rPr>
                <w:rFonts w:ascii="Arial" w:hAnsi="Arial"/>
                <w:sz w:val="20"/>
              </w:rPr>
              <w:t>Reactor pressure vessel</w:t>
            </w:r>
          </w:p>
        </w:tc>
        <w:tc>
          <w:tcPr>
            <w:tcW w:type="dxa" w:w="1568"/>
          </w:tcPr>
          <w:p>
            <w:r>
              <w:rPr>
                <w:rFonts w:ascii="Arial" w:hAnsi="Arial"/>
                <w:sz w:val="20"/>
              </w:rPr>
            </w:r>
            <w:r>
              <w:rPr>
                <w:rFonts w:ascii="Arial" w:hAnsi="Arial"/>
                <w:sz w:val="20"/>
              </w:rPr>
              <w:t>SA-508 Gr.3 low-alloy steel</w:t>
            </w:r>
          </w:p>
        </w:tc>
        <w:tc>
          <w:tcPr>
            <w:tcW w:type="dxa" w:w="1568"/>
          </w:tcPr>
          <w:p>
            <w:r>
              <w:rPr>
                <w:rFonts w:ascii="Arial" w:hAnsi="Arial"/>
                <w:sz w:val="20"/>
              </w:rPr>
            </w:r>
            <w:r>
              <w:rPr>
                <w:rFonts w:ascii="Arial" w:hAnsi="Arial"/>
                <w:sz w:val="20"/>
              </w:rPr>
              <w:t>Fe 96.85, Mn 1.40, Ni 0.75, Mo 0.50, Si 0.25, C 0.22, Cr 0.03</w:t>
            </w:r>
          </w:p>
        </w:tc>
        <w:tc>
          <w:tcPr>
            <w:tcW w:type="dxa" w:w="1568"/>
          </w:tcPr>
          <w:p>
            <w:r>
              <w:rPr>
                <w:rFonts w:ascii="Arial" w:hAnsi="Arial"/>
                <w:sz w:val="20"/>
              </w:rPr>
            </w:r>
            <w:r>
              <w:rPr>
                <w:rFonts w:ascii="Arial" w:hAnsi="Arial"/>
                <w:sz w:val="20"/>
              </w:rPr>
              <w:t>7.90</w:t>
            </w:r>
          </w:p>
        </w:tc>
        <w:tc>
          <w:tcPr>
            <w:tcW w:type="dxa" w:w="1568"/>
          </w:tcPr>
          <w:p>
            <w:r>
              <w:rPr>
                <w:rFonts w:ascii="Arial" w:hAnsi="Arial"/>
                <w:sz w:val="20"/>
              </w:rPr>
            </w:r>
            <w:r>
              <w:rPr>
                <w:rFonts w:ascii="Arial" w:hAnsi="Arial"/>
                <w:sz w:val="20"/>
              </w:rPr>
              <w:t>18</w:t>
            </w:r>
          </w:p>
        </w:tc>
        <w:tc>
          <w:tcPr>
            <w:tcW w:type="dxa" w:w="1568"/>
          </w:tcPr>
          <w:p>
            <w:r>
              <w:rPr>
                <w:rFonts w:ascii="Arial" w:hAnsi="Arial"/>
                <w:sz w:val="20"/>
              </w:rPr>
            </w:r>
            <w:r>
              <w:rPr>
                <w:rFonts w:ascii="Arial" w:hAnsi="Arial"/>
                <w:sz w:val="20"/>
              </w:rPr>
              <w:t>Pressure boundary; principal gamma shield; fast-fluence-limited (60-yr ≤ ~1×10¹⁹ n/cm², E &gt; 1 MeV)</w:t>
            </w:r>
          </w:p>
        </w:tc>
      </w:tr>
      <w:tr>
        <w:tc>
          <w:tcPr>
            <w:tcW w:type="dxa" w:w="1568"/>
          </w:tcPr>
          <w:p>
            <w:r>
              <w:rPr>
                <w:rFonts w:ascii="Arial" w:hAnsi="Arial"/>
                <w:sz w:val="20"/>
              </w:rPr>
            </w:r>
            <w:r>
              <w:rPr>
                <w:rFonts w:ascii="Arial" w:hAnsi="Arial"/>
                <w:sz w:val="20"/>
              </w:rPr>
              <w:t>Reactor cavity</w:t>
            </w:r>
          </w:p>
        </w:tc>
        <w:tc>
          <w:tcPr>
            <w:tcW w:type="dxa" w:w="1568"/>
          </w:tcPr>
          <w:p>
            <w:r>
              <w:rPr>
                <w:rFonts w:ascii="Arial" w:hAnsi="Arial"/>
                <w:sz w:val="20"/>
              </w:rPr>
            </w:r>
            <w:r>
              <w:rPr>
                <w:rFonts w:ascii="Arial" w:hAnsi="Arial"/>
                <w:sz w:val="20"/>
              </w:rPr>
              <w:t>Air</w:t>
            </w:r>
          </w:p>
        </w:tc>
        <w:tc>
          <w:tcPr>
            <w:tcW w:type="dxa" w:w="1568"/>
          </w:tcPr>
          <w:p>
            <w:r>
              <w:rPr>
                <w:rFonts w:ascii="Arial" w:hAnsi="Arial"/>
                <w:sz w:val="20"/>
              </w:rPr>
            </w:r>
            <w:r>
              <w:rPr>
                <w:rFonts w:ascii="Arial" w:hAnsi="Arial"/>
                <w:sz w:val="20"/>
              </w:rPr>
              <w:t>N 75.5, O 23.2, Ar 1.3</w:t>
            </w:r>
          </w:p>
        </w:tc>
        <w:tc>
          <w:tcPr>
            <w:tcW w:type="dxa" w:w="1568"/>
          </w:tcPr>
          <w:p>
            <w:r>
              <w:rPr>
                <w:rFonts w:ascii="Arial" w:hAnsi="Arial"/>
                <w:sz w:val="20"/>
              </w:rPr>
            </w:r>
            <w:r>
              <w:rPr>
                <w:rFonts w:ascii="Arial" w:hAnsi="Arial"/>
                <w:sz w:val="20"/>
              </w:rPr>
              <w:t>0.0012</w:t>
            </w:r>
          </w:p>
        </w:tc>
        <w:tc>
          <w:tcPr>
            <w:tcW w:type="dxa" w:w="1568"/>
          </w:tcPr>
          <w:p>
            <w:r>
              <w:rPr>
                <w:rFonts w:ascii="Arial" w:hAnsi="Arial"/>
                <w:sz w:val="20"/>
              </w:rPr>
            </w:r>
            <w:r>
              <w:rPr>
                <w:rFonts w:ascii="Arial" w:hAnsi="Arial"/>
                <w:sz w:val="20"/>
              </w:rPr>
              <w:t>15</w:t>
            </w:r>
          </w:p>
        </w:tc>
        <w:tc>
          <w:tcPr>
            <w:tcW w:type="dxa" w:w="1568"/>
          </w:tcPr>
          <w:p>
            <w:r>
              <w:rPr>
                <w:rFonts w:ascii="Arial" w:hAnsi="Arial"/>
                <w:sz w:val="20"/>
              </w:rPr>
            </w:r>
            <w:r>
              <w:rPr>
                <w:rFonts w:ascii="Arial" w:hAnsi="Arial"/>
                <w:sz w:val="20"/>
              </w:rPr>
              <w:t>Inspection/insulation gap; ISI access</w:t>
            </w:r>
          </w:p>
        </w:tc>
      </w:tr>
      <w:tr>
        <w:tc>
          <w:tcPr>
            <w:tcW w:type="dxa" w:w="1568"/>
          </w:tcPr>
          <w:p>
            <w:r>
              <w:rPr>
                <w:rFonts w:ascii="Arial" w:hAnsi="Arial"/>
                <w:sz w:val="20"/>
              </w:rPr>
            </w:r>
            <w:r>
              <w:rPr>
                <w:rFonts w:ascii="Arial" w:hAnsi="Arial"/>
                <w:sz w:val="20"/>
              </w:rPr>
              <w:t>Thermal shield</w:t>
            </w:r>
          </w:p>
        </w:tc>
        <w:tc>
          <w:tcPr>
            <w:tcW w:type="dxa" w:w="1568"/>
          </w:tcPr>
          <w:p>
            <w:r>
              <w:rPr>
                <w:rFonts w:ascii="Arial" w:hAnsi="Arial"/>
                <w:sz w:val="20"/>
              </w:rPr>
            </w:r>
            <w:r>
              <w:rPr>
                <w:rFonts w:ascii="Arial" w:hAnsi="Arial"/>
                <w:sz w:val="20"/>
              </w:rPr>
              <w:t>Stainless steel 304</w:t>
            </w:r>
          </w:p>
        </w:tc>
        <w:tc>
          <w:tcPr>
            <w:tcW w:type="dxa" w:w="1568"/>
          </w:tcPr>
          <w:p>
            <w:r>
              <w:rPr>
                <w:rFonts w:ascii="Arial" w:hAnsi="Arial"/>
                <w:sz w:val="20"/>
              </w:rPr>
            </w:r>
            <w:r>
              <w:rPr>
                <w:rFonts w:ascii="Arial" w:hAnsi="Arial"/>
                <w:sz w:val="20"/>
              </w:rPr>
              <w:t>Fe 68.5, Cr 19.0, Ni 9.5, Mn 2.0, Si 1.0</w:t>
            </w:r>
          </w:p>
        </w:tc>
        <w:tc>
          <w:tcPr>
            <w:tcW w:type="dxa" w:w="1568"/>
          </w:tcPr>
          <w:p>
            <w:r>
              <w:rPr>
                <w:rFonts w:ascii="Arial" w:hAnsi="Arial"/>
                <w:sz w:val="20"/>
              </w:rPr>
            </w:r>
            <w:r>
              <w:rPr>
                <w:rFonts w:ascii="Arial" w:hAnsi="Arial"/>
                <w:sz w:val="20"/>
              </w:rPr>
              <w:t>8.00</w:t>
            </w:r>
          </w:p>
        </w:tc>
        <w:tc>
          <w:tcPr>
            <w:tcW w:type="dxa" w:w="1568"/>
          </w:tcPr>
          <w:p>
            <w:r>
              <w:rPr>
                <w:rFonts w:ascii="Arial" w:hAnsi="Arial"/>
                <w:sz w:val="20"/>
              </w:rPr>
            </w:r>
            <w:r>
              <w:rPr>
                <w:rFonts w:ascii="Arial" w:hAnsi="Arial"/>
                <w:sz w:val="20"/>
              </w:rPr>
              <w:t>5</w:t>
            </w:r>
          </w:p>
        </w:tc>
        <w:tc>
          <w:tcPr>
            <w:tcW w:type="dxa" w:w="1568"/>
          </w:tcPr>
          <w:p>
            <w:r>
              <w:rPr>
                <w:rFonts w:ascii="Arial" w:hAnsi="Arial"/>
                <w:sz w:val="20"/>
              </w:rPr>
            </w:r>
            <w:r>
              <w:rPr>
                <w:rFonts w:ascii="Arial" w:hAnsi="Arial"/>
                <w:sz w:val="20"/>
              </w:rPr>
              <w:t>Gamma heating interception; protects the bio-shield concrete</w:t>
            </w:r>
          </w:p>
        </w:tc>
      </w:tr>
      <w:tr>
        <w:tc>
          <w:tcPr>
            <w:tcW w:type="dxa" w:w="1568"/>
          </w:tcPr>
          <w:p>
            <w:r>
              <w:rPr>
                <w:rFonts w:ascii="Arial" w:hAnsi="Arial"/>
                <w:sz w:val="20"/>
              </w:rPr>
            </w:r>
            <w:r>
              <w:rPr>
                <w:rFonts w:ascii="Arial" w:hAnsi="Arial"/>
                <w:sz w:val="20"/>
              </w:rPr>
              <w:t>Neutron-capture layer</w:t>
            </w:r>
          </w:p>
        </w:tc>
        <w:tc>
          <w:tcPr>
            <w:tcW w:type="dxa" w:w="1568"/>
          </w:tcPr>
          <w:p>
            <w:r>
              <w:rPr>
                <w:rFonts w:ascii="Arial" w:hAnsi="Arial"/>
                <w:sz w:val="20"/>
              </w:rPr>
            </w:r>
            <w:r>
              <w:rPr>
                <w:rFonts w:ascii="Arial" w:hAnsi="Arial"/>
                <w:sz w:val="20"/>
              </w:rPr>
              <w:t>Borated polyethylene (5 wt% B)</w:t>
            </w:r>
          </w:p>
        </w:tc>
        <w:tc>
          <w:tcPr>
            <w:tcW w:type="dxa" w:w="1568"/>
          </w:tcPr>
          <w:p>
            <w:r>
              <w:rPr>
                <w:rFonts w:ascii="Arial" w:hAnsi="Arial"/>
                <w:sz w:val="20"/>
              </w:rPr>
            </w:r>
            <w:r>
              <w:rPr>
                <w:rFonts w:ascii="Arial" w:hAnsi="Arial"/>
                <w:sz w:val="20"/>
              </w:rPr>
              <w:t>C 81.4, H 13.6, B 5.0</w:t>
            </w:r>
          </w:p>
        </w:tc>
        <w:tc>
          <w:tcPr>
            <w:tcW w:type="dxa" w:w="1568"/>
          </w:tcPr>
          <w:p>
            <w:r>
              <w:rPr>
                <w:rFonts w:ascii="Arial" w:hAnsi="Arial"/>
                <w:sz w:val="20"/>
              </w:rPr>
            </w:r>
            <w:r>
              <w:rPr>
                <w:rFonts w:ascii="Arial" w:hAnsi="Arial"/>
                <w:sz w:val="20"/>
              </w:rPr>
              <w:t>0.95</w:t>
            </w:r>
          </w:p>
        </w:tc>
        <w:tc>
          <w:tcPr>
            <w:tcW w:type="dxa" w:w="1568"/>
          </w:tcPr>
          <w:p>
            <w:r>
              <w:rPr>
                <w:rFonts w:ascii="Arial" w:hAnsi="Arial"/>
                <w:sz w:val="20"/>
              </w:rPr>
            </w:r>
            <w:r>
              <w:rPr>
                <w:rFonts w:ascii="Arial" w:hAnsi="Arial"/>
                <w:sz w:val="20"/>
              </w:rPr>
              <w:t>10</w:t>
            </w:r>
          </w:p>
        </w:tc>
        <w:tc>
          <w:tcPr>
            <w:tcW w:type="dxa" w:w="1568"/>
          </w:tcPr>
          <w:p>
            <w:r>
              <w:rPr>
                <w:rFonts w:ascii="Arial" w:hAnsi="Arial"/>
                <w:sz w:val="20"/>
              </w:rPr>
            </w:r>
            <w:r>
              <w:rPr>
                <w:rFonts w:ascii="Arial" w:hAnsi="Arial"/>
                <w:sz w:val="20"/>
              </w:rPr>
              <w:t>Thermal-neutron capture (¹⁰B) with low secondary gamma</w:t>
            </w:r>
          </w:p>
        </w:tc>
      </w:tr>
      <w:tr>
        <w:tc>
          <w:tcPr>
            <w:tcW w:type="dxa" w:w="1568"/>
          </w:tcPr>
          <w:p>
            <w:r>
              <w:rPr>
                <w:rFonts w:ascii="Arial" w:hAnsi="Arial"/>
                <w:sz w:val="20"/>
              </w:rPr>
            </w:r>
            <w:r>
              <w:rPr>
                <w:rFonts w:ascii="Arial" w:hAnsi="Arial"/>
                <w:sz w:val="20"/>
              </w:rPr>
              <w:t>Biological shield</w:t>
            </w:r>
          </w:p>
        </w:tc>
        <w:tc>
          <w:tcPr>
            <w:tcW w:type="dxa" w:w="1568"/>
          </w:tcPr>
          <w:p>
            <w:r>
              <w:rPr>
                <w:rFonts w:ascii="Arial" w:hAnsi="Arial"/>
                <w:sz w:val="20"/>
              </w:rPr>
            </w:r>
            <w:r>
              <w:rPr>
                <w:rFonts w:ascii="Arial" w:hAnsi="Arial"/>
                <w:sz w:val="20"/>
              </w:rPr>
              <w:t>Magnetite (heavy) concrete</w:t>
            </w:r>
          </w:p>
        </w:tc>
        <w:tc>
          <w:tcPr>
            <w:tcW w:type="dxa" w:w="1568"/>
          </w:tcPr>
          <w:p>
            <w:r>
              <w:rPr>
                <w:rFonts w:ascii="Arial" w:hAnsi="Arial"/>
                <w:sz w:val="20"/>
              </w:rPr>
            </w:r>
            <w:r>
              <w:rPr>
                <w:rFonts w:ascii="Arial" w:hAnsi="Arial"/>
                <w:sz w:val="20"/>
              </w:rPr>
              <w:t>Fe 58.1, O 31.0, Ca 6.3, Si 2.2, Mg 0.9, Ti 0.7, Al 0.4, H 0.4</w:t>
            </w:r>
          </w:p>
        </w:tc>
        <w:tc>
          <w:tcPr>
            <w:tcW w:type="dxa" w:w="1568"/>
          </w:tcPr>
          <w:p>
            <w:r>
              <w:rPr>
                <w:rFonts w:ascii="Arial" w:hAnsi="Arial"/>
                <w:sz w:val="20"/>
              </w:rPr>
            </w:r>
            <w:r>
              <w:rPr>
                <w:rFonts w:ascii="Arial" w:hAnsi="Arial"/>
                <w:sz w:val="20"/>
              </w:rPr>
              <w:t>3.90</w:t>
            </w:r>
          </w:p>
        </w:tc>
        <w:tc>
          <w:tcPr>
            <w:tcW w:type="dxa" w:w="1568"/>
          </w:tcPr>
          <w:p>
            <w:r>
              <w:rPr>
                <w:rFonts w:ascii="Arial" w:hAnsi="Arial"/>
                <w:sz w:val="20"/>
              </w:rPr>
            </w:r>
            <w:r>
              <w:rPr>
                <w:rFonts w:ascii="Arial" w:hAnsi="Arial"/>
                <w:sz w:val="20"/>
              </w:rPr>
              <w:t>120</w:t>
            </w:r>
          </w:p>
        </w:tc>
        <w:tc>
          <w:tcPr>
            <w:tcW w:type="dxa" w:w="1568"/>
          </w:tcPr>
          <w:p>
            <w:r>
              <w:rPr>
                <w:rFonts w:ascii="Arial" w:hAnsi="Arial"/>
                <w:sz w:val="20"/>
              </w:rPr>
            </w:r>
            <w:r>
              <w:rPr>
                <w:rFonts w:ascii="Arial" w:hAnsi="Arial"/>
                <w:b/>
                <w:sz w:val="20"/>
              </w:rPr>
              <w:t>Bulk lead-free gamma + neutron shield</w:t>
            </w:r>
            <w:r>
              <w:rPr>
                <w:rFonts w:ascii="Arial" w:hAnsi="Arial"/>
                <w:sz w:val="20"/>
              </w:rPr>
              <w:t>; bound water moderates fast neutrons</w:t>
            </w:r>
          </w:p>
        </w:tc>
      </w:tr>
      <w:tr>
        <w:tc>
          <w:tcPr>
            <w:tcW w:type="dxa" w:w="1568"/>
          </w:tcPr>
          <w:p>
            <w:r>
              <w:rPr>
                <w:rFonts w:ascii="Arial" w:hAnsi="Arial"/>
                <w:sz w:val="20"/>
              </w:rPr>
            </w:r>
            <w:r>
              <w:rPr>
                <w:rFonts w:ascii="Arial" w:hAnsi="Arial"/>
                <w:sz w:val="20"/>
              </w:rPr>
              <w:t>Outer finish</w:t>
            </w:r>
          </w:p>
        </w:tc>
        <w:tc>
          <w:tcPr>
            <w:tcW w:type="dxa" w:w="1568"/>
          </w:tcPr>
          <w:p>
            <w:r>
              <w:rPr>
                <w:rFonts w:ascii="Arial" w:hAnsi="Arial"/>
                <w:sz w:val="20"/>
              </w:rPr>
            </w:r>
            <w:r>
              <w:rPr>
                <w:rFonts w:ascii="Arial" w:hAnsi="Arial"/>
                <w:sz w:val="20"/>
              </w:rPr>
              <w:t>Ordinary (Portland) concrete</w:t>
            </w:r>
          </w:p>
        </w:tc>
        <w:tc>
          <w:tcPr>
            <w:tcW w:type="dxa" w:w="1568"/>
          </w:tcPr>
          <w:p>
            <w:r>
              <w:rPr>
                <w:rFonts w:ascii="Arial" w:hAnsi="Arial"/>
                <w:sz w:val="20"/>
              </w:rPr>
            </w:r>
            <w:r>
              <w:rPr>
                <w:rFonts w:ascii="Arial" w:hAnsi="Arial"/>
                <w:sz w:val="20"/>
              </w:rPr>
              <w:t>O 49.8, Si 31.6, Ca 8.3, Al 4.6, Fe 1.2, K 1.9, Na 1.7, H 0.6</w:t>
            </w:r>
          </w:p>
        </w:tc>
        <w:tc>
          <w:tcPr>
            <w:tcW w:type="dxa" w:w="1568"/>
          </w:tcPr>
          <w:p>
            <w:r>
              <w:rPr>
                <w:rFonts w:ascii="Arial" w:hAnsi="Arial"/>
                <w:sz w:val="20"/>
              </w:rPr>
            </w:r>
            <w:r>
              <w:rPr>
                <w:rFonts w:ascii="Arial" w:hAnsi="Arial"/>
                <w:sz w:val="20"/>
              </w:rPr>
              <w:t>2.30</w:t>
            </w:r>
          </w:p>
        </w:tc>
        <w:tc>
          <w:tcPr>
            <w:tcW w:type="dxa" w:w="1568"/>
          </w:tcPr>
          <w:p>
            <w:r>
              <w:rPr>
                <w:rFonts w:ascii="Arial" w:hAnsi="Arial"/>
                <w:sz w:val="20"/>
              </w:rPr>
            </w:r>
            <w:r>
              <w:rPr>
                <w:rFonts w:ascii="Arial" w:hAnsi="Arial"/>
                <w:sz w:val="20"/>
              </w:rPr>
              <w:t>10</w:t>
            </w:r>
          </w:p>
        </w:tc>
        <w:tc>
          <w:tcPr>
            <w:tcW w:type="dxa" w:w="1568"/>
          </w:tcPr>
          <w:p>
            <w:r>
              <w:rPr>
                <w:rFonts w:ascii="Arial" w:hAnsi="Arial"/>
                <w:sz w:val="20"/>
              </w:rPr>
            </w:r>
            <w:r>
              <w:rPr>
                <w:rFonts w:ascii="Arial" w:hAnsi="Arial"/>
                <w:sz w:val="20"/>
              </w:rPr>
              <w:t>Structural finish; dose-acceptance surface (controlled-area boundary)</w:t>
            </w:r>
          </w:p>
        </w:tc>
      </w:tr>
    </w:tbl>
    <w:p/>
    <w:p>
      <w:pPr>
        <w:jc w:val="both"/>
      </w:pPr>
      <w:r>
        <w:rPr>
          <w:rFonts w:ascii="Arial" w:hAnsi="Arial"/>
          <w:b/>
        </w:rPr>
        <w:t>Behaviour under irradiation.</w:t>
      </w:r>
      <w:r>
        <w:rPr>
          <w:rFonts w:ascii="Arial" w:hAnsi="Arial"/>
        </w:rPr>
        <w:t xml:space="preserve"> The SA-508 RPV is the fluence-limited component: the downcomer water plus barrel hold the 60-yr fast fluence (E &gt; 1 MeV) at the vessel inner wall below the ~1×10¹⁹ n/cm² embrittlement screening level (confirmed by the §8.3 fast-flux tally and cross-checked against the OpenMC eigenvalue model). Steel internals (barrel, thermal shield) are austenitic 304 for corrosion compatibility and dimensional stability. Borated polyethylene is non-structural and sits in the cool cavity region (no thermal/irradiation-creep duty). Concrete shields are kept below their ~90 °C aggregate-dehydration limit by the air gap and thermal shield. Property/attenuation data to cite: ANSI/ANS-6.4 (concrete shielding), ASTM A508/A240 (steels), ICRP-116 (flux-to-dose); composition basis for the heavy/ordinary concretes is the PNNL compendium (McConn et al.).</w:t>
      </w:r>
    </w:p>
    <w:p>
      <w:pPr>
        <w:jc w:val="both"/>
      </w:pPr>
      <w:r>
        <w:rPr>
          <w:rFonts w:ascii="Arial" w:hAnsi="Arial"/>
        </w:rPr>
        <w:t>---</w:t>
      </w:r>
    </w:p>
    <w:p>
      <w:pPr>
        <w:spacing w:before="200" w:after="80"/>
      </w:pPr>
      <w:r>
        <w:rPr>
          <w:rFonts w:ascii="Arial Black" w:hAnsi="Arial Black"/>
          <w:b/>
          <w:color w:val="1F4E79"/>
          <w:sz w:val="28"/>
        </w:rPr>
        <w:t>References for §8.2 / §8.3 (assemble into the reference list)</w:t>
      </w:r>
    </w:p>
    <w:p>
      <w:pPr>
        <w:jc w:val="both"/>
      </w:pPr>
      <w:r>
        <w:rPr>
          <w:rFonts w:ascii="Arial" w:hAnsi="Arial"/>
          <w:b/>
        </w:rPr>
        <w:t>Codes, methods &amp; nuclear data</w:t>
      </w:r>
    </w:p>
    <w:p>
      <w:pPr>
        <w:pStyle w:val="ListBullet"/>
        <w:jc w:val="both"/>
      </w:pPr>
      <w:r>
        <w:rPr>
          <w:rFonts w:ascii="Arial" w:hAnsi="Arial"/>
        </w:rPr>
        <w:t>[C-1] P. K. Romano et al., "OpenMC: A state-of-the-art Monte Carlo code for research and development," *Ann. Nucl. Energy* 82 (2015) 90–97. — transport/depletion solver (OpenMC 0.15.3).</w:t>
      </w:r>
    </w:p>
    <w:p>
      <w:pPr>
        <w:pStyle w:val="ListBullet"/>
        <w:jc w:val="both"/>
      </w:pPr>
      <w:r>
        <w:rPr>
          <w:rFonts w:ascii="Arial" w:hAnsi="Arial"/>
        </w:rPr>
        <w:t xml:space="preserve">[C-2] D. A. Brown et al., "ENDF/B-VIII.0," *Nucl. Data Sheets* 148 (2018) 1–142. — cross-section library used. </w:t>
      </w:r>
      <w:r>
        <w:rPr>
          <w:rFonts w:ascii="Arial" w:hAnsi="Arial"/>
          <w:i/>
          <w:color w:val="555555"/>
        </w:rPr>
        <w:t>[TODO: confirm the exact library/version run in the notebook.]</w:t>
      </w:r>
    </w:p>
    <w:p>
      <w:pPr>
        <w:pStyle w:val="ListBullet"/>
        <w:jc w:val="both"/>
      </w:pPr>
      <w:r>
        <w:rPr>
          <w:rFonts w:ascii="Arial" w:hAnsi="Arial"/>
        </w:rPr>
        <w:t>[C-3] N. E. Todreas, M. S. Kazimi, *Nuclear Systems I: Thermal Hydraulic Fundamentals* — linear heat rate, conduction stack-up, centerline-temperature method (§8.3.2–8.3.3).</w:t>
      </w:r>
    </w:p>
    <w:p>
      <w:pPr>
        <w:jc w:val="both"/>
      </w:pPr>
      <w:r>
        <w:rPr>
          <w:rFonts w:ascii="Arial" w:hAnsi="Arial"/>
          <w:b/>
        </w:rPr>
        <w:t>SBF / burnable-absorber precedents</w:t>
      </w:r>
    </w:p>
    <w:p>
      <w:pPr>
        <w:pStyle w:val="ListBullet"/>
        <w:jc w:val="both"/>
      </w:pPr>
      <w:r>
        <w:rPr>
          <w:rFonts w:ascii="Arial" w:hAnsi="Arial"/>
        </w:rPr>
        <w:t>[S-1] Kim, Jung &amp; Yoon, "…gadolinia reactivity holding / upswing control," *Nucl. Eng. Tech.* 56 (2024) 3144. — integral-Gd SBF reactivity behaviour (the k-hump, §8.2.3).</w:t>
      </w:r>
    </w:p>
    <w:p>
      <w:pPr>
        <w:pStyle w:val="ListBullet"/>
        <w:jc w:val="both"/>
      </w:pPr>
      <w:r>
        <w:rPr>
          <w:rFonts w:ascii="Arial" w:hAnsi="Arial"/>
        </w:rPr>
        <w:t>[S-2] Jang et al. (2020), SBF-SMPWR 17×17 design — F_q &lt; 5.09 peaking limit, 8 wt% Gd precedent.</w:t>
      </w:r>
    </w:p>
    <w:p>
      <w:pPr>
        <w:pStyle w:val="ListBullet"/>
        <w:jc w:val="both"/>
      </w:pPr>
      <w:r>
        <w:rPr>
          <w:rFonts w:ascii="Arial" w:hAnsi="Arial"/>
        </w:rPr>
        <w:t>[S-3] CAREM-25 (CNEA) — reference boron-free integral PWR with Gd₂O₃ absorbers.</w:t>
      </w:r>
    </w:p>
    <w:p>
      <w:pPr>
        <w:pStyle w:val="ListBullet"/>
        <w:jc w:val="both"/>
      </w:pPr>
      <w:r>
        <w:rPr>
          <w:rFonts w:ascii="Arial" w:hAnsi="Arial"/>
        </w:rPr>
        <w:t>[S-4] KEPCO i-SMR / HIGA SBF core — F_q ≈ 2.08 / F_r ≈ 1.35 SBF peaking precedent.</w:t>
      </w:r>
    </w:p>
    <w:p>
      <w:pPr>
        <w:pStyle w:val="ListBullet"/>
        <w:jc w:val="both"/>
      </w:pPr>
      <w:r>
        <w:rPr>
          <w:rFonts w:ascii="Arial" w:hAnsi="Arial"/>
        </w:rPr>
        <w:t>[S-5] A gadolinia/erbia burnable-absorber modeling reference (e.g. IAEA-TECDOC on Gd-bearing fuel).</w:t>
      </w:r>
    </w:p>
    <w:p>
      <w:pPr>
        <w:jc w:val="both"/>
      </w:pPr>
      <w:r>
        <w:rPr>
          <w:rFonts w:ascii="Arial" w:hAnsi="Arial"/>
          <w:i/>
          <w:color w:val="555555"/>
        </w:rPr>
        <w:t>[TODO: from `D:\projects\literature\gadolinia burnable absorbers.pdf` — add full citation.]</w:t>
      </w:r>
    </w:p>
    <w:p>
      <w:pPr>
        <w:jc w:val="both"/>
      </w:pPr>
      <w:r>
        <w:rPr>
          <w:rFonts w:ascii="Arial" w:hAnsi="Arial"/>
          <w:b/>
        </w:rPr>
        <w:t>Materials &amp; fuel-performance data</w:t>
      </w:r>
    </w:p>
    <w:p>
      <w:pPr>
        <w:pStyle w:val="ListBullet"/>
        <w:jc w:val="both"/>
      </w:pPr>
      <w:r>
        <w:rPr>
          <w:rFonts w:ascii="Arial" w:hAnsi="Arial"/>
        </w:rPr>
        <w:t>[M-1] IAEA-TECDOC, *Thermophysical Properties of Materials for Nuclear Engineering* (UO₂ &amp; Zr-4 conductivity, melting point, expansion — Tables 8.3-1, 8.3-2).</w:t>
      </w:r>
    </w:p>
    <w:p>
      <w:pPr>
        <w:pStyle w:val="ListBullet"/>
        <w:jc w:val="both"/>
      </w:pPr>
      <w:r>
        <w:rPr>
          <w:rFonts w:ascii="Arial" w:hAnsi="Arial"/>
        </w:rPr>
        <w:t>[M-2] Halden Reactor Project fuel-behaviour data — FGR threshold, fuel-conductivity degradation.</w:t>
      </w:r>
    </w:p>
    <w:p>
      <w:pPr>
        <w:pStyle w:val="ListBullet"/>
        <w:jc w:val="both"/>
      </w:pPr>
      <w:r>
        <w:rPr>
          <w:rFonts w:ascii="Arial" w:hAnsi="Arial"/>
        </w:rPr>
        <w:t>[M-3] Lucuta et al., UO₂ thermal-conductivity-with-burnup correlation (§8.2.1, §8.3.3).</w:t>
      </w:r>
    </w:p>
    <w:p>
      <w:pPr>
        <w:jc w:val="both"/>
      </w:pPr>
      <w:r>
        <w:rPr>
          <w:rFonts w:ascii="Arial" w:hAnsi="Arial"/>
          <w:b/>
        </w:rPr>
        <w:t>Regulatory</w:t>
      </w:r>
    </w:p>
    <w:p>
      <w:pPr>
        <w:pStyle w:val="ListBullet"/>
        <w:jc w:val="both"/>
      </w:pPr>
      <w:r>
        <w:rPr>
          <w:rFonts w:ascii="Arial" w:hAnsi="Arial"/>
        </w:rPr>
        <w:t xml:space="preserve">[T-1] Türkiye NDK, *Nuclear Power Plant Design Regulation* (under Nuclear Regulation Law No. 7381, 2022). </w:t>
      </w:r>
      <w:r>
        <w:rPr>
          <w:rFonts w:ascii="Arial" w:hAnsi="Arial"/>
          <w:i/>
          <w:color w:val="555555"/>
        </w:rPr>
        <w:t>[TODO: insert exact title/date/article.]</w:t>
      </w:r>
    </w:p>
    <w:p>
      <w:pPr>
        <w:pStyle w:val="ListBullet"/>
        <w:jc w:val="both"/>
      </w:pPr>
      <w:r>
        <w:rPr>
          <w:rFonts w:ascii="Arial" w:hAnsi="Arial"/>
        </w:rPr>
        <w:t>[I-1] IAEA SSR-2/1 (Rev. 1), *Safety of Nuclear Power Plants: Design* — Req. 24, 25, 35.</w:t>
      </w:r>
    </w:p>
    <w:p>
      <w:pPr>
        <w:pStyle w:val="ListBullet"/>
        <w:jc w:val="both"/>
      </w:pPr>
      <w:r>
        <w:rPr>
          <w:rFonts w:ascii="Arial" w:hAnsi="Arial"/>
        </w:rPr>
        <w:t>[N-1] US NRC 10 CFR 50 Appendix A, *General Design Criteria* — GDC 11, 26, 27.</w:t>
      </w:r>
    </w:p>
    <w:p>
      <w:pPr>
        <w:jc w:val="both"/>
      </w:pPr>
      <w:r>
        <w:rPr>
          <w:rFonts w:ascii="Arial" w:hAnsi="Arial"/>
        </w:rPr>
        <w:t>---</w:t>
      </w:r>
    </w:p>
    <w:p>
      <w:r>
        <w:br w:type="page"/>
      </w:r>
    </w:p>
    <w:p>
      <w:pPr>
        <w:spacing w:before="200" w:after="80"/>
      </w:pPr>
      <w:r>
        <w:rPr>
          <w:rFonts w:ascii="Arial Black" w:hAnsi="Arial Black"/>
          <w:b/>
          <w:color w:val="1F4E79"/>
          <w:sz w:val="28"/>
        </w:rPr>
        <w:t>§8.4 Cooling Circuit System Design</w:t>
      </w:r>
    </w:p>
    <w:p>
      <w:pPr>
        <w:jc w:val="both"/>
      </w:pPr>
      <w:r>
        <w:rPr>
          <w:rFonts w:ascii="Arial" w:hAnsi="Arial"/>
        </w:rPr>
        <w:t>---</w:t>
      </w:r>
    </w:p>
    <w:p>
      <w:pPr>
        <w:spacing w:before="200" w:after="80"/>
      </w:pPr>
      <w:r>
        <w:rPr>
          <w:rFonts w:ascii="Arial Black" w:hAnsi="Arial Black"/>
          <w:b/>
          <w:color w:val="1F4E79"/>
          <w:sz w:val="25"/>
        </w:rPr>
        <w:t>8.4.1 Cooling-system architecture (general description)</w:t>
      </w:r>
    </w:p>
    <w:p>
      <w:pPr>
        <w:jc w:val="both"/>
      </w:pPr>
      <w:r>
        <w:rPr>
          <w:rFonts w:ascii="Arial" w:hAnsi="Arial"/>
        </w:rPr>
        <w:t>Aegis-40 removes core heat through three coupled circuits:</w:t>
      </w:r>
    </w:p>
    <w:p>
      <w:pPr>
        <w:pStyle w:val="ListNumber"/>
        <w:jc w:val="both"/>
      </w:pPr>
      <w:r>
        <w:rPr>
          <w:rFonts w:ascii="Arial" w:hAnsi="Arial"/>
          <w:b/>
        </w:rPr>
        <w:t>Primary circuit</w:t>
      </w:r>
      <w:r>
        <w:rPr>
          <w:rFonts w:ascii="Arial" w:hAnsi="Arial"/>
        </w:rPr>
        <w:t xml:space="preserve"> — a closed, </w:t>
      </w:r>
      <w:r>
        <w:rPr>
          <w:rFonts w:ascii="Arial" w:hAnsi="Arial"/>
          <w:b/>
        </w:rPr>
        <w:t>natural-circulation</w:t>
      </w:r>
      <w:r>
        <w:rPr>
          <w:rFonts w:ascii="Arial" w:hAnsi="Arial"/>
        </w:rPr>
        <w:t xml:space="preserve"> loop entirely inside the reactor pressure vessel (RPV). It carries the full 125 MWth from the core to the integral once-through steam generator (OTSG) with </w:t>
      </w:r>
      <w:r>
        <w:rPr>
          <w:rFonts w:ascii="Arial" w:hAnsi="Arial"/>
          <w:b/>
        </w:rPr>
        <w:t>no reactor coolant pumps</w:t>
      </w:r>
      <w:r>
        <w:rPr>
          <w:rFonts w:ascii="Arial" w:hAnsi="Arial"/>
        </w:rPr>
        <w:t xml:space="preserve"> and </w:t>
      </w:r>
      <w:r>
        <w:rPr>
          <w:rFonts w:ascii="Arial" w:hAnsi="Arial"/>
          <w:b/>
        </w:rPr>
        <w:t>no large-diameter primary piping</w:t>
      </w:r>
      <w:r>
        <w:rPr>
          <w:rFonts w:ascii="Arial" w:hAnsi="Arial"/>
        </w:rPr>
        <w:t xml:space="preserve"> (a defining integral-PWR feature; see §8.1 and the RPV cutaway </w:t>
      </w:r>
      <w:r>
        <w:rPr>
          <w:rFonts w:ascii="Consolas" w:hAnsi="Consolas"/>
          <w:sz w:val="21"/>
        </w:rPr>
        <w:t>cad/aegis_rpv.step</w:t>
      </w:r>
      <w:r>
        <w:rPr>
          <w:rFonts w:ascii="Arial" w:hAnsi="Arial"/>
        </w:rPr>
        <w:t>).</w:t>
      </w:r>
    </w:p>
    <w:p>
      <w:pPr>
        <w:pStyle w:val="ListNumber"/>
        <w:jc w:val="both"/>
      </w:pPr>
      <w:r>
        <w:rPr>
          <w:rFonts w:ascii="Arial" w:hAnsi="Arial"/>
          <w:b/>
        </w:rPr>
        <w:t>Secondary circuit</w:t>
      </w:r>
      <w:r>
        <w:rPr>
          <w:rFonts w:ascii="Arial" w:hAnsi="Arial"/>
        </w:rPr>
        <w:t xml:space="preserve"> — the feedwater/steam side of the OTSG and the regenerative Rankine power-conversion plant (turbines, condenser, feedwater train). Heat crosses the pressure boundary </w:t>
      </w:r>
      <w:r>
        <w:rPr>
          <w:rFonts w:ascii="Arial" w:hAnsi="Arial"/>
          <w:b/>
        </w:rPr>
        <w:t>once</w:t>
      </w:r>
      <w:r>
        <w:rPr>
          <w:rFonts w:ascii="Arial" w:hAnsi="Arial"/>
        </w:rPr>
        <w:t>, in the OTSG, and is converted to 40 MWe (</w:t>
      </w:r>
      <w:r>
        <w:rPr>
          <w:rFonts w:ascii="Arial" w:hAnsi="Arial"/>
          <w:b/>
        </w:rPr>
        <w:t>→§8.9</w:t>
      </w:r>
      <w:r>
        <w:rPr>
          <w:rFonts w:ascii="Arial" w:hAnsi="Arial"/>
        </w:rPr>
        <w:t>).</w:t>
      </w:r>
    </w:p>
    <w:p>
      <w:pPr>
        <w:pStyle w:val="ListNumber"/>
        <w:jc w:val="both"/>
      </w:pPr>
      <w:r>
        <w:rPr>
          <w:rFonts w:ascii="Arial" w:hAnsi="Arial"/>
          <w:b/>
        </w:rPr>
        <w:t>Associated cooling systems</w:t>
      </w:r>
      <w:r>
        <w:rPr>
          <w:rFonts w:ascii="Arial" w:hAnsi="Arial"/>
        </w:rPr>
        <w:t xml:space="preserve"> — the safety-grade passive decay-heat removal system (DHRS), the chemical &amp; volume control system (CVCS), the integral self-pressurizer, and the</w:t>
      </w:r>
    </w:p>
    <w:p>
      <w:pPr>
        <w:jc w:val="both"/>
      </w:pPr>
      <w:r>
        <w:rPr>
          <w:rFonts w:ascii="Arial" w:hAnsi="Arial"/>
          <w:b/>
        </w:rPr>
        <w:t>seawater once-through</w:t>
      </w:r>
      <w:r>
        <w:rPr>
          <w:rFonts w:ascii="Arial" w:hAnsi="Arial"/>
        </w:rPr>
        <w:t xml:space="preserve"> ultimate-heat-sink circuit that rejects condenser heat to the Black Sea at the Sinop coastal site (</w:t>
      </w:r>
      <w:r>
        <w:rPr>
          <w:rFonts w:ascii="Arial" w:hAnsi="Arial"/>
          <w:b/>
        </w:rPr>
        <w:t>→§8.9</w:t>
      </w:r>
      <w:r>
        <w:rPr>
          <w:rFonts w:ascii="Arial" w:hAnsi="Arial"/>
        </w:rPr>
        <w:t>).</w:t>
      </w:r>
    </w:p>
    <w:p>
      <w:pPr>
        <w:jc w:val="both"/>
      </w:pPr>
      <w:r>
        <w:rPr>
          <w:rFonts w:ascii="Arial" w:hAnsi="Arial"/>
        </w:rPr>
        <w:t xml:space="preserve">The integrated process-flow diagram is </w:t>
      </w:r>
      <w:r>
        <w:rPr>
          <w:rFonts w:ascii="Arial" w:hAnsi="Arial"/>
          <w:b/>
        </w:rPr>
        <w:t>Figure 8.9-1</w:t>
      </w:r>
      <w:r>
        <w:rPr>
          <w:rFonts w:ascii="Arial" w:hAnsi="Arial"/>
        </w:rPr>
        <w:t xml:space="preserve"> (</w:t>
      </w:r>
      <w:r>
        <w:rPr>
          <w:rFonts w:ascii="Consolas" w:hAnsi="Consolas"/>
          <w:sz w:val="21"/>
        </w:rPr>
        <w:t>cycle/plant_pfd_seawater_h2.png</w:t>
      </w:r>
      <w:r>
        <w:rPr>
          <w:rFonts w:ascii="Arial" w:hAnsi="Arial"/>
        </w:rPr>
        <w:t xml:space="preserve">, </w:t>
      </w:r>
      <w:r>
        <w:rPr>
          <w:rFonts w:ascii="Consolas" w:hAnsi="Consolas"/>
          <w:sz w:val="21"/>
        </w:rPr>
        <w:t>scripts/plant_pfd_seawater_h2.py</w:t>
      </w:r>
      <w:r>
        <w:rPr>
          <w:rFonts w:ascii="Arial" w:hAnsi="Arial"/>
        </w:rPr>
        <w:t xml:space="preserve">); stream conditions are tabulated in </w:t>
      </w:r>
      <w:r>
        <w:rPr>
          <w:rFonts w:ascii="Consolas" w:hAnsi="Consolas"/>
          <w:sz w:val="21"/>
        </w:rPr>
        <w:t>cycle/stream-summary-table.md</w:t>
      </w:r>
      <w:r>
        <w:rPr>
          <w:rFonts w:ascii="Arial" w:hAnsi="Arial"/>
        </w:rPr>
        <w:t>.</w:t>
      </w:r>
    </w:p>
    <w:p>
      <w:pPr>
        <w:jc w:val="center"/>
      </w:pPr>
      <w:r>
        <w:drawing>
          <wp:inline xmlns:a="http://schemas.openxmlformats.org/drawingml/2006/main" xmlns:pic="http://schemas.openxmlformats.org/drawingml/2006/picture">
            <wp:extent cx="5486400" cy="3297184"/>
            <wp:docPr id="6" name="Picture 6"/>
            <wp:cNvGraphicFramePr>
              <a:graphicFrameLocks noChangeAspect="1"/>
            </wp:cNvGraphicFramePr>
            <a:graphic>
              <a:graphicData uri="http://schemas.openxmlformats.org/drawingml/2006/picture">
                <pic:pic>
                  <pic:nvPicPr>
                    <pic:cNvPr id="0" name="plant_pfd_seawater_h2.png"/>
                    <pic:cNvPicPr/>
                  </pic:nvPicPr>
                  <pic:blipFill>
                    <a:blip r:embed="rId14"/>
                    <a:stretch>
                      <a:fillRect/>
                    </a:stretch>
                  </pic:blipFill>
                  <pic:spPr>
                    <a:xfrm>
                      <a:off x="0" y="0"/>
                      <a:ext cx="5486400" cy="3297184"/>
                    </a:xfrm>
                    <a:prstGeom prst="rect"/>
                  </pic:spPr>
                </pic:pic>
              </a:graphicData>
            </a:graphic>
          </wp:inline>
        </w:drawing>
      </w:r>
    </w:p>
    <w:p>
      <w:pPr>
        <w:jc w:val="center"/>
      </w:pPr>
      <w:r>
        <w:rPr>
          <w:i/>
          <w:color w:val="555555"/>
          <w:sz w:val="19"/>
        </w:rPr>
        <w:t>Figure 8.9-1 — The integrated process-flow diagram is Figure 8.9-1 ; stream conditions are tabulated in cycle/stream-summary-table.md</w:t>
      </w:r>
    </w:p>
    <w:p>
      <w:pPr>
        <w:jc w:val="both"/>
      </w:pPr>
      <w:r>
        <w:rPr>
          <w:rFonts w:ascii="Arial" w:hAnsi="Arial"/>
          <w:b/>
        </w:rPr>
        <w:t>Primary flow path (in-vessel, bottom-up):</w:t>
      </w:r>
    </w:p>
    <w:p>
      <w:pPr>
        <w:spacing w:before="40"/>
        <w:ind w:left="340"/>
      </w:pPr>
      <w:r>
        <w:rPr>
          <w:rFonts w:ascii="Arial" w:hAnsi="Arial"/>
          <w:i/>
          <w:color w:val="555555"/>
          <w:sz w:val="21"/>
        </w:rPr>
        <w:t xml:space="preserve">▸ </w:t>
      </w:r>
      <w:r>
        <w:rPr>
          <w:rFonts w:ascii="Arial" w:hAnsi="Arial"/>
          <w:i/>
          <w:color w:val="555555"/>
          <w:sz w:val="21"/>
        </w:rPr>
        <w:t xml:space="preserve">core (heat source) → central </w:t>
      </w:r>
      <w:r>
        <w:rPr>
          <w:rFonts w:ascii="Arial" w:hAnsi="Arial"/>
          <w:b/>
          <w:i/>
          <w:color w:val="555555"/>
          <w:sz w:val="21"/>
        </w:rPr>
        <w:t>riser</w:t>
      </w:r>
      <w:r>
        <w:rPr>
          <w:rFonts w:ascii="Arial" w:hAnsi="Arial"/>
          <w:i/>
          <w:color w:val="555555"/>
          <w:sz w:val="21"/>
        </w:rPr>
        <w:t xml:space="preserve"> (R 560 mm) → upper plenum → turn-around → </w:t>
      </w:r>
      <w:r>
        <w:rPr>
          <w:rFonts w:ascii="Arial" w:hAnsi="Arial"/>
          <w:b/>
          <w:i/>
          <w:color w:val="555555"/>
          <w:sz w:val="21"/>
        </w:rPr>
        <w:t>helical-coil OTSG</w:t>
      </w:r>
      <w:r>
        <w:rPr>
          <w:rFonts w:ascii="Arial" w:hAnsi="Arial"/>
          <w:i/>
          <w:color w:val="555555"/>
          <w:sz w:val="21"/>
        </w:rPr>
        <w:t xml:space="preserve"> in the upper annulus (primary on the shell side, downflow over the coils) → </w:t>
      </w:r>
      <w:r>
        <w:rPr>
          <w:rFonts w:ascii="Arial" w:hAnsi="Arial"/>
          <w:b/>
          <w:i/>
          <w:color w:val="555555"/>
          <w:sz w:val="21"/>
        </w:rPr>
        <w:t>downcomer</w:t>
      </w:r>
      <w:r>
        <w:rPr>
          <w:rFonts w:ascii="Arial" w:hAnsi="Arial"/>
          <w:i/>
          <w:color w:val="555555"/>
          <w:sz w:val="21"/>
        </w:rPr>
        <w:t xml:space="preserve"> annulus → lower plenum → back into the core.</w:t>
      </w:r>
    </w:p>
    <w:p>
      <w:pPr>
        <w:jc w:val="both"/>
      </w:pPr>
      <w:r>
        <w:rPr>
          <w:rFonts w:ascii="Arial" w:hAnsi="Arial"/>
        </w:rPr>
        <w:t xml:space="preserve">Buoyancy of the heated coolant in the riser against the cooler coolant in the downcomer sustains the circulation; the OTSG is mounted </w:t>
      </w:r>
      <w:r>
        <w:rPr>
          <w:rFonts w:ascii="Arial" w:hAnsi="Arial"/>
          <w:b/>
        </w:rPr>
        <w:t>above</w:t>
      </w:r>
      <w:r>
        <w:rPr>
          <w:rFonts w:ascii="Arial" w:hAnsi="Arial"/>
        </w:rPr>
        <w:t xml:space="preserve"> the core so that the heat sink sits above the heat source, which is the geometric requirement for stable natural circulation.</w:t>
      </w:r>
    </w:p>
    <w:p>
      <w:pPr>
        <w:jc w:val="center"/>
      </w:pPr>
      <w:r>
        <w:drawing>
          <wp:inline xmlns:a="http://schemas.openxmlformats.org/drawingml/2006/main" xmlns:pic="http://schemas.openxmlformats.org/drawingml/2006/picture">
            <wp:extent cx="5486400" cy="6942053"/>
            <wp:docPr id="7" name="Picture 7"/>
            <wp:cNvGraphicFramePr>
              <a:graphicFrameLocks noChangeAspect="1"/>
            </wp:cNvGraphicFramePr>
            <a:graphic>
              <a:graphicData uri="http://schemas.openxmlformats.org/drawingml/2006/picture">
                <pic:pic>
                  <pic:nvPicPr>
                    <pic:cNvPr id="0" name="natcirc_loop_schematic.png"/>
                    <pic:cNvPicPr/>
                  </pic:nvPicPr>
                  <pic:blipFill>
                    <a:blip r:embed="rId15"/>
                    <a:stretch>
                      <a:fillRect/>
                    </a:stretch>
                  </pic:blipFill>
                  <pic:spPr>
                    <a:xfrm>
                      <a:off x="0" y="0"/>
                      <a:ext cx="5486400" cy="6942053"/>
                    </a:xfrm>
                    <a:prstGeom prst="rect"/>
                  </pic:spPr>
                </pic:pic>
              </a:graphicData>
            </a:graphic>
          </wp:inline>
        </w:drawing>
      </w:r>
    </w:p>
    <w:p>
      <w:pPr>
        <w:jc w:val="center"/>
      </w:pPr>
      <w:r>
        <w:rPr>
          <w:i/>
          <w:color w:val="555555"/>
          <w:sz w:val="19"/>
        </w:rPr>
        <w:t>Figure 8.4-1. In-vessel primary natural-circulation loop (`scripts/draw_natcirc_loop.py`).</w:t>
      </w:r>
    </w:p>
    <w:p>
      <w:pPr>
        <w:jc w:val="both"/>
      </w:pPr>
      <w:r>
        <w:rPr>
          <w:rFonts w:ascii="Arial" w:hAnsi="Arial"/>
        </w:rPr>
        <w:t xml:space="preserve">The hot riser (308 °C, 703 kg/m³) rises against the cold downcomer (258 °C, 797 kg/m³); the OTSG heat sink sits 2.85 m above the core mid-plane, giving the 2.62 kPa buoyancy driving head that sustains the 483 kg/s primary flow with </w:t>
      </w:r>
      <w:r>
        <w:rPr>
          <w:rFonts w:ascii="Arial" w:hAnsi="Arial"/>
          <w:b/>
        </w:rPr>
        <w:t>no reactor coolant pumps</w:t>
      </w:r>
      <w:r>
        <w:rPr>
          <w:rFonts w:ascii="Arial" w:hAnsi="Arial"/>
        </w:rPr>
        <w:t>.</w:t>
      </w:r>
    </w:p>
    <w:p>
      <w:pPr>
        <w:jc w:val="both"/>
      </w:pPr>
      <w:r>
        <w:rPr>
          <w:rFonts w:ascii="Arial" w:hAnsi="Arial"/>
        </w:rPr>
        <w:t>---</w:t>
      </w:r>
    </w:p>
    <w:p>
      <w:pPr>
        <w:spacing w:before="200" w:after="80"/>
      </w:pPr>
      <w:r>
        <w:rPr>
          <w:rFonts w:ascii="Arial Black" w:hAnsi="Arial Black"/>
          <w:b/>
          <w:color w:val="1F4E79"/>
          <w:sz w:val="25"/>
        </w:rPr>
        <w:t>8.4.2 Primary cooling system — natural circulation</w:t>
      </w:r>
    </w:p>
    <w:p>
      <w:pPr>
        <w:spacing w:before="200" w:after="80"/>
      </w:pPr>
      <w:r>
        <w:rPr>
          <w:rFonts w:ascii="Arial Black" w:hAnsi="Arial Black"/>
          <w:b/>
          <w:color w:val="1F4E79"/>
          <w:sz w:val="25"/>
        </w:rPr>
        <w:t>8.4.2.1 Design conditions</w:t>
      </w:r>
    </w:p>
    <w:tbl>
      <w:tblPr>
        <w:tblStyle w:val="TableGrid"/>
        <w:tblW w:type="auto" w:w="0"/>
        <w:jc w:val="center"/>
        <w:tblLook w:firstColumn="1" w:firstRow="1" w:lastColumn="0" w:lastRow="0" w:noHBand="0" w:noVBand="1" w:val="04A0"/>
      </w:tblPr>
      <w:tblGrid>
        <w:gridCol w:w="4703"/>
        <w:gridCol w:w="4703"/>
      </w:tblGrid>
      <w:tr>
        <w:tc>
          <w:tcPr>
            <w:tcW w:type="dxa" w:w="4703"/>
            <w:shd w:val="clear" w:fill="DDE3EA"/>
          </w:tcPr>
          <w:p>
            <w:r>
              <w:rPr>
                <w:rFonts w:ascii="Arial" w:hAnsi="Arial"/>
                <w:b/>
                <w:sz w:val="20"/>
              </w:rPr>
            </w:r>
            <w:r>
              <w:rPr>
                <w:rFonts w:ascii="Arial" w:hAnsi="Arial"/>
                <w:b/>
                <w:sz w:val="20"/>
              </w:rPr>
              <w:t>Parameter</w:t>
            </w:r>
          </w:p>
        </w:tc>
        <w:tc>
          <w:tcPr>
            <w:tcW w:type="dxa" w:w="4703"/>
            <w:shd w:val="clear" w:fill="DDE3EA"/>
          </w:tcPr>
          <w:p>
            <w:r>
              <w:rPr>
                <w:rFonts w:ascii="Arial" w:hAnsi="Arial"/>
                <w:b/>
                <w:sz w:val="20"/>
              </w:rPr>
            </w:r>
            <w:r>
              <w:rPr>
                <w:rFonts w:ascii="Arial" w:hAnsi="Arial"/>
                <w:b/>
                <w:sz w:val="20"/>
              </w:rPr>
              <w:t>Value</w:t>
            </w:r>
          </w:p>
        </w:tc>
      </w:tr>
      <w:tr>
        <w:tc>
          <w:tcPr>
            <w:tcW w:type="dxa" w:w="4703"/>
          </w:tcPr>
          <w:p>
            <w:r>
              <w:rPr>
                <w:rFonts w:ascii="Arial" w:hAnsi="Arial"/>
                <w:sz w:val="20"/>
              </w:rPr>
            </w:r>
            <w:r>
              <w:rPr>
                <w:rFonts w:ascii="Arial" w:hAnsi="Arial"/>
                <w:sz w:val="20"/>
              </w:rPr>
              <w:t>Core thermal power</w:t>
            </w:r>
          </w:p>
        </w:tc>
        <w:tc>
          <w:tcPr>
            <w:tcW w:type="dxa" w:w="4703"/>
          </w:tcPr>
          <w:p>
            <w:r>
              <w:rPr>
                <w:rFonts w:ascii="Arial" w:hAnsi="Arial"/>
                <w:sz w:val="20"/>
              </w:rPr>
            </w:r>
            <w:r>
              <w:rPr>
                <w:rFonts w:ascii="Arial" w:hAnsi="Arial"/>
                <w:sz w:val="20"/>
              </w:rPr>
              <w:t>125 MWth</w:t>
            </w:r>
          </w:p>
        </w:tc>
      </w:tr>
      <w:tr>
        <w:tc>
          <w:tcPr>
            <w:tcW w:type="dxa" w:w="4703"/>
          </w:tcPr>
          <w:p>
            <w:r>
              <w:rPr>
                <w:rFonts w:ascii="Arial" w:hAnsi="Arial"/>
                <w:sz w:val="20"/>
              </w:rPr>
            </w:r>
            <w:r>
              <w:rPr>
                <w:rFonts w:ascii="Arial" w:hAnsi="Arial"/>
                <w:sz w:val="20"/>
              </w:rPr>
              <w:t>Operating pressure</w:t>
            </w:r>
          </w:p>
        </w:tc>
        <w:tc>
          <w:tcPr>
            <w:tcW w:type="dxa" w:w="4703"/>
          </w:tcPr>
          <w:p>
            <w:r>
              <w:rPr>
                <w:rFonts w:ascii="Arial" w:hAnsi="Arial"/>
                <w:sz w:val="20"/>
              </w:rPr>
            </w:r>
            <w:r>
              <w:rPr>
                <w:rFonts w:ascii="Arial" w:hAnsi="Arial"/>
                <w:b/>
                <w:sz w:val="20"/>
              </w:rPr>
              <w:t>12.8 MPa</w:t>
            </w:r>
          </w:p>
        </w:tc>
      </w:tr>
      <w:tr>
        <w:tc>
          <w:tcPr>
            <w:tcW w:type="dxa" w:w="4703"/>
          </w:tcPr>
          <w:p>
            <w:r>
              <w:rPr>
                <w:rFonts w:ascii="Arial" w:hAnsi="Arial"/>
                <w:sz w:val="20"/>
              </w:rPr>
            </w:r>
            <w:r>
              <w:rPr>
                <w:rFonts w:ascii="Arial" w:hAnsi="Arial"/>
                <w:sz w:val="20"/>
              </w:rPr>
              <w:t>Design pressure (110 %)</w:t>
            </w:r>
          </w:p>
        </w:tc>
        <w:tc>
          <w:tcPr>
            <w:tcW w:type="dxa" w:w="4703"/>
          </w:tcPr>
          <w:p>
            <w:r>
              <w:rPr>
                <w:rFonts w:ascii="Arial" w:hAnsi="Arial"/>
                <w:sz w:val="20"/>
              </w:rPr>
            </w:r>
            <w:r>
              <w:rPr>
                <w:rFonts w:ascii="Arial" w:hAnsi="Arial"/>
                <w:b/>
                <w:sz w:val="20"/>
              </w:rPr>
              <w:t>≈ 14.1 MPa</w:t>
            </w:r>
          </w:p>
        </w:tc>
      </w:tr>
      <w:tr>
        <w:tc>
          <w:tcPr>
            <w:tcW w:type="dxa" w:w="4703"/>
          </w:tcPr>
          <w:p>
            <w:r>
              <w:rPr>
                <w:rFonts w:ascii="Arial" w:hAnsi="Arial"/>
                <w:sz w:val="20"/>
              </w:rPr>
            </w:r>
            <w:r>
              <w:rPr>
                <w:rFonts w:ascii="Arial" w:hAnsi="Arial"/>
                <w:sz w:val="20"/>
              </w:rPr>
              <w:t>Core outlet (hot leg)</w:t>
            </w:r>
          </w:p>
        </w:tc>
        <w:tc>
          <w:tcPr>
            <w:tcW w:type="dxa" w:w="4703"/>
          </w:tcPr>
          <w:p>
            <w:r>
              <w:rPr>
                <w:rFonts w:ascii="Arial" w:hAnsi="Arial"/>
                <w:sz w:val="20"/>
              </w:rPr>
            </w:r>
            <w:r>
              <w:rPr>
                <w:rFonts w:ascii="Arial" w:hAnsi="Arial"/>
                <w:b/>
                <w:sz w:val="20"/>
              </w:rPr>
              <w:t>308 °C</w:t>
            </w:r>
            <w:r>
              <w:rPr>
                <w:rFonts w:ascii="Arial" w:hAnsi="Arial"/>
                <w:sz w:val="20"/>
              </w:rPr>
              <w:t xml:space="preserve"> (581 K)</w:t>
            </w:r>
          </w:p>
        </w:tc>
      </w:tr>
      <w:tr>
        <w:tc>
          <w:tcPr>
            <w:tcW w:type="dxa" w:w="4703"/>
          </w:tcPr>
          <w:p>
            <w:r>
              <w:rPr>
                <w:rFonts w:ascii="Arial" w:hAnsi="Arial"/>
                <w:sz w:val="20"/>
              </w:rPr>
            </w:r>
            <w:r>
              <w:rPr>
                <w:rFonts w:ascii="Arial" w:hAnsi="Arial"/>
                <w:sz w:val="20"/>
              </w:rPr>
              <w:t>Core inlet (cold leg)</w:t>
            </w:r>
          </w:p>
        </w:tc>
        <w:tc>
          <w:tcPr>
            <w:tcW w:type="dxa" w:w="4703"/>
          </w:tcPr>
          <w:p>
            <w:r>
              <w:rPr>
                <w:rFonts w:ascii="Arial" w:hAnsi="Arial"/>
                <w:sz w:val="20"/>
              </w:rPr>
            </w:r>
            <w:r>
              <w:rPr>
                <w:rFonts w:ascii="Arial" w:hAnsi="Arial"/>
                <w:b/>
                <w:sz w:val="20"/>
              </w:rPr>
              <w:t>258 °C</w:t>
            </w:r>
            <w:r>
              <w:rPr>
                <w:rFonts w:ascii="Arial" w:hAnsi="Arial"/>
                <w:sz w:val="20"/>
              </w:rPr>
              <w:t xml:space="preserve"> (531 K)</w:t>
            </w:r>
          </w:p>
        </w:tc>
      </w:tr>
      <w:tr>
        <w:tc>
          <w:tcPr>
            <w:tcW w:type="dxa" w:w="4703"/>
          </w:tcPr>
          <w:p>
            <w:r>
              <w:rPr>
                <w:rFonts w:ascii="Arial" w:hAnsi="Arial"/>
                <w:sz w:val="20"/>
              </w:rPr>
            </w:r>
            <w:r>
              <w:rPr>
                <w:rFonts w:ascii="Arial" w:hAnsi="Arial"/>
                <w:sz w:val="20"/>
              </w:rPr>
              <w:t>Core ΔT</w:t>
            </w:r>
          </w:p>
        </w:tc>
        <w:tc>
          <w:tcPr>
            <w:tcW w:type="dxa" w:w="4703"/>
          </w:tcPr>
          <w:p>
            <w:r>
              <w:rPr>
                <w:rFonts w:ascii="Arial" w:hAnsi="Arial"/>
                <w:sz w:val="20"/>
              </w:rPr>
            </w:r>
            <w:r>
              <w:rPr>
                <w:rFonts w:ascii="Arial" w:hAnsi="Arial"/>
                <w:b/>
                <w:sz w:val="20"/>
              </w:rPr>
              <w:t>50 K</w:t>
            </w:r>
          </w:p>
        </w:tc>
      </w:tr>
      <w:tr>
        <w:tc>
          <w:tcPr>
            <w:tcW w:type="dxa" w:w="4703"/>
          </w:tcPr>
          <w:p>
            <w:r>
              <w:rPr>
                <w:rFonts w:ascii="Arial" w:hAnsi="Arial"/>
                <w:sz w:val="20"/>
              </w:rPr>
            </w:r>
            <w:r>
              <w:rPr>
                <w:rFonts w:ascii="Arial" w:hAnsi="Arial"/>
                <w:sz w:val="20"/>
              </w:rPr>
              <w:t>Core average</w:t>
            </w:r>
          </w:p>
        </w:tc>
        <w:tc>
          <w:tcPr>
            <w:tcW w:type="dxa" w:w="4703"/>
          </w:tcPr>
          <w:p>
            <w:r>
              <w:rPr>
                <w:rFonts w:ascii="Arial" w:hAnsi="Arial"/>
                <w:sz w:val="20"/>
              </w:rPr>
            </w:r>
            <w:r>
              <w:rPr>
                <w:rFonts w:ascii="Arial" w:hAnsi="Arial"/>
                <w:sz w:val="20"/>
              </w:rPr>
              <w:t>283 °C (555 K)</w:t>
            </w:r>
          </w:p>
        </w:tc>
      </w:tr>
      <w:tr>
        <w:tc>
          <w:tcPr>
            <w:tcW w:type="dxa" w:w="4703"/>
          </w:tcPr>
          <w:p>
            <w:r>
              <w:rPr>
                <w:rFonts w:ascii="Arial" w:hAnsi="Arial"/>
                <w:sz w:val="20"/>
              </w:rPr>
            </w:r>
            <w:r>
              <w:rPr>
                <w:rFonts w:ascii="Arial" w:hAnsi="Arial"/>
                <w:sz w:val="20"/>
              </w:rPr>
              <w:t>Saturation temperature @ 12.8 MPa</w:t>
            </w:r>
          </w:p>
        </w:tc>
        <w:tc>
          <w:tcPr>
            <w:tcW w:type="dxa" w:w="4703"/>
          </w:tcPr>
          <w:p>
            <w:r>
              <w:rPr>
                <w:rFonts w:ascii="Arial" w:hAnsi="Arial"/>
                <w:sz w:val="20"/>
              </w:rPr>
            </w:r>
            <w:r>
              <w:rPr>
                <w:rFonts w:ascii="Arial" w:hAnsi="Arial"/>
                <w:sz w:val="20"/>
              </w:rPr>
              <w:t>329.7 °C</w:t>
            </w:r>
          </w:p>
        </w:tc>
      </w:tr>
      <w:tr>
        <w:tc>
          <w:tcPr>
            <w:tcW w:type="dxa" w:w="4703"/>
          </w:tcPr>
          <w:p>
            <w:r>
              <w:rPr>
                <w:rFonts w:ascii="Arial" w:hAnsi="Arial"/>
                <w:sz w:val="20"/>
              </w:rPr>
            </w:r>
            <w:r>
              <w:rPr>
                <w:rFonts w:ascii="Arial" w:hAnsi="Arial"/>
                <w:sz w:val="20"/>
              </w:rPr>
              <w:t>Hot-leg subcooling</w:t>
            </w:r>
          </w:p>
        </w:tc>
        <w:tc>
          <w:tcPr>
            <w:tcW w:type="dxa" w:w="4703"/>
          </w:tcPr>
          <w:p>
            <w:r>
              <w:rPr>
                <w:rFonts w:ascii="Arial" w:hAnsi="Arial"/>
                <w:sz w:val="20"/>
              </w:rPr>
            </w:r>
            <w:r>
              <w:rPr>
                <w:rFonts w:ascii="Arial" w:hAnsi="Arial"/>
                <w:b/>
                <w:sz w:val="20"/>
              </w:rPr>
              <w:t>21.7 °C</w:t>
            </w:r>
          </w:p>
        </w:tc>
      </w:tr>
      <w:tr>
        <w:tc>
          <w:tcPr>
            <w:tcW w:type="dxa" w:w="4703"/>
          </w:tcPr>
          <w:p>
            <w:r>
              <w:rPr>
                <w:rFonts w:ascii="Arial" w:hAnsi="Arial"/>
                <w:sz w:val="20"/>
              </w:rPr>
            </w:r>
            <w:r>
              <w:rPr>
                <w:rFonts w:ascii="Arial" w:hAnsi="Arial"/>
                <w:sz w:val="20"/>
              </w:rPr>
              <w:t>Primary mass flow ṁ</w:t>
            </w:r>
          </w:p>
        </w:tc>
        <w:tc>
          <w:tcPr>
            <w:tcW w:type="dxa" w:w="4703"/>
          </w:tcPr>
          <w:p>
            <w:r>
              <w:rPr>
                <w:rFonts w:ascii="Arial" w:hAnsi="Arial"/>
                <w:sz w:val="20"/>
              </w:rPr>
            </w:r>
            <w:r>
              <w:rPr>
                <w:rFonts w:ascii="Arial" w:hAnsi="Arial"/>
                <w:b/>
                <w:sz w:val="20"/>
              </w:rPr>
              <w:t>≈ 483 kg/s</w:t>
            </w:r>
          </w:p>
        </w:tc>
      </w:tr>
      <w:tr>
        <w:tc>
          <w:tcPr>
            <w:tcW w:type="dxa" w:w="4703"/>
          </w:tcPr>
          <w:p>
            <w:r>
              <w:rPr>
                <w:rFonts w:ascii="Arial" w:hAnsi="Arial"/>
                <w:sz w:val="20"/>
              </w:rPr>
            </w:r>
            <w:r>
              <w:rPr>
                <w:rFonts w:ascii="Arial" w:hAnsi="Arial"/>
                <w:sz w:val="20"/>
              </w:rPr>
              <w:t>Coolant</w:t>
            </w:r>
          </w:p>
        </w:tc>
        <w:tc>
          <w:tcPr>
            <w:tcW w:type="dxa" w:w="4703"/>
          </w:tcPr>
          <w:p>
            <w:r>
              <w:rPr>
                <w:rFonts w:ascii="Arial" w:hAnsi="Arial"/>
                <w:sz w:val="20"/>
              </w:rPr>
            </w:r>
            <w:r>
              <w:rPr>
                <w:rFonts w:ascii="Arial" w:hAnsi="Arial"/>
                <w:sz w:val="20"/>
              </w:rPr>
              <w:t>light water, soluble-boron-free</w:t>
            </w:r>
          </w:p>
        </w:tc>
      </w:tr>
    </w:tbl>
    <w:p/>
    <w:p>
      <w:pPr>
        <w:jc w:val="both"/>
      </w:pPr>
      <w:r>
        <w:rPr>
          <w:rFonts w:ascii="Arial" w:hAnsi="Arial"/>
        </w:rPr>
        <w:t xml:space="preserve">The </w:t>
      </w:r>
      <w:r>
        <w:rPr>
          <w:rFonts w:ascii="Arial" w:hAnsi="Arial"/>
          <w:b/>
        </w:rPr>
        <w:t>21.7 °C hot-leg subcooling</w:t>
      </w:r>
      <w:r>
        <w:rPr>
          <w:rFonts w:ascii="Arial" w:hAnsi="Arial"/>
        </w:rPr>
        <w:t xml:space="preserve"> confirms the core stays comfortably single-phase at full power (no bulk boiling), consistent with the all-positive upflow velocity field from the CFD (no recirculation). The operating pressure of 12.8 MPa matches the closest reference iPWR (NuScale, 12.8 MPa) and is the value the §8.9 OTSG analysis was built on.</w:t>
      </w:r>
    </w:p>
    <w:p>
      <w:pPr>
        <w:spacing w:before="200" w:after="80"/>
      </w:pPr>
      <w:r>
        <w:rPr>
          <w:rFonts w:ascii="Arial Black" w:hAnsi="Arial Black"/>
          <w:b/>
          <w:color w:val="1F4E79"/>
          <w:sz w:val="25"/>
        </w:rPr>
        <w:t>8.4.2.2 Natural-circulation driving head (heat-removal capability)</w:t>
      </w:r>
    </w:p>
    <w:p>
      <w:pPr>
        <w:jc w:val="both"/>
      </w:pPr>
      <w:r>
        <w:rPr>
          <w:rFonts w:ascii="Arial" w:hAnsi="Arial"/>
        </w:rPr>
        <w:t xml:space="preserve">The natural-circulation flow is set by the balance between the </w:t>
      </w:r>
      <w:r>
        <w:rPr>
          <w:rFonts w:ascii="Arial" w:hAnsi="Arial"/>
          <w:b/>
        </w:rPr>
        <w:t>buoyancy driving head</w:t>
      </w:r>
      <w:r>
        <w:rPr>
          <w:rFonts w:ascii="Arial" w:hAnsi="Arial"/>
        </w:rPr>
        <w:t xml:space="preserve"> and the</w:t>
      </w:r>
    </w:p>
    <w:p>
      <w:pPr>
        <w:jc w:val="both"/>
      </w:pPr>
      <w:r>
        <w:rPr>
          <w:rFonts w:ascii="Arial" w:hAnsi="Arial"/>
          <w:b/>
        </w:rPr>
        <w:t>loop hydraulic losses</w:t>
      </w:r>
      <w:r>
        <w:rPr>
          <w:rFonts w:ascii="Arial" w:hAnsi="Arial"/>
        </w:rPr>
        <w:t xml:space="preserve"> (Todreas &amp; Kazimi, *Nuclear Systems I*, single-phase natural-circulation loop momentum integral):</w:t>
      </w:r>
    </w:p>
    <w:p>
      <w:pPr>
        <w:spacing w:before="40"/>
        <w:ind w:left="340"/>
      </w:pPr>
      <w:r>
        <w:rPr>
          <w:rFonts w:ascii="Arial" w:hAnsi="Arial"/>
          <w:i/>
          <w:color w:val="555555"/>
          <w:sz w:val="21"/>
        </w:rPr>
        <w:t xml:space="preserve">▸ </w:t>
      </w:r>
      <w:r>
        <w:rPr>
          <w:rFonts w:ascii="Arial" w:hAnsi="Arial"/>
          <w:i/>
          <w:color w:val="555555"/>
          <w:sz w:val="21"/>
        </w:rPr>
        <w:t>ΔP_driving = (ρ_cold − ρ_hot) · g · H_th = Σ K_i · ½ ρ v²  (loop form + friction losses)</w:t>
      </w:r>
    </w:p>
    <w:p>
      <w:pPr>
        <w:jc w:val="both"/>
      </w:pPr>
      <w:r>
        <w:rPr>
          <w:rFonts w:ascii="Arial" w:hAnsi="Arial"/>
        </w:rPr>
        <w:t xml:space="preserve">with the thermal height </w:t>
      </w:r>
      <w:r>
        <w:rPr>
          <w:rFonts w:ascii="Arial" w:hAnsi="Arial"/>
          <w:b/>
        </w:rPr>
        <w:t>H_th</w:t>
      </w:r>
      <w:r>
        <w:rPr>
          <w:rFonts w:ascii="Arial" w:hAnsi="Arial"/>
        </w:rPr>
        <w:t xml:space="preserve"> taken between the core mid-plane and the OTSG bundle mid-plane from the RPV geometry (</w:t>
      </w:r>
      <w:r>
        <w:rPr>
          <w:rFonts w:ascii="Consolas" w:hAnsi="Consolas"/>
          <w:sz w:val="21"/>
        </w:rPr>
        <w:t>generate_rpv_step.py</w:t>
      </w:r>
      <w:r>
        <w:rPr>
          <w:rFonts w:ascii="Arial" w:hAnsi="Arial"/>
        </w:rPr>
        <w:t xml:space="preserve">): core mid at model-z 1018.5 mm, OTSG mid at 3868.5 mm → </w:t>
      </w:r>
      <w:r>
        <w:rPr>
          <w:rFonts w:ascii="Arial" w:hAnsi="Arial"/>
          <w:b/>
        </w:rPr>
        <w:t>H_th = 2.85 m</w:t>
      </w:r>
      <w:r>
        <w:rPr>
          <w:rFonts w:ascii="Arial" w:hAnsi="Arial"/>
        </w:rPr>
        <w: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Quantity</w:t>
            </w:r>
          </w:p>
        </w:tc>
        <w:tc>
          <w:tcPr>
            <w:tcW w:type="dxa" w:w="3135"/>
            <w:shd w:val="clear" w:fill="DDE3EA"/>
          </w:tcPr>
          <w:p>
            <w:r>
              <w:rPr>
                <w:rFonts w:ascii="Arial" w:hAnsi="Arial"/>
                <w:b/>
                <w:sz w:val="20"/>
              </w:rPr>
            </w:r>
            <w:r>
              <w:rPr>
                <w:rFonts w:ascii="Arial" w:hAnsi="Arial"/>
                <w:b/>
                <w:sz w:val="20"/>
              </w:rPr>
              <w:t>Value</w:t>
            </w:r>
          </w:p>
        </w:tc>
        <w:tc>
          <w:tcPr>
            <w:tcW w:type="dxa" w:w="3135"/>
            <w:shd w:val="clear" w:fill="DDE3EA"/>
          </w:tcPr>
          <w:p>
            <w:r>
              <w:rPr>
                <w:rFonts w:ascii="Arial" w:hAnsi="Arial"/>
                <w:b/>
                <w:sz w:val="20"/>
              </w:rPr>
            </w:r>
            <w:r>
              <w:rPr>
                <w:rFonts w:ascii="Arial" w:hAnsi="Arial"/>
                <w:b/>
                <w:sz w:val="20"/>
              </w:rPr>
              <w:t>Note</w:t>
            </w:r>
          </w:p>
        </w:tc>
      </w:tr>
      <w:tr>
        <w:tc>
          <w:tcPr>
            <w:tcW w:type="dxa" w:w="3135"/>
          </w:tcPr>
          <w:p>
            <w:r>
              <w:rPr>
                <w:rFonts w:ascii="Arial" w:hAnsi="Arial"/>
                <w:sz w:val="20"/>
              </w:rPr>
            </w:r>
            <w:r>
              <w:rPr>
                <w:rFonts w:ascii="Arial" w:hAnsi="Arial"/>
                <w:sz w:val="20"/>
              </w:rPr>
              <w:t>ρ (cold leg, 258 °C)</w:t>
            </w:r>
          </w:p>
        </w:tc>
        <w:tc>
          <w:tcPr>
            <w:tcW w:type="dxa" w:w="3135"/>
          </w:tcPr>
          <w:p>
            <w:r>
              <w:rPr>
                <w:rFonts w:ascii="Arial" w:hAnsi="Arial"/>
                <w:sz w:val="20"/>
              </w:rPr>
            </w:r>
            <w:r>
              <w:rPr>
                <w:rFonts w:ascii="Arial" w:hAnsi="Arial"/>
                <w:sz w:val="20"/>
              </w:rPr>
              <w:t>796.7 kg/m³</w:t>
            </w:r>
          </w:p>
        </w:tc>
        <w:tc>
          <w:tcPr>
            <w:tcW w:type="dxa" w:w="3135"/>
          </w:tcPr>
          <w:p>
            <w:r>
              <w:rPr>
                <w:rFonts w:ascii="Arial" w:hAnsi="Arial"/>
                <w:sz w:val="20"/>
              </w:rPr>
            </w:r>
            <w:r>
              <w:rPr>
                <w:rFonts w:ascii="Arial" w:hAnsi="Arial"/>
                <w:sz w:val="20"/>
              </w:rPr>
              <w:t>IAPWS-IF97 @ 12.8 MPa</w:t>
            </w:r>
          </w:p>
        </w:tc>
      </w:tr>
      <w:tr>
        <w:tc>
          <w:tcPr>
            <w:tcW w:type="dxa" w:w="3135"/>
          </w:tcPr>
          <w:p>
            <w:r>
              <w:rPr>
                <w:rFonts w:ascii="Arial" w:hAnsi="Arial"/>
                <w:sz w:val="20"/>
              </w:rPr>
            </w:r>
            <w:r>
              <w:rPr>
                <w:rFonts w:ascii="Arial" w:hAnsi="Arial"/>
                <w:sz w:val="20"/>
              </w:rPr>
              <w:t>ρ (hot leg, 308 °C)</w:t>
            </w:r>
          </w:p>
        </w:tc>
        <w:tc>
          <w:tcPr>
            <w:tcW w:type="dxa" w:w="3135"/>
          </w:tcPr>
          <w:p>
            <w:r>
              <w:rPr>
                <w:rFonts w:ascii="Arial" w:hAnsi="Arial"/>
                <w:sz w:val="20"/>
              </w:rPr>
            </w:r>
            <w:r>
              <w:rPr>
                <w:rFonts w:ascii="Arial" w:hAnsi="Arial"/>
                <w:sz w:val="20"/>
              </w:rPr>
              <w:t>703.1 kg/m³</w:t>
            </w:r>
          </w:p>
        </w:tc>
        <w:tc>
          <w:tcPr>
            <w:tcW w:type="dxa" w:w="3135"/>
          </w:tcPr>
          <w:p>
            <w:r>
              <w:rPr>
                <w:sz w:val="20"/>
              </w:rPr>
            </w:r>
          </w:p>
        </w:tc>
      </w:tr>
      <w:tr>
        <w:tc>
          <w:tcPr>
            <w:tcW w:type="dxa" w:w="3135"/>
          </w:tcPr>
          <w:p>
            <w:r>
              <w:rPr>
                <w:rFonts w:ascii="Arial" w:hAnsi="Arial"/>
                <w:sz w:val="20"/>
              </w:rPr>
            </w:r>
            <w:r>
              <w:rPr>
                <w:rFonts w:ascii="Arial" w:hAnsi="Arial"/>
                <w:sz w:val="20"/>
              </w:rPr>
              <w:t>Δρ</w:t>
            </w:r>
          </w:p>
        </w:tc>
        <w:tc>
          <w:tcPr>
            <w:tcW w:type="dxa" w:w="3135"/>
          </w:tcPr>
          <w:p>
            <w:r>
              <w:rPr>
                <w:rFonts w:ascii="Arial" w:hAnsi="Arial"/>
                <w:sz w:val="20"/>
              </w:rPr>
            </w:r>
            <w:r>
              <w:rPr>
                <w:rFonts w:ascii="Arial" w:hAnsi="Arial"/>
                <w:sz w:val="20"/>
              </w:rPr>
              <w:t>93.6 kg/m³</w:t>
            </w:r>
          </w:p>
        </w:tc>
        <w:tc>
          <w:tcPr>
            <w:tcW w:type="dxa" w:w="3135"/>
          </w:tcPr>
          <w:p>
            <w:r>
              <w:rPr>
                <w:rFonts w:ascii="Arial" w:hAnsi="Arial"/>
                <w:sz w:val="20"/>
              </w:rPr>
            </w:r>
            <w:r>
              <w:rPr>
                <w:rFonts w:ascii="Arial" w:hAnsi="Arial"/>
                <w:sz w:val="20"/>
              </w:rPr>
              <w:t>buoyancy term</w:t>
            </w:r>
          </w:p>
        </w:tc>
      </w:tr>
      <w:tr>
        <w:tc>
          <w:tcPr>
            <w:tcW w:type="dxa" w:w="3135"/>
          </w:tcPr>
          <w:p>
            <w:r>
              <w:rPr>
                <w:rFonts w:ascii="Arial" w:hAnsi="Arial"/>
                <w:sz w:val="20"/>
              </w:rPr>
            </w:r>
            <w:r>
              <w:rPr>
                <w:rFonts w:ascii="Arial" w:hAnsi="Arial"/>
                <w:sz w:val="20"/>
              </w:rPr>
              <w:t>Thermal height H_th</w:t>
            </w:r>
          </w:p>
        </w:tc>
        <w:tc>
          <w:tcPr>
            <w:tcW w:type="dxa" w:w="3135"/>
          </w:tcPr>
          <w:p>
            <w:r>
              <w:rPr>
                <w:rFonts w:ascii="Arial" w:hAnsi="Arial"/>
                <w:sz w:val="20"/>
              </w:rPr>
            </w:r>
            <w:r>
              <w:rPr>
                <w:rFonts w:ascii="Arial" w:hAnsi="Arial"/>
                <w:sz w:val="20"/>
              </w:rPr>
              <w:t>2.85 m</w:t>
            </w:r>
          </w:p>
        </w:tc>
        <w:tc>
          <w:tcPr>
            <w:tcW w:type="dxa" w:w="3135"/>
          </w:tcPr>
          <w:p>
            <w:r>
              <w:rPr>
                <w:rFonts w:ascii="Arial" w:hAnsi="Arial"/>
                <w:sz w:val="20"/>
              </w:rPr>
            </w:r>
            <w:r>
              <w:rPr>
                <w:rFonts w:ascii="Arial" w:hAnsi="Arial"/>
                <w:sz w:val="20"/>
              </w:rPr>
              <w:t>core-mid → OTSG-mid</w:t>
            </w:r>
          </w:p>
        </w:tc>
      </w:tr>
      <w:tr>
        <w:tc>
          <w:tcPr>
            <w:tcW w:type="dxa" w:w="3135"/>
          </w:tcPr>
          <w:p>
            <w:r>
              <w:rPr>
                <w:rFonts w:ascii="Arial" w:hAnsi="Arial"/>
                <w:sz w:val="20"/>
              </w:rPr>
            </w:r>
            <w:r>
              <w:rPr>
                <w:rFonts w:ascii="Arial" w:hAnsi="Arial"/>
                <w:b/>
                <w:sz w:val="20"/>
              </w:rPr>
              <w:t>Driving head ΔP_driving</w:t>
            </w:r>
          </w:p>
        </w:tc>
        <w:tc>
          <w:tcPr>
            <w:tcW w:type="dxa" w:w="3135"/>
          </w:tcPr>
          <w:p>
            <w:r>
              <w:rPr>
                <w:rFonts w:ascii="Arial" w:hAnsi="Arial"/>
                <w:sz w:val="20"/>
              </w:rPr>
            </w:r>
            <w:r>
              <w:rPr>
                <w:rFonts w:ascii="Arial" w:hAnsi="Arial"/>
                <w:b/>
                <w:sz w:val="20"/>
              </w:rPr>
              <w:t>2.62 kPa</w:t>
            </w:r>
          </w:p>
        </w:tc>
        <w:tc>
          <w:tcPr>
            <w:tcW w:type="dxa" w:w="3135"/>
          </w:tcPr>
          <w:p>
            <w:r>
              <w:rPr>
                <w:rFonts w:ascii="Arial" w:hAnsi="Arial"/>
                <w:sz w:val="20"/>
              </w:rPr>
            </w:r>
            <w:r>
              <w:rPr>
                <w:rFonts w:ascii="Arial" w:hAnsi="Arial"/>
                <w:sz w:val="20"/>
              </w:rPr>
              <w:t>Δρ·g·H_th</w:t>
            </w:r>
          </w:p>
        </w:tc>
      </w:tr>
      <w:tr>
        <w:tc>
          <w:tcPr>
            <w:tcW w:type="dxa" w:w="3135"/>
          </w:tcPr>
          <w:p>
            <w:r>
              <w:rPr>
                <w:rFonts w:ascii="Arial" w:hAnsi="Arial"/>
                <w:sz w:val="20"/>
              </w:rPr>
            </w:r>
            <w:r>
              <w:rPr>
                <w:rFonts w:ascii="Arial" w:hAnsi="Arial"/>
                <w:sz w:val="20"/>
              </w:rPr>
              <w:t>Core coolant velocity</w:t>
            </w:r>
          </w:p>
        </w:tc>
        <w:tc>
          <w:tcPr>
            <w:tcW w:type="dxa" w:w="3135"/>
          </w:tcPr>
          <w:p>
            <w:r>
              <w:rPr>
                <w:rFonts w:ascii="Arial" w:hAnsi="Arial"/>
                <w:sz w:val="20"/>
              </w:rPr>
            </w:r>
            <w:r>
              <w:rPr>
                <w:rFonts w:ascii="Arial" w:hAnsi="Arial"/>
                <w:sz w:val="20"/>
              </w:rPr>
              <w:t>0.90 m/s</w:t>
            </w:r>
          </w:p>
        </w:tc>
        <w:tc>
          <w:tcPr>
            <w:tcW w:type="dxa" w:w="3135"/>
          </w:tcPr>
          <w:p>
            <w:r>
              <w:rPr>
                <w:rFonts w:ascii="Arial" w:hAnsi="Arial"/>
                <w:sz w:val="20"/>
              </w:rPr>
            </w:r>
            <w:r>
              <w:rPr>
                <w:rFonts w:ascii="Arial" w:hAnsi="Arial"/>
                <w:b/>
                <w:sz w:val="20"/>
              </w:rPr>
              <w:t>independent — from CFD</w:t>
            </w:r>
          </w:p>
        </w:tc>
      </w:tr>
      <w:tr>
        <w:tc>
          <w:tcPr>
            <w:tcW w:type="dxa" w:w="3135"/>
          </w:tcPr>
          <w:p>
            <w:r>
              <w:rPr>
                <w:rFonts w:ascii="Arial" w:hAnsi="Arial"/>
                <w:sz w:val="20"/>
              </w:rPr>
            </w:r>
            <w:r>
              <w:rPr>
                <w:rFonts w:ascii="Arial" w:hAnsi="Arial"/>
                <w:sz w:val="20"/>
              </w:rPr>
              <w:t>Implied core flow area</w:t>
            </w:r>
          </w:p>
        </w:tc>
        <w:tc>
          <w:tcPr>
            <w:tcW w:type="dxa" w:w="3135"/>
          </w:tcPr>
          <w:p>
            <w:r>
              <w:rPr>
                <w:rFonts w:ascii="Arial" w:hAnsi="Arial"/>
                <w:sz w:val="20"/>
              </w:rPr>
            </w:r>
            <w:r>
              <w:rPr>
                <w:rFonts w:ascii="Arial" w:hAnsi="Arial"/>
                <w:sz w:val="20"/>
              </w:rPr>
              <w:t>0.71 m²</w:t>
            </w:r>
          </w:p>
        </w:tc>
        <w:tc>
          <w:tcPr>
            <w:tcW w:type="dxa" w:w="3135"/>
          </w:tcPr>
          <w:p>
            <w:r>
              <w:rPr>
                <w:rFonts w:ascii="Arial" w:hAnsi="Arial"/>
                <w:sz w:val="20"/>
              </w:rPr>
            </w:r>
            <w:r>
              <w:rPr>
                <w:rFonts w:ascii="Arial" w:hAnsi="Arial"/>
                <w:sz w:val="20"/>
              </w:rPr>
              <w:t>ṁ/(ρ·v)</w:t>
            </w:r>
          </w:p>
        </w:tc>
      </w:tr>
      <w:tr>
        <w:tc>
          <w:tcPr>
            <w:tcW w:type="dxa" w:w="3135"/>
          </w:tcPr>
          <w:p>
            <w:r>
              <w:rPr>
                <w:rFonts w:ascii="Arial" w:hAnsi="Arial"/>
                <w:sz w:val="20"/>
              </w:rPr>
            </w:r>
            <w:r>
              <w:rPr>
                <w:rFonts w:ascii="Arial" w:hAnsi="Arial"/>
                <w:sz w:val="20"/>
              </w:rPr>
              <w:t>Sustained loop loss coeff. K_tot</w:t>
            </w:r>
          </w:p>
        </w:tc>
        <w:tc>
          <w:tcPr>
            <w:tcW w:type="dxa" w:w="3135"/>
          </w:tcPr>
          <w:p>
            <w:r>
              <w:rPr>
                <w:rFonts w:ascii="Arial" w:hAnsi="Arial"/>
                <w:sz w:val="20"/>
              </w:rPr>
            </w:r>
            <w:r>
              <w:rPr>
                <w:rFonts w:ascii="Arial" w:hAnsi="Arial"/>
                <w:b/>
                <w:sz w:val="20"/>
              </w:rPr>
              <w:t>≈ 8.6</w:t>
            </w:r>
          </w:p>
        </w:tc>
        <w:tc>
          <w:tcPr>
            <w:tcW w:type="dxa" w:w="3135"/>
          </w:tcPr>
          <w:p>
            <w:r>
              <w:rPr>
                <w:rFonts w:ascii="Arial" w:hAnsi="Arial"/>
                <w:sz w:val="20"/>
              </w:rPr>
            </w:r>
            <w:r>
              <w:rPr>
                <w:rFonts w:ascii="Arial" w:hAnsi="Arial"/>
                <w:sz w:val="20"/>
              </w:rPr>
              <w:t>ΔP_driving / (½ρv²)</w:t>
            </w:r>
          </w:p>
        </w:tc>
      </w:tr>
    </w:tbl>
    <w:p/>
    <w:p>
      <w:pPr>
        <w:jc w:val="both"/>
      </w:pPr>
      <w:r>
        <w:rPr>
          <w:rFonts w:ascii="Arial" w:hAnsi="Arial"/>
          <w:b/>
        </w:rPr>
        <w:t>Cross-validation.</w:t>
      </w:r>
      <w:r>
        <w:rPr>
          <w:rFonts w:ascii="Arial" w:hAnsi="Arial"/>
        </w:rPr>
        <w:t xml:space="preserve"> The 2.62 kPa buoyancy head supports the analysed 483 kg/s at exactly the 0.90 m/s core velocity the CFD reports, requiring a total loop-loss coefficient of ≈ 8.6 — a physically realistic value for a loop comprising core inlet/outlet, spacer grids, the riser turn-around, the OTSG tube bank, and the downcomer. The fact that the </w:t>
      </w:r>
      <w:r>
        <w:rPr>
          <w:rFonts w:ascii="Arial" w:hAnsi="Arial"/>
          <w:b/>
        </w:rPr>
        <w:t>independent loop momentum balance and the CFD velocity field agree</w:t>
      </w:r>
      <w:r>
        <w:rPr>
          <w:rFonts w:ascii="Arial" w:hAnsi="Arial"/>
        </w:rPr>
        <w:t xml:space="preserve"> is the primary evidence that the natural-circulation design removes 125 MWth as intended. *(Adilbek to replace K_tot ≈ 8.6 with the component-resolved loss tally — core grids, OTSG bundle, turn-around — to close the balance exactly.)*</w:t>
      </w:r>
    </w:p>
    <w:p>
      <w:pPr>
        <w:spacing w:before="200" w:after="80"/>
      </w:pPr>
      <w:r>
        <w:rPr>
          <w:rFonts w:ascii="Arial Black" w:hAnsi="Arial Black"/>
          <w:b/>
          <w:color w:val="1F4E79"/>
          <w:sz w:val="25"/>
        </w:rPr>
        <w:t>8.4.2.3 Self-regulation (load-following without pumps)</w:t>
      </w:r>
    </w:p>
    <w:p>
      <w:pPr>
        <w:jc w:val="both"/>
      </w:pPr>
      <w:r>
        <w:rPr>
          <w:rFonts w:ascii="Arial" w:hAnsi="Arial"/>
        </w:rPr>
        <w:t xml:space="preserve">Because the driving head scales with Δρ (≈ ΔT) and the losses scale with ṁ², the loop self-adjusts: a rise in power raises ΔT and buoyancy, which raises flow, which limits the temperature rise. The analysed mass-flow-versus-power relation follows </w:t>
      </w:r>
      <w:r>
        <w:rPr>
          <w:rFonts w:ascii="Arial" w:hAnsi="Arial"/>
          <w:b/>
        </w:rPr>
        <w:t>ṁ ∝ P^(1/3)</w:t>
      </w:r>
      <w:r>
        <w:rPr>
          <w:rFonts w:ascii="Arial" w:hAnsi="Arial"/>
        </w:rPr>
        <w:t xml:space="preserve"> (TH result, validated), the signature of single-phase natural circulation, so the reactor passively trims its own coolant flow to the power level with no operator or pump action.</w:t>
      </w:r>
    </w:p>
    <w:p>
      <w:pPr>
        <w:jc w:val="center"/>
      </w:pPr>
      <w:r>
        <w:drawing>
          <wp:inline xmlns:a="http://schemas.openxmlformats.org/drawingml/2006/main" xmlns:pic="http://schemas.openxmlformats.org/drawingml/2006/picture">
            <wp:extent cx="5486400" cy="3939064"/>
            <wp:docPr id="8" name="Picture 8"/>
            <wp:cNvGraphicFramePr>
              <a:graphicFrameLocks noChangeAspect="1"/>
            </wp:cNvGraphicFramePr>
            <a:graphic>
              <a:graphicData uri="http://schemas.openxmlformats.org/drawingml/2006/picture">
                <pic:pic>
                  <pic:nvPicPr>
                    <pic:cNvPr id="0" name="natcirc_self_regulation.png"/>
                    <pic:cNvPicPr/>
                  </pic:nvPicPr>
                  <pic:blipFill>
                    <a:blip r:embed="rId16"/>
                    <a:stretch>
                      <a:fillRect/>
                    </a:stretch>
                  </pic:blipFill>
                  <pic:spPr>
                    <a:xfrm>
                      <a:off x="0" y="0"/>
                      <a:ext cx="5486400" cy="3939064"/>
                    </a:xfrm>
                    <a:prstGeom prst="rect"/>
                  </pic:spPr>
                </pic:pic>
              </a:graphicData>
            </a:graphic>
          </wp:inline>
        </w:drawing>
      </w:r>
    </w:p>
    <w:p>
      <w:pPr>
        <w:jc w:val="center"/>
      </w:pPr>
      <w:r>
        <w:rPr>
          <w:i/>
          <w:color w:val="555555"/>
          <w:sz w:val="19"/>
        </w:rPr>
        <w:t>Figure 8.4-2. Pumpless self-regulation (`scripts/draw_natcirc_loop.py`). Because flow follows</w:t>
      </w:r>
    </w:p>
    <w:p>
      <w:pPr>
        <w:jc w:val="both"/>
      </w:pPr>
      <w:r>
        <w:rPr>
          <w:rFonts w:ascii="Arial" w:hAnsi="Arial"/>
        </w:rPr>
        <w:t>ṁ ∝ P^(1/3) rather than the linear forced-flow relation, the loop retains a large fraction of its flow as power drops (e.g. ~80 % flow at 50 % power), passively limiting the core temperature rise.</w:t>
      </w:r>
    </w:p>
    <w:p>
      <w:pPr>
        <w:jc w:val="both"/>
      </w:pPr>
      <w:r>
        <w:rPr>
          <w:rFonts w:ascii="Arial" w:hAnsi="Arial"/>
        </w:rPr>
        <w:t>---</w:t>
      </w:r>
    </w:p>
    <w:p>
      <w:pPr>
        <w:spacing w:before="200" w:after="80"/>
      </w:pPr>
      <w:r>
        <w:rPr>
          <w:rFonts w:ascii="Arial Black" w:hAnsi="Arial Black"/>
          <w:b/>
          <w:color w:val="1F4E79"/>
          <w:sz w:val="25"/>
        </w:rPr>
        <w:t>8.4.3 Secondary cooling system (OTSG and power conversion)</w:t>
      </w:r>
    </w:p>
    <w:p>
      <w:pPr>
        <w:jc w:val="both"/>
      </w:pPr>
      <w:r>
        <w:rPr>
          <w:rFonts w:ascii="Arial" w:hAnsi="Arial"/>
        </w:rPr>
        <w:t xml:space="preserve">The integral </w:t>
      </w:r>
      <w:r>
        <w:rPr>
          <w:rFonts w:ascii="Arial" w:hAnsi="Arial"/>
          <w:b/>
        </w:rPr>
        <w:t>once-through helical-coil steam generator (OTSG)</w:t>
      </w:r>
      <w:r>
        <w:rPr>
          <w:rFonts w:ascii="Arial" w:hAnsi="Arial"/>
        </w:rPr>
        <w:t xml:space="preserve"> is the single heat exchanger that crosses the pressure boundary, transferring the full 125 MWth from the primary shell side to the secondary feedwater/steam inside the coils. Feedwater enters subcooled, is economised, evaporated and superheated in one pass, and leaves as superheated steam to the turbine. The secondary side — steam conditions, regenerative feedwater heating, turbines, condenser, and the 40 MWe / 32 % net heat balance — is developed in full in </w:t>
      </w:r>
      <w:r>
        <w:rPr>
          <w:rFonts w:ascii="Arial" w:hAnsi="Arial"/>
          <w:b/>
        </w:rPr>
        <w:t>§8.9</w:t>
      </w:r>
      <w:r>
        <w:rPr>
          <w:rFonts w:ascii="Arial" w:hAnsi="Arial"/>
        </w:rPr>
        <w:t xml:space="preserve"> (state points in </w:t>
      </w:r>
      <w:r>
        <w:rPr>
          <w:rFonts w:ascii="Consolas" w:hAnsi="Consolas"/>
          <w:sz w:val="21"/>
        </w:rPr>
        <w:t>cycle/cycle_state_points.csv</w:t>
      </w:r>
      <w:r>
        <w:rPr>
          <w:rFonts w:ascii="Arial" w:hAnsi="Arial"/>
        </w:rPr>
        <w:t>). Only the primary-side OTSG duty and the coupling constraint are carried here (§8.4.6).</w:t>
      </w:r>
    </w:p>
    <w:p>
      <w:pPr>
        <w:jc w:val="both"/>
      </w:pPr>
      <w:r>
        <w:rPr>
          <w:rFonts w:ascii="Arial" w:hAnsi="Arial"/>
        </w:rPr>
        <w:t>---</w:t>
      </w:r>
    </w:p>
    <w:p>
      <w:pPr>
        <w:spacing w:before="200" w:after="80"/>
      </w:pPr>
      <w:r>
        <w:rPr>
          <w:rFonts w:ascii="Arial Black" w:hAnsi="Arial Black"/>
          <w:b/>
          <w:color w:val="1F4E79"/>
          <w:sz w:val="25"/>
        </w:rPr>
        <w:t>8.4.4 Associated and safety-related cooling systems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System</w:t>
            </w:r>
          </w:p>
        </w:tc>
        <w:tc>
          <w:tcPr>
            <w:tcW w:type="dxa" w:w="3135"/>
            <w:shd w:val="clear" w:fill="DDE3EA"/>
          </w:tcPr>
          <w:p>
            <w:r>
              <w:rPr>
                <w:rFonts w:ascii="Arial" w:hAnsi="Arial"/>
                <w:b/>
                <w:sz w:val="20"/>
              </w:rPr>
            </w:r>
            <w:r>
              <w:rPr>
                <w:rFonts w:ascii="Arial" w:hAnsi="Arial"/>
                <w:b/>
                <w:sz w:val="20"/>
              </w:rPr>
              <w:t>Function</w:t>
            </w:r>
          </w:p>
        </w:tc>
        <w:tc>
          <w:tcPr>
            <w:tcW w:type="dxa" w:w="3135"/>
            <w:shd w:val="clear" w:fill="DDE3EA"/>
          </w:tcPr>
          <w:p>
            <w:r>
              <w:rPr>
                <w:rFonts w:ascii="Arial" w:hAnsi="Arial"/>
                <w:b/>
                <w:sz w:val="20"/>
              </w:rPr>
            </w:r>
            <w:r>
              <w:rPr>
                <w:rFonts w:ascii="Arial" w:hAnsi="Arial"/>
                <w:b/>
                <w:sz w:val="20"/>
              </w:rPr>
              <w:t>Key characteristics</w:t>
            </w:r>
          </w:p>
        </w:tc>
      </w:tr>
      <w:tr>
        <w:tc>
          <w:tcPr>
            <w:tcW w:type="dxa" w:w="3135"/>
          </w:tcPr>
          <w:p>
            <w:r>
              <w:rPr>
                <w:rFonts w:ascii="Arial" w:hAnsi="Arial"/>
                <w:sz w:val="20"/>
              </w:rPr>
            </w:r>
            <w:r>
              <w:rPr>
                <w:rFonts w:ascii="Arial" w:hAnsi="Arial"/>
                <w:b/>
                <w:sz w:val="20"/>
              </w:rPr>
              <w:t>Passive decay-heat removal (DHRS)</w:t>
            </w:r>
          </w:p>
        </w:tc>
        <w:tc>
          <w:tcPr>
            <w:tcW w:type="dxa" w:w="3135"/>
          </w:tcPr>
          <w:p>
            <w:r>
              <w:rPr>
                <w:rFonts w:ascii="Arial" w:hAnsi="Arial"/>
                <w:sz w:val="20"/>
              </w:rPr>
            </w:r>
            <w:r>
              <w:rPr>
                <w:rFonts w:ascii="Arial" w:hAnsi="Arial"/>
                <w:sz w:val="20"/>
              </w:rPr>
              <w:t>Remove decay heat after trip / loss of the normal secondary heat sink, by natural circulation to an in-containment water tank — no AC power, no operator action</w:t>
            </w:r>
          </w:p>
        </w:tc>
        <w:tc>
          <w:tcPr>
            <w:tcW w:type="dxa" w:w="3135"/>
          </w:tcPr>
          <w:p>
            <w:r>
              <w:rPr>
                <w:rFonts w:ascii="Arial" w:hAnsi="Arial"/>
                <w:sz w:val="20"/>
              </w:rPr>
            </w:r>
            <w:r>
              <w:rPr>
                <w:rFonts w:ascii="Arial" w:hAnsi="Arial"/>
                <w:sz w:val="20"/>
              </w:rPr>
              <w:t>Sized to ≥ 105 % of the 1 s post-scram decay heat (</w:t>
            </w:r>
            <w:r>
              <w:rPr>
                <w:rFonts w:ascii="Consolas" w:hAnsi="Consolas"/>
                <w:sz w:val="20"/>
              </w:rPr>
              <w:t>prhr_capacity</w:t>
            </w:r>
            <w:r>
              <w:rPr>
                <w:rFonts w:ascii="Arial" w:hAnsi="Arial"/>
                <w:sz w:val="20"/>
              </w:rPr>
              <w:t xml:space="preserve"> criterion); supports the ≥ 72 h (target unlimited) grace period — quantified in </w:t>
            </w:r>
            <w:r>
              <w:rPr>
                <w:rFonts w:ascii="Arial" w:hAnsi="Arial"/>
                <w:b/>
                <w:sz w:val="20"/>
              </w:rPr>
              <w:t>§8.5/§8.6</w:t>
            </w:r>
          </w:p>
        </w:tc>
      </w:tr>
      <w:tr>
        <w:tc>
          <w:tcPr>
            <w:tcW w:type="dxa" w:w="3135"/>
          </w:tcPr>
          <w:p>
            <w:r>
              <w:rPr>
                <w:rFonts w:ascii="Arial" w:hAnsi="Arial"/>
                <w:sz w:val="20"/>
              </w:rPr>
            </w:r>
            <w:r>
              <w:rPr>
                <w:rFonts w:ascii="Arial" w:hAnsi="Arial"/>
                <w:b/>
                <w:sz w:val="20"/>
              </w:rPr>
              <w:t>Self-pressurizer</w:t>
            </w:r>
          </w:p>
        </w:tc>
        <w:tc>
          <w:tcPr>
            <w:tcW w:type="dxa" w:w="3135"/>
          </w:tcPr>
          <w:p>
            <w:r>
              <w:rPr>
                <w:rFonts w:ascii="Arial" w:hAnsi="Arial"/>
                <w:sz w:val="20"/>
              </w:rPr>
            </w:r>
            <w:r>
              <w:rPr>
                <w:rFonts w:ascii="Arial" w:hAnsi="Arial"/>
                <w:sz w:val="20"/>
              </w:rPr>
              <w:t>Maintain 12.8 MPa primary pressure via the integral top steam dome (electric heaters + spray), absorbing load swings</w:t>
            </w:r>
          </w:p>
        </w:tc>
        <w:tc>
          <w:tcPr>
            <w:tcW w:type="dxa" w:w="3135"/>
          </w:tcPr>
          <w:p>
            <w:r>
              <w:rPr>
                <w:rFonts w:ascii="Arial" w:hAnsi="Arial"/>
                <w:sz w:val="20"/>
              </w:rPr>
            </w:r>
            <w:r>
              <w:rPr>
                <w:rFonts w:ascii="Arial" w:hAnsi="Arial"/>
                <w:sz w:val="20"/>
              </w:rPr>
              <w:t>In-vessel dome, 8 sheathed heaters, surge connection (</w:t>
            </w:r>
            <w:r>
              <w:rPr>
                <w:rFonts w:ascii="Consolas" w:hAnsi="Consolas"/>
                <w:sz w:val="20"/>
              </w:rPr>
              <w:t>aegis_rpv.step</w:t>
            </w:r>
            <w:r>
              <w:rPr>
                <w:rFonts w:ascii="Arial" w:hAnsi="Arial"/>
                <w:sz w:val="20"/>
              </w:rPr>
              <w:t>)</w:t>
            </w:r>
          </w:p>
        </w:tc>
      </w:tr>
      <w:tr>
        <w:tc>
          <w:tcPr>
            <w:tcW w:type="dxa" w:w="3135"/>
          </w:tcPr>
          <w:p>
            <w:r>
              <w:rPr>
                <w:rFonts w:ascii="Arial" w:hAnsi="Arial"/>
                <w:sz w:val="20"/>
              </w:rPr>
            </w:r>
            <w:r>
              <w:rPr>
                <w:rFonts w:ascii="Arial" w:hAnsi="Arial"/>
                <w:b/>
                <w:sz w:val="20"/>
              </w:rPr>
              <w:t>Chemical &amp; Volume Control (CVCS)</w:t>
            </w:r>
          </w:p>
        </w:tc>
        <w:tc>
          <w:tcPr>
            <w:tcW w:type="dxa" w:w="3135"/>
          </w:tcPr>
          <w:p>
            <w:r>
              <w:rPr>
                <w:rFonts w:ascii="Arial" w:hAnsi="Arial"/>
                <w:sz w:val="20"/>
              </w:rPr>
            </w:r>
            <w:r>
              <w:rPr>
                <w:rFonts w:ascii="Arial" w:hAnsi="Arial"/>
                <w:sz w:val="20"/>
              </w:rPr>
              <w:t>Primary inventory makeup/letdown, coolant chemistry; no boration (boron-free core)</w:t>
            </w:r>
          </w:p>
        </w:tc>
        <w:tc>
          <w:tcPr>
            <w:tcW w:type="dxa" w:w="3135"/>
          </w:tcPr>
          <w:p>
            <w:r>
              <w:rPr>
                <w:rFonts w:ascii="Arial" w:hAnsi="Arial"/>
                <w:sz w:val="20"/>
              </w:rPr>
            </w:r>
            <w:r>
              <w:rPr>
                <w:rFonts w:ascii="Arial" w:hAnsi="Arial"/>
                <w:sz w:val="20"/>
              </w:rPr>
              <w:t>Small lines penetrating the vessel (no large primary penetrations → large-break LOCA design-eliminated)</w:t>
            </w:r>
          </w:p>
        </w:tc>
      </w:tr>
      <w:tr>
        <w:tc>
          <w:tcPr>
            <w:tcW w:type="dxa" w:w="3135"/>
          </w:tcPr>
          <w:p>
            <w:r>
              <w:rPr>
                <w:rFonts w:ascii="Arial" w:hAnsi="Arial"/>
                <w:sz w:val="20"/>
              </w:rPr>
            </w:r>
            <w:r>
              <w:rPr>
                <w:rFonts w:ascii="Arial" w:hAnsi="Arial"/>
                <w:b/>
                <w:sz w:val="20"/>
              </w:rPr>
              <w:t>Seawater once-through / ultimate heat sink</w:t>
            </w:r>
          </w:p>
        </w:tc>
        <w:tc>
          <w:tcPr>
            <w:tcW w:type="dxa" w:w="3135"/>
          </w:tcPr>
          <w:p>
            <w:r>
              <w:rPr>
                <w:rFonts w:ascii="Arial" w:hAnsi="Arial"/>
                <w:sz w:val="20"/>
              </w:rPr>
            </w:r>
            <w:r>
              <w:rPr>
                <w:rFonts w:ascii="Arial" w:hAnsi="Arial"/>
                <w:sz w:val="20"/>
              </w:rPr>
              <w:t>Reject 82.6 MWth condenser heat to the Black Sea (Sinop)</w:t>
            </w:r>
          </w:p>
        </w:tc>
        <w:tc>
          <w:tcPr>
            <w:tcW w:type="dxa" w:w="3135"/>
          </w:tcPr>
          <w:p>
            <w:r>
              <w:rPr>
                <w:rFonts w:ascii="Arial" w:hAnsi="Arial"/>
                <w:sz w:val="20"/>
              </w:rPr>
            </w:r>
            <w:r>
              <w:rPr>
                <w:rFonts w:ascii="Arial" w:hAnsi="Arial"/>
                <w:sz w:val="20"/>
              </w:rPr>
              <w:t>Once-through seawater, ~2,065 kg/s (≈ 2.0 m³/s) intake, ΔT ≤ 10 K outfall; multiport diffuser → far-field rise ≤ 0.2 K (≤ 3 K cap); no evaporative water consumption (</w:t>
            </w:r>
            <w:r>
              <w:rPr>
                <w:rFonts w:ascii="Arial" w:hAnsi="Arial"/>
                <w:b/>
                <w:sz w:val="20"/>
              </w:rPr>
              <w:t>→§8.9</w:t>
            </w:r>
            <w:r>
              <w:rPr>
                <w:rFonts w:ascii="Arial" w:hAnsi="Arial"/>
                <w:sz w:val="20"/>
              </w:rPr>
              <w:t xml:space="preserve">, </w:t>
            </w:r>
            <w:r>
              <w:rPr>
                <w:rFonts w:ascii="Consolas" w:hAnsi="Consolas"/>
                <w:sz w:val="20"/>
              </w:rPr>
              <w:t>scripts/seawater_heat_sink.py</w:t>
            </w:r>
            <w:r>
              <w:rPr>
                <w:rFonts w:ascii="Arial" w:hAnsi="Arial"/>
                <w:sz w:val="20"/>
              </w:rPr>
              <w:t>)</w:t>
            </w:r>
          </w:p>
        </w:tc>
      </w:tr>
    </w:tbl>
    <w:p/>
    <w:p>
      <w:pPr>
        <w:jc w:val="both"/>
      </w:pPr>
      <w:r>
        <w:rPr>
          <w:rFonts w:ascii="Arial" w:hAnsi="Arial"/>
        </w:rPr>
        <w:t xml:space="preserve">The DHRS and self-pressurizer are the safety-relevant cooling functions; both are </w:t>
      </w:r>
      <w:r>
        <w:rPr>
          <w:rFonts w:ascii="Arial" w:hAnsi="Arial"/>
          <w:b/>
        </w:rPr>
        <w:t>passive or fail-safe</w:t>
      </w:r>
      <w:r>
        <w:rPr>
          <w:rFonts w:ascii="Arial" w:hAnsi="Arial"/>
        </w:rPr>
        <w:t xml:space="preserve"> and underpin the defense-in-depth levels 3–4 of </w:t>
      </w:r>
      <w:r>
        <w:rPr>
          <w:rFonts w:ascii="Consolas" w:hAnsi="Consolas"/>
          <w:sz w:val="21"/>
        </w:rPr>
        <w:t>safety_criteria.yaml</w:t>
      </w:r>
      <w:r>
        <w:rPr>
          <w:rFonts w:ascii="Arial" w:hAnsi="Arial"/>
        </w:rPr>
        <w:t>.</w:t>
      </w:r>
    </w:p>
    <w:p>
      <w:pPr>
        <w:jc w:val="both"/>
      </w:pPr>
      <w:r>
        <w:rPr>
          <w:rFonts w:ascii="Arial" w:hAnsi="Arial"/>
        </w:rPr>
        <w:t>---</w:t>
      </w:r>
    </w:p>
    <w:p>
      <w:pPr>
        <w:spacing w:before="200" w:after="80"/>
      </w:pPr>
      <w:r>
        <w:rPr>
          <w:rFonts w:ascii="Arial Black" w:hAnsi="Arial Black"/>
          <w:b/>
          <w:color w:val="1F4E79"/>
          <w:sz w:val="25"/>
        </w:rPr>
        <w:t>8.4.5 Components — functions, properties, capacities, materials</w:t>
      </w:r>
    </w:p>
    <w:p>
      <w:pPr>
        <w:spacing w:before="40"/>
        <w:ind w:left="340"/>
      </w:pPr>
      <w:r>
        <w:rPr>
          <w:rFonts w:ascii="Arial" w:hAnsi="Arial"/>
          <w:i/>
          <w:color w:val="555555"/>
          <w:sz w:val="21"/>
        </w:rPr>
        <w:t xml:space="preserve">▸ </w:t>
      </w:r>
      <w:r>
        <w:rPr>
          <w:rFonts w:ascii="Arial" w:hAnsi="Arial"/>
          <w:i/>
          <w:color w:val="555555"/>
          <w:sz w:val="21"/>
        </w:rPr>
        <w:t xml:space="preserve">Last column: pressure-boundary and safety-related components are designed to </w:t>
      </w:r>
      <w:r>
        <w:rPr>
          <w:rFonts w:ascii="Arial" w:hAnsi="Arial"/>
          <w:b/>
          <w:i/>
          <w:color w:val="555555"/>
          <w:sz w:val="21"/>
        </w:rPr>
        <w:t>ASME Boiler &amp; Pressure Vessel Code Section III</w:t>
      </w:r>
      <w:r>
        <w:rPr>
          <w:rFonts w:ascii="Arial" w:hAnsi="Arial"/>
          <w:i/>
          <w:color w:val="555555"/>
          <w:sz w:val="21"/>
        </w:rPr>
        <w:t xml:space="preserve"> (nuclear); balance-of-plant components to </w:t>
      </w:r>
      <w:r>
        <w:rPr>
          <w:rFonts w:ascii="Arial" w:hAnsi="Arial"/>
          <w:b/>
          <w:i/>
          <w:color w:val="555555"/>
          <w:sz w:val="21"/>
        </w:rPr>
        <w:t>ASME Section VIII / ASME B31.1</w:t>
      </w:r>
      <w:r>
        <w:rPr>
          <w:rFonts w:ascii="Arial" w:hAnsi="Arial"/>
          <w:i/>
          <w:color w:val="555555"/>
          <w:sz w:val="21"/>
        </w:rPr>
        <w:t xml:space="preserve"> (non-nuclear). All materials are PWR-proven and qualified for the full operating envelope (normal, AOO, and design-basis accident temperatures/pressures).</w:t>
      </w:r>
    </w:p>
    <w:p>
      <w:pPr>
        <w:spacing w:before="200" w:after="80"/>
      </w:pPr>
      <w:r>
        <w:rPr>
          <w:rFonts w:ascii="Arial Black" w:hAnsi="Arial Black"/>
          <w:b/>
          <w:color w:val="1F4E79"/>
          <w:sz w:val="28"/>
        </w:rPr>
        <w:t>Primary / nuclear components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fill="DDE3EA"/>
          </w:tcPr>
          <w:p>
            <w:r>
              <w:rPr>
                <w:rFonts w:ascii="Arial" w:hAnsi="Arial"/>
                <w:b/>
                <w:sz w:val="20"/>
              </w:rPr>
            </w:r>
            <w:r>
              <w:rPr>
                <w:rFonts w:ascii="Arial" w:hAnsi="Arial"/>
                <w:b/>
                <w:sz w:val="20"/>
              </w:rPr>
              <w:t>Component</w:t>
            </w:r>
          </w:p>
        </w:tc>
        <w:tc>
          <w:tcPr>
            <w:tcW w:type="dxa" w:w="1881"/>
            <w:shd w:val="clear" w:fill="DDE3EA"/>
          </w:tcPr>
          <w:p>
            <w:r>
              <w:rPr>
                <w:rFonts w:ascii="Arial" w:hAnsi="Arial"/>
                <w:b/>
                <w:sz w:val="20"/>
              </w:rPr>
            </w:r>
            <w:r>
              <w:rPr>
                <w:rFonts w:ascii="Arial" w:hAnsi="Arial"/>
                <w:b/>
                <w:sz w:val="20"/>
              </w:rPr>
              <w:t>Function</w:t>
            </w:r>
          </w:p>
        </w:tc>
        <w:tc>
          <w:tcPr>
            <w:tcW w:type="dxa" w:w="1881"/>
            <w:shd w:val="clear" w:fill="DDE3EA"/>
          </w:tcPr>
          <w:p>
            <w:r>
              <w:rPr>
                <w:rFonts w:ascii="Arial" w:hAnsi="Arial"/>
                <w:b/>
                <w:sz w:val="20"/>
              </w:rPr>
            </w:r>
            <w:r>
              <w:rPr>
                <w:rFonts w:ascii="Arial" w:hAnsi="Arial"/>
                <w:b/>
                <w:sz w:val="20"/>
              </w:rPr>
              <w:t>Capacity / key parameters</w:t>
            </w:r>
          </w:p>
        </w:tc>
        <w:tc>
          <w:tcPr>
            <w:tcW w:type="dxa" w:w="1881"/>
            <w:shd w:val="clear" w:fill="DDE3EA"/>
          </w:tcPr>
          <w:p>
            <w:r>
              <w:rPr>
                <w:rFonts w:ascii="Arial" w:hAnsi="Arial"/>
                <w:b/>
                <w:sz w:val="20"/>
              </w:rPr>
            </w:r>
            <w:r>
              <w:rPr>
                <w:rFonts w:ascii="Arial" w:hAnsi="Arial"/>
                <w:b/>
                <w:sz w:val="20"/>
              </w:rPr>
              <w:t>Material</w:t>
            </w:r>
          </w:p>
        </w:tc>
        <w:tc>
          <w:tcPr>
            <w:tcW w:type="dxa" w:w="1881"/>
            <w:shd w:val="clear" w:fill="DDE3EA"/>
          </w:tcPr>
          <w:p>
            <w:r>
              <w:rPr>
                <w:rFonts w:ascii="Arial" w:hAnsi="Arial"/>
                <w:b/>
                <w:sz w:val="20"/>
              </w:rPr>
            </w:r>
            <w:r>
              <w:rPr>
                <w:rFonts w:ascii="Arial" w:hAnsi="Arial"/>
                <w:b/>
                <w:sz w:val="20"/>
              </w:rPr>
              <w:t>Code</w:t>
            </w:r>
          </w:p>
        </w:tc>
      </w:tr>
      <w:tr>
        <w:tc>
          <w:tcPr>
            <w:tcW w:type="dxa" w:w="1881"/>
          </w:tcPr>
          <w:p>
            <w:r>
              <w:rPr>
                <w:rFonts w:ascii="Arial" w:hAnsi="Arial"/>
                <w:sz w:val="20"/>
              </w:rPr>
            </w:r>
            <w:r>
              <w:rPr>
                <w:rFonts w:ascii="Arial" w:hAnsi="Arial"/>
                <w:sz w:val="20"/>
              </w:rPr>
              <w:t>Reactor pressure vessel (RPV)</w:t>
            </w:r>
          </w:p>
        </w:tc>
        <w:tc>
          <w:tcPr>
            <w:tcW w:type="dxa" w:w="1881"/>
          </w:tcPr>
          <w:p>
            <w:r>
              <w:rPr>
                <w:rFonts w:ascii="Arial" w:hAnsi="Arial"/>
                <w:sz w:val="20"/>
              </w:rPr>
            </w:r>
            <w:r>
              <w:rPr>
                <w:rFonts w:ascii="Arial" w:hAnsi="Arial"/>
                <w:sz w:val="20"/>
              </w:rPr>
              <w:t>Primary pressure boundary; houses all primary components</w:t>
            </w:r>
          </w:p>
        </w:tc>
        <w:tc>
          <w:tcPr>
            <w:tcW w:type="dxa" w:w="1881"/>
          </w:tcPr>
          <w:p>
            <w:r>
              <w:rPr>
                <w:rFonts w:ascii="Arial" w:hAnsi="Arial"/>
                <w:sz w:val="20"/>
              </w:rPr>
            </w:r>
            <w:r>
              <w:rPr>
                <w:rFonts w:ascii="Arial" w:hAnsi="Arial"/>
                <w:sz w:val="20"/>
              </w:rPr>
              <w:t xml:space="preserve">ID 2800 mm, wall 160 mm, ~7.2 m cyl. + heads; 12.8 MPa op / ≈14.1 MPa design; </w:t>
            </w:r>
            <w:r>
              <w:rPr>
                <w:rFonts w:ascii="Arial" w:hAnsi="Arial"/>
                <w:b/>
                <w:sz w:val="20"/>
              </w:rPr>
              <w:t>60-year design life</w:t>
            </w:r>
          </w:p>
        </w:tc>
        <w:tc>
          <w:tcPr>
            <w:tcW w:type="dxa" w:w="1881"/>
          </w:tcPr>
          <w:p>
            <w:r>
              <w:rPr>
                <w:rFonts w:ascii="Arial" w:hAnsi="Arial"/>
                <w:sz w:val="20"/>
              </w:rPr>
            </w:r>
            <w:r>
              <w:rPr>
                <w:rFonts w:ascii="Arial" w:hAnsi="Arial"/>
                <w:sz w:val="20"/>
              </w:rPr>
              <w:t>SA-508 Gr.3 Cl.1 forgings (SA-533B plate), SS weld-overlay clad</w:t>
            </w:r>
          </w:p>
        </w:tc>
        <w:tc>
          <w:tcPr>
            <w:tcW w:type="dxa" w:w="1881"/>
          </w:tcPr>
          <w:p>
            <w:r>
              <w:rPr>
                <w:rFonts w:ascii="Arial" w:hAnsi="Arial"/>
                <w:sz w:val="20"/>
              </w:rPr>
            </w:r>
            <w:r>
              <w:rPr>
                <w:rFonts w:ascii="Arial" w:hAnsi="Arial"/>
                <w:sz w:val="20"/>
              </w:rPr>
              <w:t>ASME III Div.1, Class 1 (NB)</w:t>
            </w:r>
          </w:p>
        </w:tc>
      </w:tr>
      <w:tr>
        <w:tc>
          <w:tcPr>
            <w:tcW w:type="dxa" w:w="1881"/>
          </w:tcPr>
          <w:p>
            <w:r>
              <w:rPr>
                <w:rFonts w:ascii="Arial" w:hAnsi="Arial"/>
                <w:sz w:val="20"/>
              </w:rPr>
            </w:r>
            <w:r>
              <w:rPr>
                <w:rFonts w:ascii="Arial" w:hAnsi="Arial"/>
                <w:sz w:val="20"/>
              </w:rPr>
              <w:t>Core barrel / riser</w:t>
            </w:r>
          </w:p>
        </w:tc>
        <w:tc>
          <w:tcPr>
            <w:tcW w:type="dxa" w:w="1881"/>
          </w:tcPr>
          <w:p>
            <w:r>
              <w:rPr>
                <w:rFonts w:ascii="Arial" w:hAnsi="Arial"/>
                <w:sz w:val="20"/>
              </w:rPr>
            </w:r>
            <w:r>
              <w:rPr>
                <w:rFonts w:ascii="Arial" w:hAnsi="Arial"/>
                <w:sz w:val="20"/>
              </w:rPr>
              <w:t>Separate hot riser flow from cold downcomer; guide natural circulation</w:t>
            </w:r>
          </w:p>
        </w:tc>
        <w:tc>
          <w:tcPr>
            <w:tcW w:type="dxa" w:w="1881"/>
          </w:tcPr>
          <w:p>
            <w:r>
              <w:rPr>
                <w:rFonts w:ascii="Arial" w:hAnsi="Arial"/>
                <w:sz w:val="20"/>
              </w:rPr>
            </w:r>
            <w:r>
              <w:rPr>
                <w:rFonts w:ascii="Arial" w:hAnsi="Arial"/>
                <w:sz w:val="20"/>
              </w:rPr>
              <w:t>Riser R 560 mm, wall 30 mm</w:t>
            </w:r>
          </w:p>
        </w:tc>
        <w:tc>
          <w:tcPr>
            <w:tcW w:type="dxa" w:w="1881"/>
          </w:tcPr>
          <w:p>
            <w:r>
              <w:rPr>
                <w:rFonts w:ascii="Arial" w:hAnsi="Arial"/>
                <w:sz w:val="20"/>
              </w:rPr>
            </w:r>
            <w:r>
              <w:rPr>
                <w:rFonts w:ascii="Arial" w:hAnsi="Arial"/>
                <w:sz w:val="20"/>
              </w:rPr>
              <w:t>SS-304/316L</w:t>
            </w:r>
          </w:p>
        </w:tc>
        <w:tc>
          <w:tcPr>
            <w:tcW w:type="dxa" w:w="1881"/>
          </w:tcPr>
          <w:p>
            <w:r>
              <w:rPr>
                <w:rFonts w:ascii="Arial" w:hAnsi="Arial"/>
                <w:sz w:val="20"/>
              </w:rPr>
            </w:r>
            <w:r>
              <w:rPr>
                <w:rFonts w:ascii="Arial" w:hAnsi="Arial"/>
                <w:sz w:val="20"/>
              </w:rPr>
              <w:t>ASME III, NG</w:t>
            </w:r>
          </w:p>
        </w:tc>
      </w:tr>
      <w:tr>
        <w:tc>
          <w:tcPr>
            <w:tcW w:type="dxa" w:w="1881"/>
          </w:tcPr>
          <w:p>
            <w:r>
              <w:rPr>
                <w:rFonts w:ascii="Arial" w:hAnsi="Arial"/>
                <w:sz w:val="20"/>
              </w:rPr>
            </w:r>
            <w:r>
              <w:rPr>
                <w:rFonts w:ascii="Arial" w:hAnsi="Arial"/>
                <w:sz w:val="20"/>
              </w:rPr>
              <w:t>OTSG (helical coil)</w:t>
            </w:r>
          </w:p>
        </w:tc>
        <w:tc>
          <w:tcPr>
            <w:tcW w:type="dxa" w:w="1881"/>
          </w:tcPr>
          <w:p>
            <w:r>
              <w:rPr>
                <w:rFonts w:ascii="Arial" w:hAnsi="Arial"/>
                <w:sz w:val="20"/>
              </w:rPr>
            </w:r>
            <w:r>
              <w:rPr>
                <w:rFonts w:ascii="Arial" w:hAnsi="Arial"/>
                <w:sz w:val="20"/>
              </w:rPr>
              <w:t>Transfer 125 MWth primary→secondary; generate superheated steam</w:t>
            </w:r>
          </w:p>
        </w:tc>
        <w:tc>
          <w:tcPr>
            <w:tcW w:type="dxa" w:w="1881"/>
          </w:tcPr>
          <w:p>
            <w:r>
              <w:rPr>
                <w:rFonts w:ascii="Arial" w:hAnsi="Arial"/>
                <w:sz w:val="20"/>
              </w:rPr>
            </w:r>
            <w:r>
              <w:rPr>
                <w:rFonts w:ascii="Arial" w:hAnsi="Arial"/>
                <w:sz w:val="20"/>
              </w:rPr>
              <w:t>125 MWth; 6 radial coil layers (R 665–1075 mm), helical bundle, primary shell side / secondary tube side</w:t>
            </w:r>
          </w:p>
        </w:tc>
        <w:tc>
          <w:tcPr>
            <w:tcW w:type="dxa" w:w="1881"/>
          </w:tcPr>
          <w:p>
            <w:r>
              <w:rPr>
                <w:rFonts w:ascii="Arial" w:hAnsi="Arial"/>
                <w:sz w:val="20"/>
              </w:rPr>
            </w:r>
            <w:r>
              <w:rPr>
                <w:rFonts w:ascii="Arial" w:hAnsi="Arial"/>
                <w:sz w:val="20"/>
              </w:rPr>
              <w:t>Inconel-690 TT tubes; SS shroud/tubesheets</w:t>
            </w:r>
          </w:p>
        </w:tc>
        <w:tc>
          <w:tcPr>
            <w:tcW w:type="dxa" w:w="1881"/>
          </w:tcPr>
          <w:p>
            <w:r>
              <w:rPr>
                <w:rFonts w:ascii="Arial" w:hAnsi="Arial"/>
                <w:sz w:val="20"/>
              </w:rPr>
            </w:r>
            <w:r>
              <w:rPr>
                <w:rFonts w:ascii="Arial" w:hAnsi="Arial"/>
                <w:sz w:val="20"/>
              </w:rPr>
              <w:t>ASME III, Class 1</w:t>
            </w:r>
          </w:p>
        </w:tc>
      </w:tr>
      <w:tr>
        <w:tc>
          <w:tcPr>
            <w:tcW w:type="dxa" w:w="1881"/>
          </w:tcPr>
          <w:p>
            <w:r>
              <w:rPr>
                <w:rFonts w:ascii="Arial" w:hAnsi="Arial"/>
                <w:sz w:val="20"/>
              </w:rPr>
            </w:r>
            <w:r>
              <w:rPr>
                <w:rFonts w:ascii="Arial" w:hAnsi="Arial"/>
                <w:sz w:val="20"/>
              </w:rPr>
              <w:t>Self-pressurizer</w:t>
            </w:r>
          </w:p>
        </w:tc>
        <w:tc>
          <w:tcPr>
            <w:tcW w:type="dxa" w:w="1881"/>
          </w:tcPr>
          <w:p>
            <w:r>
              <w:rPr>
                <w:rFonts w:ascii="Arial" w:hAnsi="Arial"/>
                <w:sz w:val="20"/>
              </w:rPr>
            </w:r>
            <w:r>
              <w:rPr>
                <w:rFonts w:ascii="Arial" w:hAnsi="Arial"/>
                <w:sz w:val="20"/>
              </w:rPr>
              <w:t>Maintain/regulate primary pressure</w:t>
            </w:r>
          </w:p>
        </w:tc>
        <w:tc>
          <w:tcPr>
            <w:tcW w:type="dxa" w:w="1881"/>
          </w:tcPr>
          <w:p>
            <w:r>
              <w:rPr>
                <w:rFonts w:ascii="Arial" w:hAnsi="Arial"/>
                <w:sz w:val="20"/>
              </w:rPr>
            </w:r>
            <w:r>
              <w:rPr>
                <w:rFonts w:ascii="Arial" w:hAnsi="Arial"/>
                <w:sz w:val="20"/>
              </w:rPr>
              <w:t>Integral top dome, 8 heaters; surge line</w:t>
            </w:r>
          </w:p>
        </w:tc>
        <w:tc>
          <w:tcPr>
            <w:tcW w:type="dxa" w:w="1881"/>
          </w:tcPr>
          <w:p>
            <w:r>
              <w:rPr>
                <w:rFonts w:ascii="Arial" w:hAnsi="Arial"/>
                <w:sz w:val="20"/>
              </w:rPr>
            </w:r>
            <w:r>
              <w:rPr>
                <w:rFonts w:ascii="Arial" w:hAnsi="Arial"/>
                <w:sz w:val="20"/>
              </w:rPr>
              <w:t>SA-508 dome; Incoloy-800-sheathed heaters</w:t>
            </w:r>
          </w:p>
        </w:tc>
        <w:tc>
          <w:tcPr>
            <w:tcW w:type="dxa" w:w="1881"/>
          </w:tcPr>
          <w:p>
            <w:r>
              <w:rPr>
                <w:rFonts w:ascii="Arial" w:hAnsi="Arial"/>
                <w:sz w:val="20"/>
              </w:rPr>
            </w:r>
            <w:r>
              <w:rPr>
                <w:rFonts w:ascii="Arial" w:hAnsi="Arial"/>
                <w:sz w:val="20"/>
              </w:rPr>
              <w:t>ASME III, Class 1</w:t>
            </w:r>
          </w:p>
        </w:tc>
      </w:tr>
      <w:tr>
        <w:tc>
          <w:tcPr>
            <w:tcW w:type="dxa" w:w="1881"/>
          </w:tcPr>
          <w:p>
            <w:r>
              <w:rPr>
                <w:rFonts w:ascii="Arial" w:hAnsi="Arial"/>
                <w:sz w:val="20"/>
              </w:rPr>
            </w:r>
            <w:r>
              <w:rPr>
                <w:rFonts w:ascii="Arial" w:hAnsi="Arial"/>
                <w:sz w:val="20"/>
              </w:rPr>
              <w:t>In-vessel CRDM</w:t>
            </w:r>
          </w:p>
        </w:tc>
        <w:tc>
          <w:tcPr>
            <w:tcW w:type="dxa" w:w="1881"/>
          </w:tcPr>
          <w:p>
            <w:r>
              <w:rPr>
                <w:rFonts w:ascii="Arial" w:hAnsi="Arial"/>
                <w:sz w:val="20"/>
              </w:rPr>
            </w:r>
            <w:r>
              <w:rPr>
                <w:rFonts w:ascii="Arial" w:hAnsi="Arial"/>
                <w:sz w:val="20"/>
              </w:rPr>
              <w:t>Reactivity control (in-vessel, no head penetrations)</w:t>
            </w:r>
          </w:p>
        </w:tc>
        <w:tc>
          <w:tcPr>
            <w:tcW w:type="dxa" w:w="1881"/>
          </w:tcPr>
          <w:p>
            <w:r>
              <w:rPr>
                <w:rFonts w:ascii="Arial" w:hAnsi="Arial"/>
                <w:sz w:val="20"/>
              </w:rPr>
            </w:r>
            <w:r>
              <w:rPr>
                <w:rFonts w:ascii="Arial" w:hAnsi="Arial"/>
                <w:sz w:val="20"/>
              </w:rPr>
              <w:t>9 units</w:t>
            </w:r>
          </w:p>
        </w:tc>
        <w:tc>
          <w:tcPr>
            <w:tcW w:type="dxa" w:w="1881"/>
          </w:tcPr>
          <w:p>
            <w:r>
              <w:rPr>
                <w:rFonts w:ascii="Arial" w:hAnsi="Arial"/>
                <w:sz w:val="20"/>
              </w:rPr>
            </w:r>
            <w:r>
              <w:rPr>
                <w:rFonts w:ascii="Arial" w:hAnsi="Arial"/>
                <w:sz w:val="20"/>
              </w:rPr>
              <w:t>SS / Inconel</w:t>
            </w:r>
          </w:p>
        </w:tc>
        <w:tc>
          <w:tcPr>
            <w:tcW w:type="dxa" w:w="1881"/>
          </w:tcPr>
          <w:p>
            <w:r>
              <w:rPr>
                <w:rFonts w:ascii="Arial" w:hAnsi="Arial"/>
                <w:sz w:val="20"/>
              </w:rPr>
            </w:r>
            <w:r>
              <w:rPr>
                <w:rFonts w:ascii="Arial" w:hAnsi="Arial"/>
                <w:sz w:val="20"/>
              </w:rPr>
              <w:t>ASME III</w:t>
            </w:r>
          </w:p>
        </w:tc>
      </w:tr>
      <w:tr>
        <w:tc>
          <w:tcPr>
            <w:tcW w:type="dxa" w:w="1881"/>
          </w:tcPr>
          <w:p>
            <w:r>
              <w:rPr>
                <w:rFonts w:ascii="Arial" w:hAnsi="Arial"/>
                <w:sz w:val="20"/>
              </w:rPr>
            </w:r>
            <w:r>
              <w:rPr>
                <w:rFonts w:ascii="Arial" w:hAnsi="Arial"/>
                <w:sz w:val="20"/>
              </w:rPr>
              <w:t>Core support / flow plates</w:t>
            </w:r>
          </w:p>
        </w:tc>
        <w:tc>
          <w:tcPr>
            <w:tcW w:type="dxa" w:w="1881"/>
          </w:tcPr>
          <w:p>
            <w:r>
              <w:rPr>
                <w:rFonts w:ascii="Arial" w:hAnsi="Arial"/>
                <w:sz w:val="20"/>
              </w:rPr>
            </w:r>
            <w:r>
              <w:rPr>
                <w:rFonts w:ascii="Arial" w:hAnsi="Arial"/>
                <w:sz w:val="20"/>
              </w:rPr>
              <w:t>Locate core, distribute lower-plenum flow</w:t>
            </w:r>
          </w:p>
        </w:tc>
        <w:tc>
          <w:tcPr>
            <w:tcW w:type="dxa" w:w="1881"/>
          </w:tcPr>
          <w:p>
            <w:r>
              <w:rPr>
                <w:rFonts w:ascii="Arial" w:hAnsi="Arial"/>
                <w:sz w:val="20"/>
              </w:rPr>
            </w:r>
            <w:r>
              <w:rPr>
                <w:rFonts w:ascii="Arial" w:hAnsi="Arial"/>
                <w:sz w:val="20"/>
              </w:rPr>
              <w:t>lower + upper support plates, flow distributor</w:t>
            </w:r>
          </w:p>
        </w:tc>
        <w:tc>
          <w:tcPr>
            <w:tcW w:type="dxa" w:w="1881"/>
          </w:tcPr>
          <w:p>
            <w:r>
              <w:rPr>
                <w:rFonts w:ascii="Arial" w:hAnsi="Arial"/>
                <w:sz w:val="20"/>
              </w:rPr>
            </w:r>
            <w:r>
              <w:rPr>
                <w:rFonts w:ascii="Arial" w:hAnsi="Arial"/>
                <w:sz w:val="20"/>
              </w:rPr>
              <w:t>SS-304</w:t>
            </w:r>
          </w:p>
        </w:tc>
        <w:tc>
          <w:tcPr>
            <w:tcW w:type="dxa" w:w="1881"/>
          </w:tcPr>
          <w:p>
            <w:r>
              <w:rPr>
                <w:rFonts w:ascii="Arial" w:hAnsi="Arial"/>
                <w:sz w:val="20"/>
              </w:rPr>
            </w:r>
            <w:r>
              <w:rPr>
                <w:rFonts w:ascii="Arial" w:hAnsi="Arial"/>
                <w:sz w:val="20"/>
              </w:rPr>
              <w:t>ASME III, NG</w:t>
            </w:r>
          </w:p>
        </w:tc>
      </w:tr>
      <w:tr>
        <w:tc>
          <w:tcPr>
            <w:tcW w:type="dxa" w:w="1881"/>
          </w:tcPr>
          <w:p>
            <w:r>
              <w:rPr>
                <w:rFonts w:ascii="Arial" w:hAnsi="Arial"/>
                <w:sz w:val="20"/>
              </w:rPr>
            </w:r>
            <w:r>
              <w:rPr>
                <w:rFonts w:ascii="Arial" w:hAnsi="Arial"/>
                <w:sz w:val="20"/>
              </w:rPr>
              <w:t>DHRS heat exchanger</w:t>
            </w:r>
          </w:p>
        </w:tc>
        <w:tc>
          <w:tcPr>
            <w:tcW w:type="dxa" w:w="1881"/>
          </w:tcPr>
          <w:p>
            <w:r>
              <w:rPr>
                <w:rFonts w:ascii="Arial" w:hAnsi="Arial"/>
                <w:sz w:val="20"/>
              </w:rPr>
            </w:r>
            <w:r>
              <w:rPr>
                <w:rFonts w:ascii="Arial" w:hAnsi="Arial"/>
                <w:sz w:val="20"/>
              </w:rPr>
              <w:t>Passive decay-heat removal to heat-sink tank</w:t>
            </w:r>
          </w:p>
        </w:tc>
        <w:tc>
          <w:tcPr>
            <w:tcW w:type="dxa" w:w="1881"/>
          </w:tcPr>
          <w:p>
            <w:r>
              <w:rPr>
                <w:rFonts w:ascii="Arial" w:hAnsi="Arial"/>
                <w:sz w:val="20"/>
              </w:rPr>
            </w:r>
            <w:r>
              <w:rPr>
                <w:rFonts w:ascii="Arial" w:hAnsi="Arial"/>
                <w:sz w:val="20"/>
              </w:rPr>
              <w:t>≥ 105 % of 1 s decay heat</w:t>
            </w:r>
          </w:p>
        </w:tc>
        <w:tc>
          <w:tcPr>
            <w:tcW w:type="dxa" w:w="1881"/>
          </w:tcPr>
          <w:p>
            <w:r>
              <w:rPr>
                <w:rFonts w:ascii="Arial" w:hAnsi="Arial"/>
                <w:sz w:val="20"/>
              </w:rPr>
            </w:r>
            <w:r>
              <w:rPr>
                <w:rFonts w:ascii="Arial" w:hAnsi="Arial"/>
                <w:sz w:val="20"/>
              </w:rPr>
              <w:t>SS / Inconel</w:t>
            </w:r>
          </w:p>
        </w:tc>
        <w:tc>
          <w:tcPr>
            <w:tcW w:type="dxa" w:w="1881"/>
          </w:tcPr>
          <w:p>
            <w:r>
              <w:rPr>
                <w:rFonts w:ascii="Arial" w:hAnsi="Arial"/>
                <w:sz w:val="20"/>
              </w:rPr>
            </w:r>
            <w:r>
              <w:rPr>
                <w:rFonts w:ascii="Arial" w:hAnsi="Arial"/>
                <w:sz w:val="20"/>
              </w:rPr>
              <w:t>ASME III, Class 2</w:t>
            </w:r>
          </w:p>
        </w:tc>
      </w:tr>
    </w:tbl>
    <w:p/>
    <w:p>
      <w:pPr>
        <w:spacing w:before="200" w:after="80"/>
      </w:pPr>
      <w:r>
        <w:rPr>
          <w:rFonts w:ascii="Arial Black" w:hAnsi="Arial Black"/>
          <w:b/>
          <w:color w:val="1F4E79"/>
          <w:sz w:val="28"/>
        </w:rPr>
        <w:t>Secondary / balance-of-plant components (capacities from §8.9 heat balance)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fill="DDE3EA"/>
          </w:tcPr>
          <w:p>
            <w:r>
              <w:rPr>
                <w:rFonts w:ascii="Arial" w:hAnsi="Arial"/>
                <w:b/>
                <w:sz w:val="20"/>
              </w:rPr>
            </w:r>
            <w:r>
              <w:rPr>
                <w:rFonts w:ascii="Arial" w:hAnsi="Arial"/>
                <w:b/>
                <w:sz w:val="20"/>
              </w:rPr>
              <w:t>Component</w:t>
            </w:r>
          </w:p>
        </w:tc>
        <w:tc>
          <w:tcPr>
            <w:tcW w:type="dxa" w:w="1881"/>
            <w:shd w:val="clear" w:fill="DDE3EA"/>
          </w:tcPr>
          <w:p>
            <w:r>
              <w:rPr>
                <w:rFonts w:ascii="Arial" w:hAnsi="Arial"/>
                <w:b/>
                <w:sz w:val="20"/>
              </w:rPr>
            </w:r>
            <w:r>
              <w:rPr>
                <w:rFonts w:ascii="Arial" w:hAnsi="Arial"/>
                <w:b/>
                <w:sz w:val="20"/>
              </w:rPr>
              <w:t>Function</w:t>
            </w:r>
          </w:p>
        </w:tc>
        <w:tc>
          <w:tcPr>
            <w:tcW w:type="dxa" w:w="1881"/>
            <w:shd w:val="clear" w:fill="DDE3EA"/>
          </w:tcPr>
          <w:p>
            <w:r>
              <w:rPr>
                <w:rFonts w:ascii="Arial" w:hAnsi="Arial"/>
                <w:b/>
                <w:sz w:val="20"/>
              </w:rPr>
            </w:r>
            <w:r>
              <w:rPr>
                <w:rFonts w:ascii="Arial" w:hAnsi="Arial"/>
                <w:b/>
                <w:sz w:val="20"/>
              </w:rPr>
              <w:t>Capacity / key parameters</w:t>
            </w:r>
          </w:p>
        </w:tc>
        <w:tc>
          <w:tcPr>
            <w:tcW w:type="dxa" w:w="1881"/>
            <w:shd w:val="clear" w:fill="DDE3EA"/>
          </w:tcPr>
          <w:p>
            <w:r>
              <w:rPr>
                <w:rFonts w:ascii="Arial" w:hAnsi="Arial"/>
                <w:b/>
                <w:sz w:val="20"/>
              </w:rPr>
            </w:r>
            <w:r>
              <w:rPr>
                <w:rFonts w:ascii="Arial" w:hAnsi="Arial"/>
                <w:b/>
                <w:sz w:val="20"/>
              </w:rPr>
              <w:t>Material</w:t>
            </w:r>
          </w:p>
        </w:tc>
        <w:tc>
          <w:tcPr>
            <w:tcW w:type="dxa" w:w="1881"/>
            <w:shd w:val="clear" w:fill="DDE3EA"/>
          </w:tcPr>
          <w:p>
            <w:r>
              <w:rPr>
                <w:rFonts w:ascii="Arial" w:hAnsi="Arial"/>
                <w:b/>
                <w:sz w:val="20"/>
              </w:rPr>
            </w:r>
            <w:r>
              <w:rPr>
                <w:rFonts w:ascii="Arial" w:hAnsi="Arial"/>
                <w:b/>
                <w:sz w:val="20"/>
              </w:rPr>
              <w:t>Code</w:t>
            </w:r>
          </w:p>
        </w:tc>
      </w:tr>
      <w:tr>
        <w:tc>
          <w:tcPr>
            <w:tcW w:type="dxa" w:w="1881"/>
          </w:tcPr>
          <w:p>
            <w:r>
              <w:rPr>
                <w:rFonts w:ascii="Arial" w:hAnsi="Arial"/>
                <w:sz w:val="20"/>
              </w:rPr>
            </w:r>
            <w:r>
              <w:rPr>
                <w:rFonts w:ascii="Arial" w:hAnsi="Arial"/>
                <w:sz w:val="20"/>
              </w:rPr>
              <w:t>HP / LP turbine + generator</w:t>
            </w:r>
          </w:p>
        </w:tc>
        <w:tc>
          <w:tcPr>
            <w:tcW w:type="dxa" w:w="1881"/>
          </w:tcPr>
          <w:p>
            <w:r>
              <w:rPr>
                <w:rFonts w:ascii="Arial" w:hAnsi="Arial"/>
                <w:sz w:val="20"/>
              </w:rPr>
            </w:r>
            <w:r>
              <w:rPr>
                <w:rFonts w:ascii="Arial" w:hAnsi="Arial"/>
                <w:sz w:val="20"/>
              </w:rPr>
              <w:t>Expand steam → 40 MWe</w:t>
            </w:r>
          </w:p>
        </w:tc>
        <w:tc>
          <w:tcPr>
            <w:tcW w:type="dxa" w:w="1881"/>
          </w:tcPr>
          <w:p>
            <w:r>
              <w:rPr>
                <w:rFonts w:ascii="Arial" w:hAnsi="Arial"/>
                <w:sz w:val="20"/>
              </w:rPr>
            </w:r>
            <w:r>
              <w:rPr>
                <w:rFonts w:ascii="Arial" w:hAnsi="Arial"/>
                <w:sz w:val="20"/>
              </w:rPr>
              <w:t>58.3 kg/s steam in; gross ≈ 42.5 MWe</w:t>
            </w:r>
          </w:p>
        </w:tc>
        <w:tc>
          <w:tcPr>
            <w:tcW w:type="dxa" w:w="1881"/>
          </w:tcPr>
          <w:p>
            <w:r>
              <w:rPr>
                <w:rFonts w:ascii="Arial" w:hAnsi="Arial"/>
                <w:sz w:val="20"/>
              </w:rPr>
            </w:r>
            <w:r>
              <w:rPr>
                <w:rFonts w:ascii="Arial" w:hAnsi="Arial"/>
                <w:sz w:val="20"/>
              </w:rPr>
              <w:t>Cr-steel rotors, SS blading</w:t>
            </w:r>
          </w:p>
        </w:tc>
        <w:tc>
          <w:tcPr>
            <w:tcW w:type="dxa" w:w="1881"/>
          </w:tcPr>
          <w:p>
            <w:r>
              <w:rPr>
                <w:rFonts w:ascii="Arial" w:hAnsi="Arial"/>
                <w:sz w:val="20"/>
              </w:rPr>
            </w:r>
            <w:r>
              <w:rPr>
                <w:rFonts w:ascii="Arial" w:hAnsi="Arial"/>
                <w:sz w:val="20"/>
              </w:rPr>
              <w:t>ASME / IEC</w:t>
            </w:r>
          </w:p>
        </w:tc>
      </w:tr>
      <w:tr>
        <w:tc>
          <w:tcPr>
            <w:tcW w:type="dxa" w:w="1881"/>
          </w:tcPr>
          <w:p>
            <w:r>
              <w:rPr>
                <w:rFonts w:ascii="Arial" w:hAnsi="Arial"/>
                <w:sz w:val="20"/>
              </w:rPr>
            </w:r>
            <w:r>
              <w:rPr>
                <w:rFonts w:ascii="Arial" w:hAnsi="Arial"/>
                <w:sz w:val="20"/>
              </w:rPr>
              <w:t>Moisture separator</w:t>
            </w:r>
          </w:p>
        </w:tc>
        <w:tc>
          <w:tcPr>
            <w:tcW w:type="dxa" w:w="1881"/>
          </w:tcPr>
          <w:p>
            <w:r>
              <w:rPr>
                <w:rFonts w:ascii="Arial" w:hAnsi="Arial"/>
                <w:sz w:val="20"/>
              </w:rPr>
            </w:r>
            <w:r>
              <w:rPr>
                <w:rFonts w:ascii="Arial" w:hAnsi="Arial"/>
                <w:sz w:val="20"/>
              </w:rPr>
              <w:t>Dry crossover steam (blade-erosion limit)</w:t>
            </w:r>
          </w:p>
        </w:tc>
        <w:tc>
          <w:tcPr>
            <w:tcW w:type="dxa" w:w="1881"/>
          </w:tcPr>
          <w:p>
            <w:r>
              <w:rPr>
                <w:rFonts w:ascii="Arial" w:hAnsi="Arial"/>
                <w:sz w:val="20"/>
              </w:rPr>
            </w:r>
            <w:r>
              <w:rPr>
                <w:rFonts w:ascii="Arial" w:hAnsi="Arial"/>
                <w:sz w:val="20"/>
              </w:rPr>
              <w:t>holds last-stage moisture ≤ 10.8 %</w:t>
            </w:r>
          </w:p>
        </w:tc>
        <w:tc>
          <w:tcPr>
            <w:tcW w:type="dxa" w:w="1881"/>
          </w:tcPr>
          <w:p>
            <w:r>
              <w:rPr>
                <w:rFonts w:ascii="Arial" w:hAnsi="Arial"/>
                <w:sz w:val="20"/>
              </w:rPr>
            </w:r>
            <w:r>
              <w:rPr>
                <w:rFonts w:ascii="Arial" w:hAnsi="Arial"/>
                <w:sz w:val="20"/>
              </w:rPr>
              <w:t>SS</w:t>
            </w:r>
          </w:p>
        </w:tc>
        <w:tc>
          <w:tcPr>
            <w:tcW w:type="dxa" w:w="1881"/>
          </w:tcPr>
          <w:p>
            <w:r>
              <w:rPr>
                <w:rFonts w:ascii="Arial" w:hAnsi="Arial"/>
                <w:sz w:val="20"/>
              </w:rPr>
            </w:r>
            <w:r>
              <w:rPr>
                <w:rFonts w:ascii="Arial" w:hAnsi="Arial"/>
                <w:sz w:val="20"/>
              </w:rPr>
              <w:t>B31.1</w:t>
            </w:r>
          </w:p>
        </w:tc>
      </w:tr>
      <w:tr>
        <w:tc>
          <w:tcPr>
            <w:tcW w:type="dxa" w:w="1881"/>
          </w:tcPr>
          <w:p>
            <w:r>
              <w:rPr>
                <w:rFonts w:ascii="Arial" w:hAnsi="Arial"/>
                <w:sz w:val="20"/>
              </w:rPr>
            </w:r>
            <w:r>
              <w:rPr>
                <w:rFonts w:ascii="Arial" w:hAnsi="Arial"/>
                <w:sz w:val="20"/>
              </w:rPr>
              <w:t>Condenser</w:t>
            </w:r>
          </w:p>
        </w:tc>
        <w:tc>
          <w:tcPr>
            <w:tcW w:type="dxa" w:w="1881"/>
          </w:tcPr>
          <w:p>
            <w:r>
              <w:rPr>
                <w:rFonts w:ascii="Arial" w:hAnsi="Arial"/>
                <w:sz w:val="20"/>
              </w:rPr>
            </w:r>
            <w:r>
              <w:rPr>
                <w:rFonts w:ascii="Arial" w:hAnsi="Arial"/>
                <w:sz w:val="20"/>
              </w:rPr>
              <w:t>Condense LP exhaust; reject 82.6 MWth</w:t>
            </w:r>
          </w:p>
        </w:tc>
        <w:tc>
          <w:tcPr>
            <w:tcW w:type="dxa" w:w="1881"/>
          </w:tcPr>
          <w:p>
            <w:r>
              <w:rPr>
                <w:rFonts w:ascii="Arial" w:hAnsi="Arial"/>
                <w:sz w:val="20"/>
              </w:rPr>
            </w:r>
            <w:r>
              <w:rPr>
                <w:rFonts w:ascii="Arial" w:hAnsi="Arial"/>
                <w:sz w:val="20"/>
              </w:rPr>
              <w:t>7 kPa, Tsat 39 °C; ~2,065 kg/s once-through seawater</w:t>
            </w:r>
          </w:p>
        </w:tc>
        <w:tc>
          <w:tcPr>
            <w:tcW w:type="dxa" w:w="1881"/>
          </w:tcPr>
          <w:p>
            <w:r>
              <w:rPr>
                <w:rFonts w:ascii="Arial" w:hAnsi="Arial"/>
                <w:sz w:val="20"/>
              </w:rPr>
            </w:r>
            <w:r>
              <w:rPr>
                <w:rFonts w:ascii="Arial" w:hAnsi="Arial"/>
                <w:sz w:val="20"/>
              </w:rPr>
              <w:t>Ti / SS tubes, CS shell</w:t>
            </w:r>
          </w:p>
        </w:tc>
        <w:tc>
          <w:tcPr>
            <w:tcW w:type="dxa" w:w="1881"/>
          </w:tcPr>
          <w:p>
            <w:r>
              <w:rPr>
                <w:rFonts w:ascii="Arial" w:hAnsi="Arial"/>
                <w:sz w:val="20"/>
              </w:rPr>
            </w:r>
            <w:r>
              <w:rPr>
                <w:rFonts w:ascii="Arial" w:hAnsi="Arial"/>
                <w:sz w:val="20"/>
              </w:rPr>
              <w:t>ASME VIII</w:t>
            </w:r>
          </w:p>
        </w:tc>
      </w:tr>
      <w:tr>
        <w:tc>
          <w:tcPr>
            <w:tcW w:type="dxa" w:w="1881"/>
          </w:tcPr>
          <w:p>
            <w:r>
              <w:rPr>
                <w:rFonts w:ascii="Arial" w:hAnsi="Arial"/>
                <w:sz w:val="20"/>
              </w:rPr>
            </w:r>
            <w:r>
              <w:rPr>
                <w:rFonts w:ascii="Arial" w:hAnsi="Arial"/>
                <w:sz w:val="20"/>
              </w:rPr>
              <w:t>Deaerator (FWH-2) / FWH-1</w:t>
            </w:r>
          </w:p>
        </w:tc>
        <w:tc>
          <w:tcPr>
            <w:tcW w:type="dxa" w:w="1881"/>
          </w:tcPr>
          <w:p>
            <w:r>
              <w:rPr>
                <w:rFonts w:ascii="Arial" w:hAnsi="Arial"/>
                <w:sz w:val="20"/>
              </w:rPr>
            </w:r>
            <w:r>
              <w:rPr>
                <w:rFonts w:ascii="Arial" w:hAnsi="Arial"/>
                <w:sz w:val="20"/>
              </w:rPr>
              <w:t>Regenerative feed heating to 180 °C; deaeration</w:t>
            </w:r>
          </w:p>
        </w:tc>
        <w:tc>
          <w:tcPr>
            <w:tcW w:type="dxa" w:w="1881"/>
          </w:tcPr>
          <w:p>
            <w:r>
              <w:rPr>
                <w:rFonts w:ascii="Arial" w:hAnsi="Arial"/>
                <w:sz w:val="20"/>
              </w:rPr>
            </w:r>
            <w:r>
              <w:rPr>
                <w:rFonts w:ascii="Arial" w:hAnsi="Arial"/>
                <w:sz w:val="20"/>
              </w:rPr>
              <w:t>open FWHs, 0.15 / 1.0 MPa</w:t>
            </w:r>
          </w:p>
        </w:tc>
        <w:tc>
          <w:tcPr>
            <w:tcW w:type="dxa" w:w="1881"/>
          </w:tcPr>
          <w:p>
            <w:r>
              <w:rPr>
                <w:rFonts w:ascii="Arial" w:hAnsi="Arial"/>
                <w:sz w:val="20"/>
              </w:rPr>
            </w:r>
            <w:r>
              <w:rPr>
                <w:rFonts w:ascii="Arial" w:hAnsi="Arial"/>
                <w:sz w:val="20"/>
              </w:rPr>
              <w:t>CS</w:t>
            </w:r>
          </w:p>
        </w:tc>
        <w:tc>
          <w:tcPr>
            <w:tcW w:type="dxa" w:w="1881"/>
          </w:tcPr>
          <w:p>
            <w:r>
              <w:rPr>
                <w:rFonts w:ascii="Arial" w:hAnsi="Arial"/>
                <w:sz w:val="20"/>
              </w:rPr>
            </w:r>
            <w:r>
              <w:rPr>
                <w:rFonts w:ascii="Arial" w:hAnsi="Arial"/>
                <w:sz w:val="20"/>
              </w:rPr>
              <w:t>ASME VIII</w:t>
            </w:r>
          </w:p>
        </w:tc>
      </w:tr>
      <w:tr>
        <w:tc>
          <w:tcPr>
            <w:tcW w:type="dxa" w:w="1881"/>
          </w:tcPr>
          <w:p>
            <w:r>
              <w:rPr>
                <w:rFonts w:ascii="Arial" w:hAnsi="Arial"/>
                <w:sz w:val="20"/>
              </w:rPr>
            </w:r>
            <w:r>
              <w:rPr>
                <w:rFonts w:ascii="Arial" w:hAnsi="Arial"/>
                <w:sz w:val="20"/>
              </w:rPr>
              <w:t>Main feed / condensate / booster pumps</w:t>
            </w:r>
          </w:p>
        </w:tc>
        <w:tc>
          <w:tcPr>
            <w:tcW w:type="dxa" w:w="1881"/>
          </w:tcPr>
          <w:p>
            <w:r>
              <w:rPr>
                <w:rFonts w:ascii="Arial" w:hAnsi="Arial"/>
                <w:sz w:val="20"/>
              </w:rPr>
            </w:r>
            <w:r>
              <w:rPr>
                <w:rFonts w:ascii="Arial" w:hAnsi="Arial"/>
                <w:sz w:val="20"/>
              </w:rPr>
              <w:t>Return feedwater to OTSG at 4.5 MPa</w:t>
            </w:r>
          </w:p>
        </w:tc>
        <w:tc>
          <w:tcPr>
            <w:tcW w:type="dxa" w:w="1881"/>
          </w:tcPr>
          <w:p>
            <w:r>
              <w:rPr>
                <w:rFonts w:ascii="Arial" w:hAnsi="Arial"/>
                <w:sz w:val="20"/>
              </w:rPr>
            </w:r>
            <w:r>
              <w:rPr>
                <w:rFonts w:ascii="Arial" w:hAnsi="Arial"/>
                <w:sz w:val="20"/>
              </w:rPr>
              <w:t>≈ 0.36 MWe total pump load</w:t>
            </w:r>
          </w:p>
        </w:tc>
        <w:tc>
          <w:tcPr>
            <w:tcW w:type="dxa" w:w="1881"/>
          </w:tcPr>
          <w:p>
            <w:r>
              <w:rPr>
                <w:rFonts w:ascii="Arial" w:hAnsi="Arial"/>
                <w:sz w:val="20"/>
              </w:rPr>
            </w:r>
            <w:r>
              <w:rPr>
                <w:rFonts w:ascii="Arial" w:hAnsi="Arial"/>
                <w:sz w:val="20"/>
              </w:rPr>
              <w:t>CS / SS</w:t>
            </w:r>
          </w:p>
        </w:tc>
        <w:tc>
          <w:tcPr>
            <w:tcW w:type="dxa" w:w="1881"/>
          </w:tcPr>
          <w:p>
            <w:r>
              <w:rPr>
                <w:rFonts w:ascii="Arial" w:hAnsi="Arial"/>
                <w:sz w:val="20"/>
              </w:rPr>
            </w:r>
            <w:r>
              <w:rPr>
                <w:rFonts w:ascii="Arial" w:hAnsi="Arial"/>
                <w:sz w:val="20"/>
              </w:rPr>
              <w:t>B31.1</w:t>
            </w:r>
          </w:p>
        </w:tc>
      </w:tr>
      <w:tr>
        <w:tc>
          <w:tcPr>
            <w:tcW w:type="dxa" w:w="1881"/>
          </w:tcPr>
          <w:p>
            <w:r>
              <w:rPr>
                <w:rFonts w:ascii="Arial" w:hAnsi="Arial"/>
                <w:sz w:val="20"/>
              </w:rPr>
            </w:r>
            <w:r>
              <w:rPr>
                <w:rFonts w:ascii="Arial" w:hAnsi="Arial"/>
                <w:sz w:val="20"/>
              </w:rPr>
              <w:t>Main-steam isolation &amp; safety/relief valves</w:t>
            </w:r>
          </w:p>
        </w:tc>
        <w:tc>
          <w:tcPr>
            <w:tcW w:type="dxa" w:w="1881"/>
          </w:tcPr>
          <w:p>
            <w:r>
              <w:rPr>
                <w:rFonts w:ascii="Arial" w:hAnsi="Arial"/>
                <w:sz w:val="20"/>
              </w:rPr>
            </w:r>
            <w:r>
              <w:rPr>
                <w:rFonts w:ascii="Arial" w:hAnsi="Arial"/>
                <w:sz w:val="20"/>
              </w:rPr>
              <w:t>Isolate / overpressure-protect secondary</w:t>
            </w:r>
          </w:p>
        </w:tc>
        <w:tc>
          <w:tcPr>
            <w:tcW w:type="dxa" w:w="1881"/>
          </w:tcPr>
          <w:p>
            <w:r>
              <w:rPr>
                <w:rFonts w:ascii="Arial" w:hAnsi="Arial"/>
                <w:sz w:val="20"/>
              </w:rPr>
            </w:r>
            <w:r>
              <w:rPr>
                <w:rFonts w:ascii="Arial" w:hAnsi="Arial"/>
                <w:sz w:val="20"/>
              </w:rPr>
              <w:t>per setpoints (</w:t>
            </w:r>
            <w:r>
              <w:rPr>
                <w:rFonts w:ascii="Consolas" w:hAnsi="Consolas"/>
                <w:sz w:val="20"/>
              </w:rPr>
              <w:t>trip_signals</w:t>
            </w:r>
            <w:r>
              <w:rPr>
                <w:rFonts w:ascii="Arial" w:hAnsi="Arial"/>
                <w:sz w:val="20"/>
              </w:rPr>
              <w:t>)</w:t>
            </w:r>
          </w:p>
        </w:tc>
        <w:tc>
          <w:tcPr>
            <w:tcW w:type="dxa" w:w="1881"/>
          </w:tcPr>
          <w:p>
            <w:r>
              <w:rPr>
                <w:rFonts w:ascii="Arial" w:hAnsi="Arial"/>
                <w:sz w:val="20"/>
              </w:rPr>
            </w:r>
            <w:r>
              <w:rPr>
                <w:rFonts w:ascii="Arial" w:hAnsi="Arial"/>
                <w:sz w:val="20"/>
              </w:rPr>
              <w:t>SS / CS</w:t>
            </w:r>
          </w:p>
        </w:tc>
        <w:tc>
          <w:tcPr>
            <w:tcW w:type="dxa" w:w="1881"/>
          </w:tcPr>
          <w:p>
            <w:r>
              <w:rPr>
                <w:rFonts w:ascii="Arial" w:hAnsi="Arial"/>
                <w:sz w:val="20"/>
              </w:rPr>
            </w:r>
            <w:r>
              <w:rPr>
                <w:rFonts w:ascii="Arial" w:hAnsi="Arial"/>
                <w:sz w:val="20"/>
              </w:rPr>
              <w:t>ASME III/VIII</w:t>
            </w:r>
          </w:p>
        </w:tc>
      </w:tr>
    </w:tbl>
    <w:p/>
    <w:p>
      <w:pPr>
        <w:jc w:val="both"/>
      </w:pPr>
      <w:r>
        <w:rPr>
          <w:rFonts w:ascii="Arial" w:hAnsi="Arial"/>
        </w:rPr>
        <w:t>---</w:t>
      </w:r>
    </w:p>
    <w:p>
      <w:pPr>
        <w:spacing w:before="200" w:after="80"/>
      </w:pPr>
      <w:r>
        <w:rPr>
          <w:rFonts w:ascii="Arial Black" w:hAnsi="Arial Black"/>
          <w:b/>
          <w:color w:val="1F4E79"/>
          <w:sz w:val="25"/>
        </w:rPr>
        <w:t>8.4.6 Heat-removal capacity — analyses and methods</w:t>
      </w:r>
    </w:p>
    <w:p>
      <w:pPr>
        <w:jc w:val="both"/>
      </w:pPr>
      <w:r>
        <w:rPr>
          <w:rFonts w:ascii="Arial" w:hAnsi="Arial"/>
          <w:b/>
        </w:rPr>
        <w:t>Methods (all literature-accepted):</w:t>
      </w:r>
    </w:p>
    <w:p>
      <w:pPr>
        <w:pStyle w:val="ListBullet"/>
        <w:jc w:val="both"/>
      </w:pPr>
      <w:r>
        <w:rPr>
          <w:rFonts w:ascii="Arial" w:hAnsi="Arial"/>
          <w:b/>
        </w:rPr>
        <w:t>Natural-circulation loop momentum balance</w:t>
      </w:r>
      <w:r>
        <w:rPr>
          <w:rFonts w:ascii="Arial" w:hAnsi="Arial"/>
        </w:rPr>
        <w:t xml:space="preserve"> (Todreas &amp; Kazimi) — §8.4.2.2, ΔP_driving vs Σ losses.</w:t>
      </w:r>
    </w:p>
    <w:p>
      <w:pPr>
        <w:pStyle w:val="ListBullet"/>
        <w:jc w:val="both"/>
      </w:pPr>
      <w:r>
        <w:rPr>
          <w:rFonts w:ascii="Arial" w:hAnsi="Arial"/>
          <w:b/>
        </w:rPr>
        <w:t>W-3 critical-heat-flux correlation</w:t>
      </w:r>
      <w:r>
        <w:rPr>
          <w:rFonts w:ascii="Arial" w:hAnsi="Arial"/>
        </w:rPr>
        <w:t xml:space="preserve"> (Tong) for departure-from-nucleate-boiling / MDNBR.</w:t>
      </w:r>
    </w:p>
    <w:p>
      <w:pPr>
        <w:pStyle w:val="ListBullet"/>
        <w:jc w:val="both"/>
      </w:pPr>
      <w:r>
        <w:rPr>
          <w:rFonts w:ascii="Arial" w:hAnsi="Arial"/>
          <w:b/>
        </w:rPr>
        <w:t>Dittus–Boelter / Gnielinski</w:t>
      </w:r>
      <w:r>
        <w:rPr>
          <w:rFonts w:ascii="Arial" w:hAnsi="Arial"/>
        </w:rPr>
        <w:t xml:space="preserve"> single-phase convection (CFD validation benchmark).</w:t>
      </w:r>
    </w:p>
    <w:p>
      <w:pPr>
        <w:pStyle w:val="ListBullet"/>
        <w:jc w:val="both"/>
      </w:pPr>
      <w:r>
        <w:rPr>
          <w:rFonts w:ascii="Arial" w:hAnsi="Arial"/>
          <w:b/>
        </w:rPr>
        <w:t>ANS-5.1</w:t>
      </w:r>
      <w:r>
        <w:rPr>
          <w:rFonts w:ascii="Arial" w:hAnsi="Arial"/>
        </w:rPr>
        <w:t xml:space="preserve"> decay-heat standard for post-shutdown heat-removal sizing.</w:t>
      </w:r>
    </w:p>
    <w:p>
      <w:pPr>
        <w:pStyle w:val="ListBullet"/>
        <w:jc w:val="both"/>
      </w:pPr>
      <w:r>
        <w:rPr>
          <w:rFonts w:ascii="Arial" w:hAnsi="Arial"/>
          <w:b/>
        </w:rPr>
        <w:t>IAPWS-IF97</w:t>
      </w:r>
      <w:r>
        <w:rPr>
          <w:rFonts w:ascii="Arial" w:hAnsi="Arial"/>
        </w:rPr>
        <w:t xml:space="preserve"> water/steam properties throughout (</w:t>
      </w:r>
      <w:r>
        <w:rPr>
          <w:rFonts w:ascii="Consolas" w:hAnsi="Consolas"/>
          <w:sz w:val="21"/>
        </w:rPr>
        <w:t>natcirc_primary.py</w:t>
      </w:r>
      <w:r>
        <w:rPr>
          <w:rFonts w:ascii="Arial" w:hAnsi="Arial"/>
        </w:rPr>
        <w:t xml:space="preserve">, </w:t>
      </w:r>
      <w:r>
        <w:rPr>
          <w:rFonts w:ascii="Consolas" w:hAnsi="Consolas"/>
          <w:sz w:val="21"/>
        </w:rPr>
        <w:t>thermo_cycle.py</w:t>
      </w:r>
      <w:r>
        <w:rPr>
          <w:rFonts w:ascii="Arial" w:hAnsi="Arial"/>
        </w:rPr>
        <w:t>).</w:t>
      </w:r>
    </w:p>
    <w:p>
      <w:pPr>
        <w:pStyle w:val="ListBullet"/>
        <w:jc w:val="both"/>
      </w:pPr>
      <w:r>
        <w:rPr>
          <w:rFonts w:ascii="Arial" w:hAnsi="Arial"/>
          <w:b/>
        </w:rPr>
        <w:t>Conjugate CFD</w:t>
      </w:r>
      <w:r>
        <w:rPr>
          <w:rFonts w:ascii="Arial" w:hAnsi="Arial"/>
        </w:rPr>
        <w:t xml:space="preserve"> (</w:t>
      </w:r>
      <w:r>
        <w:rPr>
          <w:rFonts w:ascii="Consolas" w:hAnsi="Consolas"/>
          <w:sz w:val="21"/>
        </w:rPr>
        <w:t>chtMultiRegionFoam</w:t>
      </w:r>
      <w:r>
        <w:rPr>
          <w:rFonts w:ascii="Arial" w:hAnsi="Arial"/>
        </w:rPr>
        <w:t>, k-ω SST) for the hot-pin temperature field and velocity.</w:t>
      </w:r>
    </w:p>
    <w:p>
      <w:pPr>
        <w:jc w:val="both"/>
      </w:pPr>
      <w:r>
        <w:rPr>
          <w:rFonts w:ascii="Arial" w:hAnsi="Arial"/>
          <w:b/>
        </w:rPr>
        <w:t>Core thermal-hydraulic results (full-power, hot channel):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DDE3EA"/>
          </w:tcPr>
          <w:p>
            <w:r>
              <w:rPr>
                <w:rFonts w:ascii="Arial" w:hAnsi="Arial"/>
                <w:b/>
                <w:sz w:val="20"/>
              </w:rPr>
            </w:r>
            <w:r>
              <w:rPr>
                <w:rFonts w:ascii="Arial" w:hAnsi="Arial"/>
                <w:b/>
                <w:sz w:val="20"/>
              </w:rPr>
              <w:t>Deliverable</w:t>
            </w:r>
          </w:p>
        </w:tc>
        <w:tc>
          <w:tcPr>
            <w:tcW w:type="dxa" w:w="2351"/>
            <w:shd w:val="clear" w:fill="DDE3EA"/>
          </w:tcPr>
          <w:p>
            <w:r>
              <w:rPr>
                <w:rFonts w:ascii="Arial" w:hAnsi="Arial"/>
                <w:b/>
                <w:sz w:val="20"/>
              </w:rPr>
            </w:r>
            <w:r>
              <w:rPr>
                <w:rFonts w:ascii="Arial" w:hAnsi="Arial"/>
                <w:b/>
                <w:sz w:val="20"/>
              </w:rPr>
              <w:t>Result</w:t>
            </w:r>
          </w:p>
        </w:tc>
        <w:tc>
          <w:tcPr>
            <w:tcW w:type="dxa" w:w="2351"/>
            <w:shd w:val="clear" w:fill="DDE3EA"/>
          </w:tcPr>
          <w:p>
            <w:r>
              <w:rPr>
                <w:rFonts w:ascii="Arial" w:hAnsi="Arial"/>
                <w:b/>
                <w:sz w:val="20"/>
              </w:rPr>
            </w:r>
            <w:r>
              <w:rPr>
                <w:rFonts w:ascii="Arial" w:hAnsi="Arial"/>
                <w:b/>
                <w:sz w:val="20"/>
              </w:rPr>
              <w:t>Limit</w:t>
            </w:r>
          </w:p>
        </w:tc>
        <w:tc>
          <w:tcPr>
            <w:tcW w:type="dxa" w:w="2351"/>
            <w:shd w:val="clear" w:fill="DDE3EA"/>
          </w:tcPr>
          <w:p>
            <w:r>
              <w:rPr>
                <w:rFonts w:ascii="Arial" w:hAnsi="Arial"/>
                <w:b/>
                <w:sz w:val="20"/>
              </w:rPr>
            </w:r>
            <w:r>
              <w:rPr>
                <w:rFonts w:ascii="Arial" w:hAnsi="Arial"/>
                <w:b/>
                <w:sz w:val="20"/>
              </w:rPr>
              <w:t>Margin</w:t>
            </w:r>
          </w:p>
        </w:tc>
      </w:tr>
      <w:tr>
        <w:tc>
          <w:tcPr>
            <w:tcW w:type="dxa" w:w="2351"/>
          </w:tcPr>
          <w:p>
            <w:r>
              <w:rPr>
                <w:rFonts w:ascii="Arial" w:hAnsi="Arial"/>
                <w:sz w:val="20"/>
              </w:rPr>
            </w:r>
            <w:r>
              <w:rPr>
                <w:rFonts w:ascii="Arial" w:hAnsi="Arial"/>
                <w:sz w:val="20"/>
              </w:rPr>
              <w:t>Primary T (in / out / avg)</w:t>
            </w:r>
          </w:p>
        </w:tc>
        <w:tc>
          <w:tcPr>
            <w:tcW w:type="dxa" w:w="2351"/>
          </w:tcPr>
          <w:p>
            <w:r>
              <w:rPr>
                <w:rFonts w:ascii="Arial" w:hAnsi="Arial"/>
                <w:sz w:val="20"/>
              </w:rPr>
            </w:r>
            <w:r>
              <w:rPr>
                <w:rFonts w:ascii="Arial" w:hAnsi="Arial"/>
                <w:sz w:val="20"/>
              </w:rPr>
              <w:t>258 / 308 / 283 °C</w:t>
            </w:r>
          </w:p>
        </w:tc>
        <w:tc>
          <w:tcPr>
            <w:tcW w:type="dxa" w:w="2351"/>
          </w:tcPr>
          <w:p>
            <w:r>
              <w:rPr>
                <w:rFonts w:ascii="Arial" w:hAnsi="Arial"/>
                <w:sz w:val="20"/>
              </w:rPr>
            </w:r>
            <w:r>
              <w:rPr>
                <w:rFonts w:ascii="Arial" w:hAnsi="Arial"/>
                <w:sz w:val="20"/>
              </w:rPr>
              <w:t>—</w:t>
            </w:r>
          </w:p>
        </w:tc>
        <w:tc>
          <w:tcPr>
            <w:tcW w:type="dxa" w:w="2351"/>
          </w:tcPr>
          <w:p>
            <w:r>
              <w:rPr>
                <w:rFonts w:ascii="Arial" w:hAnsi="Arial"/>
                <w:sz w:val="20"/>
              </w:rPr>
            </w:r>
            <w:r>
              <w:rPr>
                <w:rFonts w:ascii="Arial" w:hAnsi="Arial"/>
                <w:sz w:val="20"/>
              </w:rPr>
              <w:t>—</w:t>
            </w:r>
          </w:p>
        </w:tc>
      </w:tr>
      <w:tr>
        <w:tc>
          <w:tcPr>
            <w:tcW w:type="dxa" w:w="2351"/>
          </w:tcPr>
          <w:p>
            <w:r>
              <w:rPr>
                <w:rFonts w:ascii="Arial" w:hAnsi="Arial"/>
                <w:sz w:val="20"/>
              </w:rPr>
            </w:r>
            <w:r>
              <w:rPr>
                <w:rFonts w:ascii="Arial" w:hAnsi="Arial"/>
                <w:sz w:val="20"/>
              </w:rPr>
              <w:t>Peak clad temperature (PCT), steady</w:t>
            </w:r>
          </w:p>
        </w:tc>
        <w:tc>
          <w:tcPr>
            <w:tcW w:type="dxa" w:w="2351"/>
          </w:tcPr>
          <w:p>
            <w:r>
              <w:rPr>
                <w:rFonts w:ascii="Arial" w:hAnsi="Arial"/>
                <w:sz w:val="20"/>
              </w:rPr>
            </w:r>
            <w:r>
              <w:rPr>
                <w:rFonts w:ascii="Arial" w:hAnsi="Arial"/>
                <w:b/>
                <w:sz w:val="20"/>
              </w:rPr>
              <w:t>391 °C</w:t>
            </w:r>
          </w:p>
        </w:tc>
        <w:tc>
          <w:tcPr>
            <w:tcW w:type="dxa" w:w="2351"/>
          </w:tcPr>
          <w:p>
            <w:r>
              <w:rPr>
                <w:rFonts w:ascii="Arial" w:hAnsi="Arial"/>
                <w:sz w:val="20"/>
              </w:rPr>
            </w:r>
            <w:r>
              <w:rPr>
                <w:rFonts w:ascii="Arial" w:hAnsi="Arial"/>
                <w:sz w:val="20"/>
              </w:rPr>
              <w:t>&lt; 1200 °C</w:t>
            </w:r>
          </w:p>
        </w:tc>
        <w:tc>
          <w:tcPr>
            <w:tcW w:type="dxa" w:w="2351"/>
          </w:tcPr>
          <w:p>
            <w:r>
              <w:rPr>
                <w:rFonts w:ascii="Arial" w:hAnsi="Arial"/>
                <w:sz w:val="20"/>
              </w:rPr>
            </w:r>
            <w:r>
              <w:rPr>
                <w:rFonts w:ascii="Arial" w:hAnsi="Arial"/>
                <w:sz w:val="20"/>
              </w:rPr>
              <w:t>+809 °C</w:t>
            </w:r>
          </w:p>
        </w:tc>
      </w:tr>
      <w:tr>
        <w:tc>
          <w:tcPr>
            <w:tcW w:type="dxa" w:w="2351"/>
          </w:tcPr>
          <w:p>
            <w:r>
              <w:rPr>
                <w:rFonts w:ascii="Arial" w:hAnsi="Arial"/>
                <w:sz w:val="20"/>
              </w:rPr>
            </w:r>
            <w:r>
              <w:rPr>
                <w:rFonts w:ascii="Arial" w:hAnsi="Arial"/>
                <w:sz w:val="20"/>
              </w:rPr>
              <w:t>MDNBR (hot pin)</w:t>
            </w:r>
          </w:p>
        </w:tc>
        <w:tc>
          <w:tcPr>
            <w:tcW w:type="dxa" w:w="2351"/>
          </w:tcPr>
          <w:p>
            <w:r>
              <w:rPr>
                <w:rFonts w:ascii="Arial" w:hAnsi="Arial"/>
                <w:sz w:val="20"/>
              </w:rPr>
            </w:r>
            <w:r>
              <w:rPr>
                <w:rFonts w:ascii="Arial" w:hAnsi="Arial"/>
                <w:b/>
                <w:sz w:val="20"/>
              </w:rPr>
              <w:t>1.466</w:t>
            </w:r>
          </w:p>
        </w:tc>
        <w:tc>
          <w:tcPr>
            <w:tcW w:type="dxa" w:w="2351"/>
          </w:tcPr>
          <w:p>
            <w:r>
              <w:rPr>
                <w:rFonts w:ascii="Arial" w:hAnsi="Arial"/>
                <w:sz w:val="20"/>
              </w:rPr>
            </w:r>
            <w:r>
              <w:rPr>
                <w:rFonts w:ascii="Arial" w:hAnsi="Arial"/>
                <w:sz w:val="20"/>
              </w:rPr>
              <w:t>≥ 1.3</w:t>
            </w:r>
          </w:p>
        </w:tc>
        <w:tc>
          <w:tcPr>
            <w:tcW w:type="dxa" w:w="2351"/>
          </w:tcPr>
          <w:p>
            <w:r>
              <w:rPr>
                <w:rFonts w:ascii="Arial" w:hAnsi="Arial"/>
                <w:sz w:val="20"/>
              </w:rPr>
            </w:r>
            <w:r>
              <w:rPr>
                <w:rFonts w:ascii="Arial" w:hAnsi="Arial"/>
                <w:sz w:val="20"/>
              </w:rPr>
              <w:t>+12.8 %</w:t>
            </w:r>
          </w:p>
        </w:tc>
      </w:tr>
      <w:tr>
        <w:tc>
          <w:tcPr>
            <w:tcW w:type="dxa" w:w="2351"/>
          </w:tcPr>
          <w:p>
            <w:r>
              <w:rPr>
                <w:rFonts w:ascii="Arial" w:hAnsi="Arial"/>
                <w:sz w:val="20"/>
              </w:rPr>
            </w:r>
            <w:r>
              <w:rPr>
                <w:rFonts w:ascii="Arial" w:hAnsi="Arial"/>
                <w:sz w:val="20"/>
              </w:rPr>
              <w:t>Fuel centerline temperature</w:t>
            </w:r>
          </w:p>
        </w:tc>
        <w:tc>
          <w:tcPr>
            <w:tcW w:type="dxa" w:w="2351"/>
          </w:tcPr>
          <w:p>
            <w:r>
              <w:rPr>
                <w:rFonts w:ascii="Arial" w:hAnsi="Arial"/>
                <w:sz w:val="20"/>
              </w:rPr>
            </w:r>
            <w:r>
              <w:rPr>
                <w:rFonts w:ascii="Arial" w:hAnsi="Arial"/>
                <w:sz w:val="20"/>
              </w:rPr>
              <w:t>&lt; limit (</w:t>
            </w:r>
            <w:r>
              <w:rPr>
                <w:rFonts w:ascii="Consolas" w:hAnsi="Consolas"/>
                <w:sz w:val="20"/>
              </w:rPr>
              <w:t>thermal_stack.py</w:t>
            </w:r>
            <w:r>
              <w:rPr>
                <w:rFonts w:ascii="Arial" w:hAnsi="Arial"/>
                <w:sz w:val="20"/>
              </w:rPr>
              <w:t>)</w:t>
            </w:r>
          </w:p>
        </w:tc>
        <w:tc>
          <w:tcPr>
            <w:tcW w:type="dxa" w:w="2351"/>
          </w:tcPr>
          <w:p>
            <w:r>
              <w:rPr>
                <w:rFonts w:ascii="Arial" w:hAnsi="Arial"/>
                <w:sz w:val="20"/>
              </w:rPr>
            </w:r>
            <w:r>
              <w:rPr>
                <w:rFonts w:ascii="Arial" w:hAnsi="Arial"/>
                <w:sz w:val="20"/>
              </w:rPr>
              <w:t>&lt; 2590 °C</w:t>
            </w:r>
          </w:p>
        </w:tc>
        <w:tc>
          <w:tcPr>
            <w:tcW w:type="dxa" w:w="2351"/>
          </w:tcPr>
          <w:p>
            <w:r>
              <w:rPr>
                <w:rFonts w:ascii="Arial" w:hAnsi="Arial"/>
                <w:sz w:val="20"/>
              </w:rPr>
            </w:r>
            <w:r>
              <w:rPr>
                <w:rFonts w:ascii="Arial" w:hAnsi="Arial"/>
                <w:sz w:val="20"/>
              </w:rPr>
              <w:t>large</w:t>
            </w:r>
          </w:p>
        </w:tc>
      </w:tr>
      <w:tr>
        <w:tc>
          <w:tcPr>
            <w:tcW w:type="dxa" w:w="2351"/>
          </w:tcPr>
          <w:p>
            <w:r>
              <w:rPr>
                <w:rFonts w:ascii="Arial" w:hAnsi="Arial"/>
                <w:sz w:val="20"/>
              </w:rPr>
            </w:r>
            <w:r>
              <w:rPr>
                <w:rFonts w:ascii="Arial" w:hAnsi="Arial"/>
                <w:sz w:val="20"/>
              </w:rPr>
              <w:t>Hot-leg subcooling</w:t>
            </w:r>
          </w:p>
        </w:tc>
        <w:tc>
          <w:tcPr>
            <w:tcW w:type="dxa" w:w="2351"/>
          </w:tcPr>
          <w:p>
            <w:r>
              <w:rPr>
                <w:rFonts w:ascii="Arial" w:hAnsi="Arial"/>
                <w:sz w:val="20"/>
              </w:rPr>
            </w:r>
            <w:r>
              <w:rPr>
                <w:rFonts w:ascii="Arial" w:hAnsi="Arial"/>
                <w:sz w:val="20"/>
              </w:rPr>
              <w:t>21.7 °C</w:t>
            </w:r>
          </w:p>
        </w:tc>
        <w:tc>
          <w:tcPr>
            <w:tcW w:type="dxa" w:w="2351"/>
          </w:tcPr>
          <w:p>
            <w:r>
              <w:rPr>
                <w:rFonts w:ascii="Arial" w:hAnsi="Arial"/>
                <w:sz w:val="20"/>
              </w:rPr>
            </w:r>
            <w:r>
              <w:rPr>
                <w:rFonts w:ascii="Arial" w:hAnsi="Arial"/>
                <w:sz w:val="20"/>
              </w:rPr>
              <w:t>&gt; 0</w:t>
            </w:r>
          </w:p>
        </w:tc>
        <w:tc>
          <w:tcPr>
            <w:tcW w:type="dxa" w:w="2351"/>
          </w:tcPr>
          <w:p>
            <w:r>
              <w:rPr>
                <w:rFonts w:ascii="Arial" w:hAnsi="Arial"/>
                <w:sz w:val="20"/>
              </w:rPr>
            </w:r>
            <w:r>
              <w:rPr>
                <w:rFonts w:ascii="Arial" w:hAnsi="Arial"/>
                <w:sz w:val="20"/>
              </w:rPr>
              <w:t>—</w:t>
            </w:r>
          </w:p>
        </w:tc>
      </w:tr>
      <w:tr>
        <w:tc>
          <w:tcPr>
            <w:tcW w:type="dxa" w:w="2351"/>
          </w:tcPr>
          <w:p>
            <w:r>
              <w:rPr>
                <w:rFonts w:ascii="Arial" w:hAnsi="Arial"/>
                <w:sz w:val="20"/>
              </w:rPr>
            </w:r>
            <w:r>
              <w:rPr>
                <w:rFonts w:ascii="Arial" w:hAnsi="Arial"/>
                <w:sz w:val="20"/>
              </w:rPr>
              <w:t>Coolant velocity field</w:t>
            </w:r>
          </w:p>
        </w:tc>
        <w:tc>
          <w:tcPr>
            <w:tcW w:type="dxa" w:w="2351"/>
          </w:tcPr>
          <w:p>
            <w:r>
              <w:rPr>
                <w:rFonts w:ascii="Arial" w:hAnsi="Arial"/>
                <w:sz w:val="20"/>
              </w:rPr>
            </w:r>
            <w:r>
              <w:rPr>
                <w:rFonts w:ascii="Arial" w:hAnsi="Arial"/>
                <w:sz w:val="20"/>
              </w:rPr>
              <w:t>all-positive upflow, no recirculation</w:t>
            </w:r>
          </w:p>
        </w:tc>
        <w:tc>
          <w:tcPr>
            <w:tcW w:type="dxa" w:w="2351"/>
          </w:tcPr>
          <w:p>
            <w:r>
              <w:rPr>
                <w:rFonts w:ascii="Arial" w:hAnsi="Arial"/>
                <w:sz w:val="20"/>
              </w:rPr>
            </w:r>
            <w:r>
              <w:rPr>
                <w:rFonts w:ascii="Arial" w:hAnsi="Arial"/>
                <w:sz w:val="20"/>
              </w:rPr>
              <w:t>stable nat-circ</w:t>
            </w:r>
          </w:p>
        </w:tc>
        <w:tc>
          <w:tcPr>
            <w:tcW w:type="dxa" w:w="2351"/>
          </w:tcPr>
          <w:p>
            <w:r>
              <w:rPr>
                <w:rFonts w:ascii="Arial" w:hAnsi="Arial"/>
                <w:sz w:val="20"/>
              </w:rPr>
            </w:r>
            <w:r>
              <w:rPr>
                <w:rFonts w:ascii="Arial" w:hAnsi="Arial"/>
                <w:sz w:val="20"/>
              </w:rPr>
              <w:t>—</w:t>
            </w:r>
          </w:p>
        </w:tc>
      </w:tr>
      <w:tr>
        <w:tc>
          <w:tcPr>
            <w:tcW w:type="dxa" w:w="2351"/>
          </w:tcPr>
          <w:p>
            <w:r>
              <w:rPr>
                <w:rFonts w:ascii="Arial" w:hAnsi="Arial"/>
                <w:sz w:val="20"/>
              </w:rPr>
            </w:r>
            <w:r>
              <w:rPr>
                <w:rFonts w:ascii="Arial" w:hAnsi="Arial"/>
                <w:sz w:val="20"/>
              </w:rPr>
              <w:t>Mass flow vs power</w:t>
            </w:r>
          </w:p>
        </w:tc>
        <w:tc>
          <w:tcPr>
            <w:tcW w:type="dxa" w:w="2351"/>
          </w:tcPr>
          <w:p>
            <w:r>
              <w:rPr>
                <w:rFonts w:ascii="Arial" w:hAnsi="Arial"/>
                <w:sz w:val="20"/>
              </w:rPr>
            </w:r>
            <w:r>
              <w:rPr>
                <w:rFonts w:ascii="Arial" w:hAnsi="Arial"/>
                <w:sz w:val="20"/>
              </w:rPr>
              <w:t>ṁ ∝ P^(1/3)</w:t>
            </w:r>
          </w:p>
        </w:tc>
        <w:tc>
          <w:tcPr>
            <w:tcW w:type="dxa" w:w="2351"/>
          </w:tcPr>
          <w:p>
            <w:r>
              <w:rPr>
                <w:rFonts w:ascii="Arial" w:hAnsi="Arial"/>
                <w:sz w:val="20"/>
              </w:rPr>
            </w:r>
            <w:r>
              <w:rPr>
                <w:rFonts w:ascii="Arial" w:hAnsi="Arial"/>
                <w:sz w:val="20"/>
              </w:rPr>
              <w:t>self-regulating</w:t>
            </w:r>
          </w:p>
        </w:tc>
        <w:tc>
          <w:tcPr>
            <w:tcW w:type="dxa" w:w="2351"/>
          </w:tcPr>
          <w:p>
            <w:r>
              <w:rPr>
                <w:rFonts w:ascii="Arial" w:hAnsi="Arial"/>
                <w:sz w:val="20"/>
              </w:rPr>
            </w:r>
            <w:r>
              <w:rPr>
                <w:rFonts w:ascii="Arial" w:hAnsi="Arial"/>
                <w:sz w:val="20"/>
              </w:rPr>
              <w:t>—</w:t>
            </w:r>
          </w:p>
        </w:tc>
      </w:tr>
    </w:tbl>
    <w:p/>
    <w:p>
      <w:pPr>
        <w:jc w:val="both"/>
      </w:pPr>
      <w:r>
        <w:rPr>
          <w:rFonts w:ascii="Arial" w:hAnsi="Arial"/>
        </w:rPr>
        <w:t xml:space="preserve">These satisfy the thermal-hydraulic hard constraints of </w:t>
      </w:r>
      <w:r>
        <w:rPr>
          <w:rFonts w:ascii="Consolas" w:hAnsi="Consolas"/>
          <w:sz w:val="21"/>
        </w:rPr>
        <w:t>safety_criteria.yaml</w:t>
      </w:r>
      <w:r>
        <w:rPr>
          <w:rFonts w:ascii="Arial" w:hAnsi="Arial"/>
        </w:rPr>
        <w:t xml:space="preserve"> (</w:t>
      </w:r>
      <w:r>
        <w:rPr>
          <w:rFonts w:ascii="Consolas" w:hAnsi="Consolas"/>
          <w:sz w:val="21"/>
        </w:rPr>
        <w:t>mdnbr_steady</w:t>
      </w:r>
      <w:r>
        <w:rPr>
          <w:rFonts w:ascii="Arial" w:hAnsi="Arial"/>
        </w:rPr>
        <w:t xml:space="preserve">, </w:t>
      </w:r>
      <w:r>
        <w:rPr>
          <w:rFonts w:ascii="Consolas" w:hAnsi="Consolas"/>
          <w:sz w:val="21"/>
        </w:rPr>
        <w:t>pct_loca</w:t>
      </w:r>
      <w:r>
        <w:rPr>
          <w:rFonts w:ascii="Arial" w:hAnsi="Arial"/>
        </w:rPr>
        <w:t xml:space="preserve"> envelope, </w:t>
      </w:r>
      <w:r>
        <w:rPr>
          <w:rFonts w:ascii="Consolas" w:hAnsi="Consolas"/>
          <w:sz w:val="21"/>
        </w:rPr>
        <w:t>fuel_centerline_temperature</w:t>
      </w:r>
      <w:r>
        <w:rPr>
          <w:rFonts w:ascii="Arial" w:hAnsi="Arial"/>
        </w:rPr>
        <w:t>) with margin.</w:t>
      </w:r>
    </w:p>
    <w:p>
      <w:pPr>
        <w:jc w:val="both"/>
      </w:pPr>
      <w:r>
        <w:rPr>
          <w:rFonts w:ascii="Arial" w:hAnsi="Arial"/>
          <w:b/>
        </w:rPr>
        <w:t>OTSG primary duty and coupling.</w:t>
      </w:r>
      <w:r>
        <w:rPr>
          <w:rFonts w:ascii="Arial" w:hAnsi="Arial"/>
        </w:rPr>
        <w:t xml:space="preserve"> The OTSG removes the full 125 MWth across a counterflow once-through surface, so the secondary steam conditions are bounded by the primary legs. Because the economizer pre-heats the feedwater, the secondary saturation temperature may sit *above* the 258 °C cold leg; the binding constraint is the </w:t>
      </w:r>
      <w:r>
        <w:rPr>
          <w:rFonts w:ascii="Arial" w:hAnsi="Arial"/>
          <w:b/>
        </w:rPr>
        <w:t>evaporator pinch</w:t>
      </w:r>
      <w:r>
        <w:rPr>
          <w:rFonts w:ascii="Arial" w:hAnsi="Arial"/>
        </w:rPr>
        <w:t xml:space="preserve"> at the start-of-boiling point. Re-coupling the cycle to the 308/258 °C legs (</w:t>
      </w:r>
      <w:r>
        <w:rPr>
          <w:rFonts w:ascii="Consolas" w:hAnsi="Consolas"/>
          <w:sz w:val="21"/>
        </w:rPr>
        <w:t>scripts/thermo_cycle_recouple.py</w:t>
      </w:r>
      <w:r>
        <w:rPr>
          <w:rFonts w:ascii="Arial" w:hAnsi="Arial"/>
        </w:rPr>
        <w:t xml:space="preserve">, full counterflow pinch) gives a practical optimum at </w:t>
      </w:r>
      <w:r>
        <w:rPr>
          <w:rFonts w:ascii="Arial" w:hAnsi="Arial"/>
          <w:b/>
        </w:rPr>
        <w:t>4.5 MPa / 296 °C steam → 39.7 MWe net, 8.8 °C pinch</w:t>
      </w:r>
      <w:r>
        <w:rPr>
          <w:rFonts w:ascii="Arial" w:hAnsi="Arial"/>
        </w:rPr>
        <w:t xml:space="preserve">. This updates the §8.9 draft (4.8 MPa / 293 °C) by a small steam-condition shift while </w:t>
      </w:r>
      <w:r>
        <w:rPr>
          <w:rFonts w:ascii="Arial" w:hAnsi="Arial"/>
          <w:b/>
        </w:rPr>
        <w:t>holding the 40 MWe-class output</w:t>
      </w:r>
      <w:r>
        <w:rPr>
          <w:rFonts w:ascii="Arial" w:hAnsi="Arial"/>
        </w:rPr>
        <w:t xml:space="preserve"> (see §8.4.8).</w:t>
      </w:r>
    </w:p>
    <w:p>
      <w:pPr>
        <w:jc w:val="both"/>
      </w:pPr>
      <w:r>
        <w:rPr>
          <w:rFonts w:ascii="Arial" w:hAnsi="Arial"/>
          <w:b/>
        </w:rPr>
        <w:t>Decay-heat removal.</w:t>
      </w:r>
      <w:r>
        <w:rPr>
          <w:rFonts w:ascii="Arial" w:hAnsi="Arial"/>
        </w:rPr>
        <w:t xml:space="preserve"> After trip, the DHRS removes ANS-5.1 decay heat by passive natural circulation to the in-containment heat sink, sized to ≥ 105 % of the 1 s decay power (</w:t>
      </w:r>
      <w:r>
        <w:rPr>
          <w:rFonts w:ascii="Consolas" w:hAnsi="Consolas"/>
          <w:sz w:val="21"/>
        </w:rPr>
        <w:t>prhr_capacity</w:t>
      </w:r>
      <w:r>
        <w:rPr>
          <w:rFonts w:ascii="Arial" w:hAnsi="Arial"/>
        </w:rPr>
        <w:t xml:space="preserve">). The quantitative station-blackout transient — decay heat vs passive removal, PCT(t) over ≥ 100 h — is presented in </w:t>
      </w:r>
      <w:r>
        <w:rPr>
          <w:rFonts w:ascii="Arial" w:hAnsi="Arial"/>
          <w:b/>
        </w:rPr>
        <w:t>§8.5/§8.6</w:t>
      </w:r>
      <w:r>
        <w:rPr>
          <w:rFonts w:ascii="Arial" w:hAnsi="Arial"/>
        </w:rPr>
        <w:t>; it is the basis of the grace-period claim and of the large-break-LOCA design-elimination argument (no large primary piping).</w:t>
      </w:r>
    </w:p>
    <w:p>
      <w:pPr>
        <w:jc w:val="both"/>
      </w:pPr>
      <w:r>
        <w:rPr>
          <w:rFonts w:ascii="Arial" w:hAnsi="Arial"/>
        </w:rPr>
        <w:t>---</w:t>
      </w:r>
    </w:p>
    <w:p>
      <w:pPr>
        <w:spacing w:before="200" w:after="80"/>
      </w:pPr>
      <w:r>
        <w:rPr>
          <w:rFonts w:ascii="Arial Black" w:hAnsi="Arial Black"/>
          <w:b/>
          <w:color w:val="1F4E79"/>
          <w:sz w:val="25"/>
        </w:rPr>
        <w:t>8.4.7 Operating conditions (defined states)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DDE3EA"/>
          </w:tcPr>
          <w:p>
            <w:r>
              <w:rPr>
                <w:rFonts w:ascii="Arial" w:hAnsi="Arial"/>
                <w:b/>
                <w:sz w:val="20"/>
              </w:rPr>
            </w:r>
            <w:r>
              <w:rPr>
                <w:rFonts w:ascii="Arial" w:hAnsi="Arial"/>
                <w:b/>
                <w:sz w:val="20"/>
              </w:rPr>
              <w:t>Plant state</w:t>
            </w:r>
          </w:p>
        </w:tc>
        <w:tc>
          <w:tcPr>
            <w:tcW w:type="dxa" w:w="2351"/>
            <w:shd w:val="clear" w:fill="DDE3EA"/>
          </w:tcPr>
          <w:p>
            <w:r>
              <w:rPr>
                <w:rFonts w:ascii="Arial" w:hAnsi="Arial"/>
                <w:b/>
                <w:sz w:val="20"/>
              </w:rPr>
            </w:r>
            <w:r>
              <w:rPr>
                <w:rFonts w:ascii="Arial" w:hAnsi="Arial"/>
                <w:b/>
                <w:sz w:val="20"/>
              </w:rPr>
              <w:t>Primary</w:t>
            </w:r>
          </w:p>
        </w:tc>
        <w:tc>
          <w:tcPr>
            <w:tcW w:type="dxa" w:w="2351"/>
            <w:shd w:val="clear" w:fill="DDE3EA"/>
          </w:tcPr>
          <w:p>
            <w:r>
              <w:rPr>
                <w:rFonts w:ascii="Arial" w:hAnsi="Arial"/>
                <w:b/>
                <w:sz w:val="20"/>
              </w:rPr>
            </w:r>
            <w:r>
              <w:rPr>
                <w:rFonts w:ascii="Arial" w:hAnsi="Arial"/>
                <w:b/>
                <w:sz w:val="20"/>
              </w:rPr>
              <w:t>Heat sink</w:t>
            </w:r>
          </w:p>
        </w:tc>
        <w:tc>
          <w:tcPr>
            <w:tcW w:type="dxa" w:w="2351"/>
            <w:shd w:val="clear" w:fill="DDE3EA"/>
          </w:tcPr>
          <w:p>
            <w:r>
              <w:rPr>
                <w:rFonts w:ascii="Arial" w:hAnsi="Arial"/>
                <w:b/>
                <w:sz w:val="20"/>
              </w:rPr>
            </w:r>
            <w:r>
              <w:rPr>
                <w:rFonts w:ascii="Arial" w:hAnsi="Arial"/>
                <w:b/>
                <w:sz w:val="20"/>
              </w:rPr>
              <w:t>Cooling mode</w:t>
            </w:r>
          </w:p>
        </w:tc>
      </w:tr>
      <w:tr>
        <w:tc>
          <w:tcPr>
            <w:tcW w:type="dxa" w:w="2351"/>
          </w:tcPr>
          <w:p>
            <w:r>
              <w:rPr>
                <w:rFonts w:ascii="Arial" w:hAnsi="Arial"/>
                <w:sz w:val="20"/>
              </w:rPr>
            </w:r>
            <w:r>
              <w:rPr>
                <w:rFonts w:ascii="Arial" w:hAnsi="Arial"/>
                <w:sz w:val="20"/>
              </w:rPr>
              <w:t>Full power (100 %)</w:t>
            </w:r>
          </w:p>
        </w:tc>
        <w:tc>
          <w:tcPr>
            <w:tcW w:type="dxa" w:w="2351"/>
          </w:tcPr>
          <w:p>
            <w:r>
              <w:rPr>
                <w:rFonts w:ascii="Arial" w:hAnsi="Arial"/>
                <w:sz w:val="20"/>
              </w:rPr>
            </w:r>
            <w:r>
              <w:rPr>
                <w:rFonts w:ascii="Arial" w:hAnsi="Arial"/>
                <w:sz w:val="20"/>
              </w:rPr>
              <w:t>12.8 MPa, 308/258 °C, 483 kg/s nat-circ</w:t>
            </w:r>
          </w:p>
        </w:tc>
        <w:tc>
          <w:tcPr>
            <w:tcW w:type="dxa" w:w="2351"/>
          </w:tcPr>
          <w:p>
            <w:r>
              <w:rPr>
                <w:rFonts w:ascii="Arial" w:hAnsi="Arial"/>
                <w:sz w:val="20"/>
              </w:rPr>
            </w:r>
            <w:r>
              <w:rPr>
                <w:rFonts w:ascii="Arial" w:hAnsi="Arial"/>
                <w:sz w:val="20"/>
              </w:rPr>
              <w:t>OTSG → turbine</w:t>
            </w:r>
          </w:p>
        </w:tc>
        <w:tc>
          <w:tcPr>
            <w:tcW w:type="dxa" w:w="2351"/>
          </w:tcPr>
          <w:p>
            <w:r>
              <w:rPr>
                <w:rFonts w:ascii="Arial" w:hAnsi="Arial"/>
                <w:sz w:val="20"/>
              </w:rPr>
            </w:r>
            <w:r>
              <w:rPr>
                <w:rFonts w:ascii="Arial" w:hAnsi="Arial"/>
                <w:sz w:val="20"/>
              </w:rPr>
              <w:t>natural circulation + OTSG</w:t>
            </w:r>
          </w:p>
        </w:tc>
      </w:tr>
      <w:tr>
        <w:tc>
          <w:tcPr>
            <w:tcW w:type="dxa" w:w="2351"/>
          </w:tcPr>
          <w:p>
            <w:r>
              <w:rPr>
                <w:rFonts w:ascii="Arial" w:hAnsi="Arial"/>
                <w:sz w:val="20"/>
              </w:rPr>
            </w:r>
            <w:r>
              <w:rPr>
                <w:rFonts w:ascii="Arial" w:hAnsi="Arial"/>
                <w:sz w:val="20"/>
              </w:rPr>
              <w:t>Cogeneration (district heat / H₂)</w:t>
            </w:r>
          </w:p>
        </w:tc>
        <w:tc>
          <w:tcPr>
            <w:tcW w:type="dxa" w:w="2351"/>
          </w:tcPr>
          <w:p>
            <w:r>
              <w:rPr>
                <w:rFonts w:ascii="Arial" w:hAnsi="Arial"/>
                <w:sz w:val="20"/>
              </w:rPr>
            </w:r>
            <w:r>
              <w:rPr>
                <w:rFonts w:ascii="Arial" w:hAnsi="Arial"/>
                <w:sz w:val="20"/>
              </w:rPr>
              <w:t>unchanged (reactor stays ~100 %)</w:t>
            </w:r>
          </w:p>
        </w:tc>
        <w:tc>
          <w:tcPr>
            <w:tcW w:type="dxa" w:w="2351"/>
          </w:tcPr>
          <w:p>
            <w:r>
              <w:rPr>
                <w:rFonts w:ascii="Arial" w:hAnsi="Arial"/>
                <w:sz w:val="20"/>
              </w:rPr>
            </w:r>
            <w:r>
              <w:rPr>
                <w:rFonts w:ascii="Arial" w:hAnsi="Arial"/>
                <w:sz w:val="20"/>
              </w:rPr>
              <w:t>OTSG; extraction steam → thermochemical sorption store; off-peak power → H₂</w:t>
            </w:r>
          </w:p>
        </w:tc>
        <w:tc>
          <w:tcPr>
            <w:tcW w:type="dxa" w:w="2351"/>
          </w:tcPr>
          <w:p>
            <w:r>
              <w:rPr>
                <w:rFonts w:ascii="Arial" w:hAnsi="Arial"/>
                <w:sz w:val="20"/>
              </w:rPr>
            </w:r>
            <w:r>
              <w:rPr>
                <w:rFonts w:ascii="Arial" w:hAnsi="Arial"/>
                <w:sz w:val="20"/>
              </w:rPr>
              <w:t>natural circulation (</w:t>
            </w:r>
            <w:r>
              <w:rPr>
                <w:rFonts w:ascii="Arial" w:hAnsi="Arial"/>
                <w:b/>
                <w:sz w:val="20"/>
              </w:rPr>
              <w:t>→§8.9</w:t>
            </w:r>
            <w:r>
              <w:rPr>
                <w:rFonts w:ascii="Arial" w:hAnsi="Arial"/>
                <w:sz w:val="20"/>
              </w:rPr>
              <w:t>)</w:t>
            </w:r>
          </w:p>
        </w:tc>
      </w:tr>
      <w:tr>
        <w:tc>
          <w:tcPr>
            <w:tcW w:type="dxa" w:w="2351"/>
          </w:tcPr>
          <w:p>
            <w:r>
              <w:rPr>
                <w:rFonts w:ascii="Arial" w:hAnsi="Arial"/>
                <w:sz w:val="20"/>
              </w:rPr>
            </w:r>
            <w:r>
              <w:rPr>
                <w:rFonts w:ascii="Arial" w:hAnsi="Arial"/>
                <w:sz w:val="20"/>
              </w:rPr>
              <w:t>Hot standby</w:t>
            </w:r>
          </w:p>
        </w:tc>
        <w:tc>
          <w:tcPr>
            <w:tcW w:type="dxa" w:w="2351"/>
          </w:tcPr>
          <w:p>
            <w:r>
              <w:rPr>
                <w:rFonts w:ascii="Arial" w:hAnsi="Arial"/>
                <w:sz w:val="20"/>
              </w:rPr>
            </w:r>
            <w:r>
              <w:rPr>
                <w:rFonts w:ascii="Arial" w:hAnsi="Arial"/>
                <w:sz w:val="20"/>
              </w:rPr>
              <w:t>12.8 MPa, near-isothermal</w:t>
            </w:r>
          </w:p>
        </w:tc>
        <w:tc>
          <w:tcPr>
            <w:tcW w:type="dxa" w:w="2351"/>
          </w:tcPr>
          <w:p>
            <w:r>
              <w:rPr>
                <w:rFonts w:ascii="Arial" w:hAnsi="Arial"/>
                <w:sz w:val="20"/>
              </w:rPr>
            </w:r>
            <w:r>
              <w:rPr>
                <w:rFonts w:ascii="Arial" w:hAnsi="Arial"/>
                <w:sz w:val="20"/>
              </w:rPr>
              <w:t>OTSG / DHRS</w:t>
            </w:r>
          </w:p>
        </w:tc>
        <w:tc>
          <w:tcPr>
            <w:tcW w:type="dxa" w:w="2351"/>
          </w:tcPr>
          <w:p>
            <w:r>
              <w:rPr>
                <w:rFonts w:ascii="Arial" w:hAnsi="Arial"/>
                <w:sz w:val="20"/>
              </w:rPr>
            </w:r>
            <w:r>
              <w:rPr>
                <w:rFonts w:ascii="Arial" w:hAnsi="Arial"/>
                <w:sz w:val="20"/>
              </w:rPr>
              <w:t>natural circulation</w:t>
            </w:r>
          </w:p>
        </w:tc>
      </w:tr>
      <w:tr>
        <w:tc>
          <w:tcPr>
            <w:tcW w:type="dxa" w:w="2351"/>
          </w:tcPr>
          <w:p>
            <w:r>
              <w:rPr>
                <w:rFonts w:ascii="Arial" w:hAnsi="Arial"/>
                <w:sz w:val="20"/>
              </w:rPr>
            </w:r>
            <w:r>
              <w:rPr>
                <w:rFonts w:ascii="Arial" w:hAnsi="Arial"/>
                <w:sz w:val="20"/>
              </w:rPr>
              <w:t>Trip / loss of secondary sink</w:t>
            </w:r>
          </w:p>
        </w:tc>
        <w:tc>
          <w:tcPr>
            <w:tcW w:type="dxa" w:w="2351"/>
          </w:tcPr>
          <w:p>
            <w:r>
              <w:rPr>
                <w:rFonts w:ascii="Arial" w:hAnsi="Arial"/>
                <w:sz w:val="20"/>
              </w:rPr>
            </w:r>
            <w:r>
              <w:rPr>
                <w:rFonts w:ascii="Arial" w:hAnsi="Arial"/>
                <w:sz w:val="20"/>
              </w:rPr>
              <w:t>depressurising as needed</w:t>
            </w:r>
          </w:p>
        </w:tc>
        <w:tc>
          <w:tcPr>
            <w:tcW w:type="dxa" w:w="2351"/>
          </w:tcPr>
          <w:p>
            <w:r>
              <w:rPr>
                <w:rFonts w:ascii="Arial" w:hAnsi="Arial"/>
                <w:sz w:val="20"/>
              </w:rPr>
            </w:r>
            <w:r>
              <w:rPr>
                <w:rFonts w:ascii="Arial" w:hAnsi="Arial"/>
                <w:b/>
                <w:sz w:val="20"/>
              </w:rPr>
              <w:t>DHRS</w:t>
            </w:r>
            <w:r>
              <w:rPr>
                <w:rFonts w:ascii="Arial" w:hAnsi="Arial"/>
                <w:sz w:val="20"/>
              </w:rPr>
              <w:t xml:space="preserve"> → heat-sink tank</w:t>
            </w:r>
          </w:p>
        </w:tc>
        <w:tc>
          <w:tcPr>
            <w:tcW w:type="dxa" w:w="2351"/>
          </w:tcPr>
          <w:p>
            <w:r>
              <w:rPr>
                <w:rFonts w:ascii="Arial" w:hAnsi="Arial"/>
                <w:sz w:val="20"/>
              </w:rPr>
            </w:r>
            <w:r>
              <w:rPr>
                <w:rFonts w:ascii="Arial" w:hAnsi="Arial"/>
                <w:sz w:val="20"/>
              </w:rPr>
              <w:t>passive natural circulation</w:t>
            </w:r>
          </w:p>
        </w:tc>
      </w:tr>
      <w:tr>
        <w:tc>
          <w:tcPr>
            <w:tcW w:type="dxa" w:w="2351"/>
          </w:tcPr>
          <w:p>
            <w:r>
              <w:rPr>
                <w:rFonts w:ascii="Arial" w:hAnsi="Arial"/>
                <w:sz w:val="20"/>
              </w:rPr>
            </w:r>
            <w:r>
              <w:rPr>
                <w:rFonts w:ascii="Arial" w:hAnsi="Arial"/>
                <w:sz w:val="20"/>
              </w:rPr>
              <w:t>Station blackout (no AC/DC)</w:t>
            </w:r>
          </w:p>
        </w:tc>
        <w:tc>
          <w:tcPr>
            <w:tcW w:type="dxa" w:w="2351"/>
          </w:tcPr>
          <w:p>
            <w:r>
              <w:rPr>
                <w:rFonts w:ascii="Arial" w:hAnsi="Arial"/>
                <w:sz w:val="20"/>
              </w:rPr>
            </w:r>
            <w:r>
              <w:rPr>
                <w:rFonts w:ascii="Arial" w:hAnsi="Arial"/>
                <w:sz w:val="20"/>
              </w:rPr>
              <w:t>passive</w:t>
            </w:r>
          </w:p>
        </w:tc>
        <w:tc>
          <w:tcPr>
            <w:tcW w:type="dxa" w:w="2351"/>
          </w:tcPr>
          <w:p>
            <w:r>
              <w:rPr>
                <w:rFonts w:ascii="Arial" w:hAnsi="Arial"/>
                <w:sz w:val="20"/>
              </w:rPr>
            </w:r>
            <w:r>
              <w:rPr>
                <w:rFonts w:ascii="Arial" w:hAnsi="Arial"/>
                <w:sz w:val="20"/>
              </w:rPr>
              <w:t>DHRS + inventory, ≥ 72 h (→ unlimited)</w:t>
            </w:r>
          </w:p>
        </w:tc>
        <w:tc>
          <w:tcPr>
            <w:tcW w:type="dxa" w:w="2351"/>
          </w:tcPr>
          <w:p>
            <w:r>
              <w:rPr>
                <w:rFonts w:ascii="Arial" w:hAnsi="Arial"/>
                <w:sz w:val="20"/>
              </w:rPr>
            </w:r>
            <w:r>
              <w:rPr>
                <w:rFonts w:ascii="Arial" w:hAnsi="Arial"/>
                <w:sz w:val="20"/>
              </w:rPr>
              <w:t>fully passive (</w:t>
            </w:r>
            <w:r>
              <w:rPr>
                <w:rFonts w:ascii="Arial" w:hAnsi="Arial"/>
                <w:b/>
                <w:sz w:val="20"/>
              </w:rPr>
              <w:t>→§8.5/§8.6</w:t>
            </w:r>
            <w:r>
              <w:rPr>
                <w:rFonts w:ascii="Arial" w:hAnsi="Arial"/>
                <w:sz w:val="20"/>
              </w:rPr>
              <w:t>)</w:t>
            </w:r>
          </w:p>
        </w:tc>
      </w:tr>
    </w:tbl>
    <w:p/>
    <w:p>
      <w:pPr>
        <w:jc w:val="both"/>
      </w:pPr>
      <w:r>
        <w:rPr>
          <w:rFonts w:ascii="Arial" w:hAnsi="Arial"/>
        </w:rPr>
        <w:t>---</w:t>
      </w:r>
    </w:p>
    <w:p>
      <w:pPr>
        <w:spacing w:before="200" w:after="80"/>
      </w:pPr>
      <w:r>
        <w:rPr>
          <w:rFonts w:ascii="Arial Black" w:hAnsi="Arial Black"/>
          <w:b/>
          <w:color w:val="1F4E79"/>
          <w:sz w:val="25"/>
        </w:rPr>
        <w:t>8.4.8 Open items / cross-section dependencies (⚠CONFIRM)</w:t>
      </w:r>
    </w:p>
    <w:p>
      <w:pPr>
        <w:pStyle w:val="ListNumber"/>
        <w:jc w:val="both"/>
      </w:pPr>
      <w:r>
        <w:rPr>
          <w:rFonts w:ascii="Arial" w:hAnsi="Arial"/>
          <w:b/>
        </w:rPr>
        <w:t>Primary–secondary re-coupling (RESOLVED — apply to §8.9).</w:t>
      </w:r>
      <w:r>
        <w:rPr>
          <w:rFonts w:ascii="Arial" w:hAnsi="Arial"/>
        </w:rPr>
        <w:t xml:space="preserve"> Re-coupling the cycle to the 308/258 °C legs (</w:t>
      </w:r>
      <w:r>
        <w:rPr>
          <w:rFonts w:ascii="Consolas" w:hAnsi="Consolas"/>
          <w:sz w:val="21"/>
        </w:rPr>
        <w:t>scripts/thermo_cycle_recouple.py</w:t>
      </w:r>
      <w:r>
        <w:rPr>
          <w:rFonts w:ascii="Arial" w:hAnsi="Arial"/>
        </w:rPr>
        <w:t xml:space="preserve">) confirms the </w:t>
      </w:r>
      <w:r>
        <w:rPr>
          <w:rFonts w:ascii="Arial" w:hAnsi="Arial"/>
          <w:b/>
        </w:rPr>
        <w:t>40 MWe-class point holds</w:t>
      </w:r>
      <w:r>
        <w:rPr>
          <w:rFonts w:ascii="Arial" w:hAnsi="Arial"/>
        </w:rPr>
        <w:t xml:space="preserve">: the optimum moves to </w:t>
      </w:r>
      <w:r>
        <w:rPr>
          <w:rFonts w:ascii="Arial" w:hAnsi="Arial"/>
          <w:b/>
        </w:rPr>
        <w:t>4.5 MPa / 296 °C steam → 39.7 MWe net (31.8 %), 8.8 °C pinch</w:t>
      </w:r>
      <w:r>
        <w:rPr>
          <w:rFonts w:ascii="Arial" w:hAnsi="Arial"/>
        </w:rPr>
        <w:t>. §8.9 Tables 8.9-2/8.9-3/8.9-4 need a minor update (steam 4.8→4.5 MPa, 293→296 °C, net 40.0→39.7 MWe, pinch recomputed) — a steam-condition edit, not a redesign. Decision for [TH]/[LAY]: keep the "40 MWe" nameplate (39.7 is within model uncertainty) or restate as 39.7 MWe net.</w:t>
      </w:r>
    </w:p>
    <w:p>
      <w:pPr>
        <w:pStyle w:val="ListNumber"/>
        <w:jc w:val="both"/>
      </w:pPr>
      <w:r>
        <w:rPr>
          <w:rFonts w:ascii="Arial" w:hAnsi="Arial"/>
          <w:b/>
        </w:rPr>
        <w:t>Operating-pressure reconciliation.</w:t>
      </w:r>
      <w:r>
        <w:rPr>
          <w:rFonts w:ascii="Arial" w:hAnsi="Arial"/>
        </w:rPr>
        <w:t xml:space="preserve"> This section uses </w:t>
      </w:r>
      <w:r>
        <w:rPr>
          <w:rFonts w:ascii="Arial" w:hAnsi="Arial"/>
          <w:b/>
        </w:rPr>
        <w:t>12.8 MPa op / ≈14.1 MPa design</w:t>
      </w:r>
      <w:r>
        <w:rPr>
          <w:rFonts w:ascii="Arial" w:hAnsi="Arial"/>
        </w:rPr>
        <w:t xml:space="preserve"> (iPWR/NuScale basis); </w:t>
      </w:r>
      <w:r>
        <w:rPr>
          <w:rFonts w:ascii="Consolas" w:hAnsi="Consolas"/>
          <w:sz w:val="21"/>
        </w:rPr>
        <w:t>safety_criteria.yaml</w:t>
      </w:r>
      <w:r>
        <w:rPr>
          <w:rFonts w:ascii="Arial" w:hAnsi="Arial"/>
        </w:rPr>
        <w:t xml:space="preserve"> rows </w:t>
      </w:r>
      <w:r>
        <w:rPr>
          <w:rFonts w:ascii="Consolas" w:hAnsi="Consolas"/>
          <w:sz w:val="21"/>
        </w:rPr>
        <w:t>primary_pressure_design</w:t>
      </w:r>
      <w:r>
        <w:rPr>
          <w:rFonts w:ascii="Arial" w:hAnsi="Arial"/>
        </w:rPr>
        <w:t xml:space="preserve"> still carry the large-PWR default </w:t>
      </w:r>
      <w:r>
        <w:rPr>
          <w:rFonts w:ascii="Arial" w:hAnsi="Arial"/>
          <w:b/>
        </w:rPr>
        <w:t>15.5 / 17.2 MPa</w:t>
      </w:r>
      <w:r>
        <w:rPr>
          <w:rFonts w:ascii="Arial" w:hAnsi="Arial"/>
        </w:rPr>
        <w:t>. Azamhon to update the YAML to the iPWR values.</w:t>
      </w:r>
    </w:p>
    <w:p>
      <w:pPr>
        <w:pStyle w:val="ListNumber"/>
        <w:jc w:val="both"/>
      </w:pPr>
      <w:r>
        <w:rPr>
          <w:rFonts w:ascii="Arial" w:hAnsi="Arial"/>
          <w:b/>
        </w:rPr>
        <w:t>Loop-loss tally.</w:t>
      </w:r>
      <w:r>
        <w:rPr>
          <w:rFonts w:ascii="Arial" w:hAnsi="Arial"/>
        </w:rPr>
        <w:t xml:space="preserve"> Replace the lumped K_tot ≈ 8.6 with Adilbek's component-resolved loss breakdown (core grids, OTSG bundle, turn-around, downcomer) to close the loop balance exactly.</w:t>
      </w:r>
    </w:p>
    <w:p>
      <w:pPr>
        <w:pStyle w:val="ListNumber"/>
        <w:jc w:val="both"/>
      </w:pPr>
      <w:r>
        <w:rPr>
          <w:rFonts w:ascii="Arial" w:hAnsi="Arial"/>
          <w:b/>
        </w:rPr>
        <w:t>Fuel centerline number.</w:t>
      </w:r>
      <w:r>
        <w:rPr>
          <w:rFonts w:ascii="Arial" w:hAnsi="Arial"/>
        </w:rPr>
        <w:t xml:space="preserve"> Insert the peak centerline temperature from </w:t>
      </w:r>
      <w:r>
        <w:rPr>
          <w:rFonts w:ascii="Consolas" w:hAnsi="Consolas"/>
          <w:sz w:val="21"/>
        </w:rPr>
        <w:t>thermal_stack.py</w:t>
      </w:r>
      <w:r>
        <w:rPr>
          <w:rFonts w:ascii="Arial" w:hAnsi="Arial"/>
        </w:rPr>
        <w:t xml:space="preserve"> (limit 2590 °C) — value pending.</w:t>
      </w:r>
    </w:p>
    <w:p>
      <w:pPr>
        <w:pStyle w:val="ListNumber"/>
        <w:jc w:val="both"/>
      </w:pPr>
      <w:r>
        <w:rPr>
          <w:rFonts w:ascii="Arial" w:hAnsi="Arial"/>
          <w:b/>
        </w:rPr>
        <w:t>DHRS / self-pressurizer / CVCS sizing.</w:t>
      </w:r>
      <w:r>
        <w:rPr>
          <w:rFonts w:ascii="Arial" w:hAnsi="Arial"/>
        </w:rPr>
        <w:t xml:space="preserve"> Capacities in §8.4.4–8.4.5 are Tier-B; confirm with the §8.6 passive-safety analysis and the layout team.</w:t>
      </w:r>
    </w:p>
    <w:p>
      <w:pPr>
        <w:jc w:val="both"/>
      </w:pPr>
      <w:r>
        <w:rPr>
          <w:rFonts w:ascii="Arial" w:hAnsi="Arial"/>
        </w:rPr>
        <w:t>---</w:t>
      </w:r>
    </w:p>
    <w:p>
      <w:pPr>
        <w:spacing w:before="200" w:after="80"/>
      </w:pPr>
      <w:r>
        <w:rPr>
          <w:rFonts w:ascii="Arial Black" w:hAnsi="Arial Black"/>
          <w:b/>
          <w:color w:val="1F4E79"/>
          <w:sz w:val="28"/>
        </w:rPr>
        <w:t>References (§8.4)</w:t>
      </w:r>
    </w:p>
    <w:p>
      <w:pPr>
        <w:pStyle w:val="ListBullet"/>
        <w:jc w:val="both"/>
      </w:pPr>
      <w:r>
        <w:rPr>
          <w:rFonts w:ascii="Arial" w:hAnsi="Arial"/>
        </w:rPr>
        <w:t>N. E. Todreas, M. S. Kazimi, *Nuclear Systems I: Thermal Hydraulic Fundamentals* — single-phase natural-circulation loop analysis, friction/form losses.</w:t>
      </w:r>
    </w:p>
    <w:p>
      <w:pPr>
        <w:pStyle w:val="ListBullet"/>
        <w:jc w:val="both"/>
      </w:pPr>
      <w:r>
        <w:rPr>
          <w:rFonts w:ascii="Arial" w:hAnsi="Arial"/>
        </w:rPr>
        <w:t>L. S. Tong, *Boiling Heat Transfer and Two-Phase Flow* — W-3 CHF / DNBR correlation.</w:t>
      </w:r>
    </w:p>
    <w:p>
      <w:pPr>
        <w:pStyle w:val="ListBullet"/>
        <w:jc w:val="both"/>
      </w:pPr>
      <w:r>
        <w:rPr>
          <w:rFonts w:ascii="Arial" w:hAnsi="Arial"/>
        </w:rPr>
        <w:t>ANSI/ANS-5.1, *Decay Heat Power in Light Water Reactors*.</w:t>
      </w:r>
    </w:p>
    <w:p>
      <w:pPr>
        <w:pStyle w:val="ListBullet"/>
        <w:jc w:val="both"/>
      </w:pPr>
      <w:r>
        <w:rPr>
          <w:rFonts w:ascii="Arial" w:hAnsi="Arial"/>
        </w:rPr>
        <w:t xml:space="preserve">IAPWS-IF97 (water/steam properties); models </w:t>
      </w:r>
      <w:r>
        <w:rPr>
          <w:rFonts w:ascii="Consolas" w:hAnsi="Consolas"/>
          <w:sz w:val="21"/>
        </w:rPr>
        <w:t>scripts/natcirc_primary.py</w:t>
      </w:r>
      <w:r>
        <w:rPr>
          <w:rFonts w:ascii="Arial" w:hAnsi="Arial"/>
        </w:rPr>
        <w:t xml:space="preserve">, </w:t>
      </w:r>
      <w:r>
        <w:rPr>
          <w:rFonts w:ascii="Consolas" w:hAnsi="Consolas"/>
          <w:sz w:val="21"/>
        </w:rPr>
        <w:t>scripts/thermo_cycle.py</w:t>
      </w:r>
      <w:r>
        <w:rPr>
          <w:rFonts w:ascii="Arial" w:hAnsi="Arial"/>
        </w:rPr>
        <w:t>.</w:t>
      </w:r>
    </w:p>
    <w:p>
      <w:pPr>
        <w:pStyle w:val="ListBullet"/>
        <w:jc w:val="both"/>
      </w:pPr>
      <w:r>
        <w:rPr>
          <w:rFonts w:ascii="Arial" w:hAnsi="Arial"/>
        </w:rPr>
        <w:t>NuScale Power, *Design Certification Application* — integral-PWR natural-circulation / OTSG reference (12.8 MPa primary, helical OTSG).</w:t>
      </w:r>
    </w:p>
    <w:p>
      <w:pPr>
        <w:pStyle w:val="ListBullet"/>
        <w:jc w:val="both"/>
      </w:pPr>
      <w:r>
        <w:rPr>
          <w:rFonts w:ascii="Arial" w:hAnsi="Arial"/>
        </w:rPr>
        <w:t>IAEA, *CAREM-25 Status Report* — natural-circulation integral PWR reference.</w:t>
      </w:r>
    </w:p>
    <w:p>
      <w:r>
        <w:br w:type="page"/>
      </w:r>
    </w:p>
    <w:p>
      <w:pPr>
        <w:spacing w:before="200" w:after="80"/>
      </w:pPr>
      <w:r>
        <w:rPr>
          <w:rFonts w:ascii="Arial Black" w:hAnsi="Arial Black"/>
          <w:b/>
          <w:color w:val="1F4E79"/>
          <w:sz w:val="28"/>
        </w:rPr>
        <w:t>§8.9 Energy Cycle &amp; Integrated Systems</w:t>
      </w:r>
    </w:p>
    <w:p>
      <w:pPr>
        <w:spacing w:before="200" w:after="80"/>
      </w:pPr>
      <w:r>
        <w:rPr>
          <w:rFonts w:ascii="Arial Black" w:hAnsi="Arial Black"/>
          <w:b/>
          <w:color w:val="1F4E79"/>
          <w:sz w:val="25"/>
        </w:rPr>
        <w:t>8.9.1 Energy-conversion architecture</w:t>
      </w:r>
    </w:p>
    <w:p>
      <w:pPr>
        <w:jc w:val="both"/>
      </w:pPr>
      <w:r>
        <w:rPr>
          <w:rFonts w:ascii="Arial" w:hAnsi="Arial"/>
        </w:rPr>
        <w:t xml:space="preserve">Aegis-40 converts </w:t>
      </w:r>
      <w:r>
        <w:rPr>
          <w:rFonts w:ascii="Arial" w:hAnsi="Arial"/>
          <w:b/>
        </w:rPr>
        <w:t>125 MWth</w:t>
      </w:r>
      <w:r>
        <w:rPr>
          <w:rFonts w:ascii="Arial" w:hAnsi="Arial"/>
        </w:rPr>
        <w:t xml:space="preserve"> of core thermal power into </w:t>
      </w:r>
      <w:r>
        <w:rPr>
          <w:rFonts w:ascii="Arial" w:hAnsi="Arial"/>
          <w:b/>
        </w:rPr>
        <w:t>40 MWe (net)</w:t>
      </w:r>
      <w:r>
        <w:rPr>
          <w:rFonts w:ascii="Arial" w:hAnsi="Arial"/>
        </w:rPr>
        <w:t xml:space="preserve"> through a single-reheat-free</w:t>
      </w:r>
    </w:p>
    <w:p>
      <w:pPr>
        <w:jc w:val="both"/>
      </w:pPr>
      <w:r>
        <w:rPr>
          <w:rFonts w:ascii="Arial" w:hAnsi="Arial"/>
          <w:b/>
        </w:rPr>
        <w:t>regenerative superheated Rankine cycle</w:t>
      </w:r>
      <w:r>
        <w:rPr>
          <w:rFonts w:ascii="Arial" w:hAnsi="Arial"/>
        </w:rPr>
        <w:t xml:space="preserve"> on the secondary side of the integral once-through steam generator (OTSG). The primary loop is </w:t>
      </w:r>
      <w:r>
        <w:rPr>
          <w:rFonts w:ascii="Arial" w:hAnsi="Arial"/>
          <w:b/>
        </w:rPr>
        <w:t>natural-circulation</w:t>
      </w:r>
      <w:r>
        <w:rPr>
          <w:rFonts w:ascii="Arial" w:hAnsi="Arial"/>
        </w:rPr>
        <w:t xml:space="preserve"> (no reactor coolant pumps), so the only rotating primary machinery is eliminated and the entire nuclear steam supply system is contained inside the reactor pressure vessel (see the integral-RPV model, §8.1 / </w:t>
      </w:r>
      <w:r>
        <w:rPr>
          <w:rFonts w:ascii="Consolas" w:hAnsi="Consolas"/>
          <w:sz w:val="21"/>
        </w:rPr>
        <w:t>cad/aegis_rpv.step</w:t>
      </w:r>
      <w:r>
        <w:rPr>
          <w:rFonts w:ascii="Arial" w:hAnsi="Arial"/>
        </w:rPr>
        <w:t>). Heat crosses the pressure boundary once, in the helical-coil OTSG, and never returns — there is no intermediate loop on the power-conversion path.</w:t>
      </w:r>
    </w:p>
    <w:p>
      <w:pPr>
        <w:jc w:val="both"/>
      </w:pPr>
      <w:r>
        <w:rPr>
          <w:rFonts w:ascii="Arial" w:hAnsi="Arial"/>
        </w:rPr>
        <w:t>The secondary flow path (Figure 8.9-1) is:</w:t>
      </w:r>
    </w:p>
    <w:p>
      <w:pPr>
        <w:spacing w:before="40"/>
        <w:ind w:left="340"/>
      </w:pPr>
      <w:r>
        <w:rPr>
          <w:rFonts w:ascii="Arial" w:hAnsi="Arial"/>
          <w:i/>
          <w:color w:val="555555"/>
          <w:sz w:val="21"/>
        </w:rPr>
        <w:t xml:space="preserve">▸ </w:t>
      </w:r>
      <w:r>
        <w:rPr>
          <w:rFonts w:ascii="Arial" w:hAnsi="Arial"/>
          <w:i/>
          <w:color w:val="555555"/>
          <w:sz w:val="21"/>
        </w:rPr>
        <w:t xml:space="preserve">OTSG (superheated steam) → </w:t>
      </w:r>
      <w:r>
        <w:rPr>
          <w:rFonts w:ascii="Arial" w:hAnsi="Arial"/>
          <w:b/>
          <w:i/>
          <w:color w:val="555555"/>
          <w:sz w:val="21"/>
        </w:rPr>
        <w:t>high-pressure (HP) turbine</w:t>
      </w:r>
      <w:r>
        <w:rPr>
          <w:rFonts w:ascii="Arial" w:hAnsi="Arial"/>
          <w:i/>
          <w:color w:val="555555"/>
          <w:sz w:val="21"/>
        </w:rPr>
        <w:t xml:space="preserve"> → </w:t>
      </w:r>
      <w:r>
        <w:rPr>
          <w:rFonts w:ascii="Arial" w:hAnsi="Arial"/>
          <w:b/>
          <w:i/>
          <w:color w:val="555555"/>
          <w:sz w:val="21"/>
        </w:rPr>
        <w:t>moisture separator (MS)</w:t>
      </w:r>
      <w:r>
        <w:rPr>
          <w:rFonts w:ascii="Arial" w:hAnsi="Arial"/>
          <w:i/>
          <w:color w:val="555555"/>
          <w:sz w:val="21"/>
        </w:rPr>
        <w:t xml:space="preserve"> → </w:t>
      </w:r>
      <w:r>
        <w:rPr>
          <w:rFonts w:ascii="Arial" w:hAnsi="Arial"/>
          <w:b/>
          <w:i/>
          <w:color w:val="555555"/>
          <w:sz w:val="21"/>
        </w:rPr>
        <w:t>low-pressure (LP) turbine</w:t>
      </w:r>
      <w:r>
        <w:rPr>
          <w:rFonts w:ascii="Arial" w:hAnsi="Arial"/>
          <w:i/>
          <w:color w:val="555555"/>
          <w:sz w:val="21"/>
        </w:rPr>
        <w:t xml:space="preserve"> → </w:t>
      </w:r>
      <w:r>
        <w:rPr>
          <w:rFonts w:ascii="Arial" w:hAnsi="Arial"/>
          <w:b/>
          <w:i/>
          <w:color w:val="555555"/>
          <w:sz w:val="21"/>
        </w:rPr>
        <w:t>condenser</w:t>
      </w:r>
      <w:r>
        <w:rPr>
          <w:rFonts w:ascii="Arial" w:hAnsi="Arial"/>
          <w:i/>
          <w:color w:val="555555"/>
          <w:sz w:val="21"/>
        </w:rPr>
        <w:t xml:space="preserve"> → condensate pump → </w:t>
      </w:r>
      <w:r>
        <w:rPr>
          <w:rFonts w:ascii="Arial" w:hAnsi="Arial"/>
          <w:b/>
          <w:i/>
          <w:color w:val="555555"/>
          <w:sz w:val="21"/>
        </w:rPr>
        <w:t>deaerator (open FWH-2)</w:t>
      </w:r>
      <w:r>
        <w:rPr>
          <w:rFonts w:ascii="Arial" w:hAnsi="Arial"/>
          <w:i/>
          <w:color w:val="555555"/>
          <w:sz w:val="21"/>
        </w:rPr>
        <w:t xml:space="preserve"> → booster pump → </w:t>
      </w:r>
      <w:r>
        <w:rPr>
          <w:rFonts w:ascii="Arial" w:hAnsi="Arial"/>
          <w:b/>
          <w:i/>
          <w:color w:val="555555"/>
          <w:sz w:val="21"/>
        </w:rPr>
        <w:t>HP feedwater heater (open FWH-1)</w:t>
      </w:r>
      <w:r>
        <w:rPr>
          <w:rFonts w:ascii="Arial" w:hAnsi="Arial"/>
          <w:i/>
          <w:color w:val="555555"/>
          <w:sz w:val="21"/>
        </w:rPr>
        <w:t xml:space="preserve"> → main feed pump → back to the OTSG.</w:t>
      </w:r>
    </w:p>
    <w:p>
      <w:pPr>
        <w:jc w:val="both"/>
      </w:pPr>
      <w:r>
        <w:rPr>
          <w:rFonts w:ascii="Arial" w:hAnsi="Arial"/>
        </w:rPr>
        <w:t>Two open feedwater heaters and a crossover moisture separator are the only secondary heat-management components beyond the turbine, condenser and pumps — a deliberately simple balance of plant appropriate to a 40 MWe SMR.</w:t>
      </w:r>
    </w:p>
    <w:p>
      <w:pPr>
        <w:jc w:val="both"/>
      </w:pPr>
      <w:r>
        <w:rPr>
          <w:rFonts w:ascii="Arial" w:hAnsi="Arial"/>
          <w:b/>
        </w:rPr>
        <w:t>A single turbine-generator.</w:t>
      </w:r>
      <w:r>
        <w:rPr>
          <w:rFonts w:ascii="Arial" w:hAnsi="Arial"/>
        </w:rPr>
        <w:t xml:space="preserve"> The HP and LP stages and the crossover moisture separator are mounted on</w:t>
      </w:r>
    </w:p>
    <w:p>
      <w:pPr>
        <w:jc w:val="both"/>
      </w:pPr>
      <w:r>
        <w:rPr>
          <w:rFonts w:ascii="Arial" w:hAnsi="Arial"/>
          <w:b/>
        </w:rPr>
        <w:t>one shaft driving one generator</w:t>
      </w:r>
      <w:r>
        <w:rPr>
          <w:rFonts w:ascii="Arial" w:hAnsi="Arial"/>
        </w:rPr>
        <w:t xml:space="preserve"> — a *single tandem-compound turbine-generator* (T-1), which is the conventional arrangement for an LWR SMR of this rating. This is a deliberate simplification over a two-turbine (separate HP/LP machine) layout: one casing line, one shaft train, one generator, one lubrication/control system and one foundation reduce capital cost, building volume and commissioning complexity, and remove a cross-coupling between machines — material gains in construction ease and economics at 40 MWe. The district-heat and hydrogen off-takes below add </w:t>
      </w:r>
      <w:r>
        <w:rPr>
          <w:rFonts w:ascii="Arial" w:hAnsi="Arial"/>
          <w:b/>
        </w:rPr>
        <w:t>no</w:t>
      </w:r>
      <w:r>
        <w:rPr>
          <w:rFonts w:ascii="Arial" w:hAnsi="Arial"/>
        </w:rPr>
        <w:t xml:space="preserve"> further turbine: the thermochemical store is charged from a steam *extraction* (not a back-pressure pass-out machine), so the single-turbine architecture is preserved end-to-end.</w:t>
      </w:r>
    </w:p>
    <w:p>
      <w:pPr>
        <w:jc w:val="both"/>
      </w:pPr>
      <w:r>
        <w:rPr>
          <w:rFonts w:ascii="Arial" w:hAnsi="Arial"/>
          <w:b/>
        </w:rPr>
        <w:t>Figure 8.9-1</w:t>
      </w:r>
      <w:r>
        <w:rPr>
          <w:rFonts w:ascii="Arial" w:hAnsi="Arial"/>
        </w:rPr>
        <w:t xml:space="preserve"> (</w:t>
      </w:r>
      <w:r>
        <w:rPr>
          <w:rFonts w:ascii="Consolas" w:hAnsi="Consolas"/>
          <w:sz w:val="21"/>
        </w:rPr>
        <w:t>cycle/plant_pfd_seawater_h2.png</w:t>
      </w:r>
      <w:r>
        <w:rPr>
          <w:rFonts w:ascii="Arial" w:hAnsi="Arial"/>
        </w:rPr>
        <w:t xml:space="preserve">, generated by </w:t>
      </w:r>
      <w:r>
        <w:rPr>
          <w:rFonts w:ascii="Consolas" w:hAnsi="Consolas"/>
          <w:sz w:val="21"/>
        </w:rPr>
        <w:t>scripts/plant_pfd_seawater_h2.py</w:t>
      </w:r>
      <w:r>
        <w:rPr>
          <w:rFonts w:ascii="Arial" w:hAnsi="Arial"/>
        </w:rPr>
        <w:t xml:space="preserve">) is the integrated-plant process-flow diagram: the integral RPV (natural circulation, in-vessel helical OTSG, self-pressurizer, in-vessel CRDM); the main-steam header with turbine control valves (TCVs); the HP turbine, moisture separator, LP turbine and generator; the condenser and the once-through </w:t>
      </w:r>
      <w:r>
        <w:rPr>
          <w:rFonts w:ascii="Arial" w:hAnsi="Arial"/>
          <w:b/>
        </w:rPr>
        <w:t>seawater</w:t>
      </w:r>
      <w:r>
        <w:rPr>
          <w:rFonts w:ascii="Arial" w:hAnsi="Arial"/>
        </w:rPr>
        <w:t xml:space="preserve"> circuit to the Black Sea; the regenerative feedwater train (condensate pump → deaerator → booster pump → FWH-1 → main feed pump) with the two turbine extractions; the </w:t>
      </w:r>
      <w:r>
        <w:rPr>
          <w:rFonts w:ascii="Arial" w:hAnsi="Arial"/>
          <w:b/>
        </w:rPr>
        <w:t>thermochemical (zeolite-13X) sorption store</w:t>
      </w:r>
      <w:r>
        <w:rPr>
          <w:rFonts w:ascii="Arial" w:hAnsi="Arial"/>
        </w:rPr>
        <w:t xml:space="preserve"> that supplies district heating (§8.9.5); and the off-peak hydrogen electrolyser (§8.9.6). Streams are colour-coded (primary, steam, feedwater, sorption-store charge/discharge, seawater, electricity, hydrogen, district heat).</w:t>
      </w:r>
    </w:p>
    <w:p>
      <w:pPr>
        <w:spacing w:before="200" w:after="80"/>
      </w:pPr>
      <w:r>
        <w:rPr>
          <w:rFonts w:ascii="Arial Black" w:hAnsi="Arial Black"/>
          <w:b/>
          <w:color w:val="1F4E79"/>
          <w:sz w:val="25"/>
        </w:rPr>
        <w:t>8.9.2 Cycle configuration and design choices</w:t>
      </w:r>
    </w:p>
    <w:tbl>
      <w:tblPr>
        <w:tblStyle w:val="TableGrid"/>
        <w:tblW w:type="auto" w:w="0"/>
        <w:jc w:val="center"/>
        <w:tblLook w:firstColumn="1" w:firstRow="1" w:lastColumn="0" w:lastRow="0" w:noHBand="0" w:noVBand="1" w:val="04A0"/>
      </w:tblPr>
      <w:tblGrid>
        <w:gridCol w:w="4703"/>
        <w:gridCol w:w="4703"/>
      </w:tblGrid>
      <w:tr>
        <w:tc>
          <w:tcPr>
            <w:tcW w:type="dxa" w:w="4703"/>
            <w:shd w:val="clear" w:fill="DDE3EA"/>
          </w:tcPr>
          <w:p>
            <w:r>
              <w:rPr>
                <w:rFonts w:ascii="Arial" w:hAnsi="Arial"/>
                <w:b/>
                <w:sz w:val="20"/>
              </w:rPr>
            </w:r>
            <w:r>
              <w:rPr>
                <w:rFonts w:ascii="Arial" w:hAnsi="Arial"/>
                <w:b/>
                <w:sz w:val="20"/>
              </w:rPr>
              <w:t>Parameter</w:t>
            </w:r>
          </w:p>
        </w:tc>
        <w:tc>
          <w:tcPr>
            <w:tcW w:type="dxa" w:w="4703"/>
            <w:shd w:val="clear" w:fill="DDE3EA"/>
          </w:tcPr>
          <w:p>
            <w:r>
              <w:rPr>
                <w:rFonts w:ascii="Arial" w:hAnsi="Arial"/>
                <w:b/>
                <w:sz w:val="20"/>
              </w:rPr>
            </w:r>
            <w:r>
              <w:rPr>
                <w:rFonts w:ascii="Arial" w:hAnsi="Arial"/>
                <w:b/>
                <w:sz w:val="20"/>
              </w:rPr>
              <w:t>Value</w:t>
            </w:r>
          </w:p>
        </w:tc>
      </w:tr>
      <w:tr>
        <w:tc>
          <w:tcPr>
            <w:tcW w:type="dxa" w:w="4703"/>
          </w:tcPr>
          <w:p>
            <w:r>
              <w:rPr>
                <w:rFonts w:ascii="Arial" w:hAnsi="Arial"/>
                <w:sz w:val="20"/>
              </w:rPr>
            </w:r>
            <w:r>
              <w:rPr>
                <w:rFonts w:ascii="Arial" w:hAnsi="Arial"/>
                <w:sz w:val="20"/>
              </w:rPr>
              <w:t>Net electric output</w:t>
            </w:r>
          </w:p>
        </w:tc>
        <w:tc>
          <w:tcPr>
            <w:tcW w:type="dxa" w:w="4703"/>
          </w:tcPr>
          <w:p>
            <w:r>
              <w:rPr>
                <w:rFonts w:ascii="Arial" w:hAnsi="Arial"/>
                <w:sz w:val="20"/>
              </w:rPr>
            </w:r>
            <w:r>
              <w:rPr>
                <w:rFonts w:ascii="Arial" w:hAnsi="Arial"/>
                <w:b/>
                <w:sz w:val="20"/>
              </w:rPr>
              <w:t>40.0 MWe</w:t>
            </w:r>
          </w:p>
        </w:tc>
      </w:tr>
      <w:tr>
        <w:tc>
          <w:tcPr>
            <w:tcW w:type="dxa" w:w="4703"/>
          </w:tcPr>
          <w:p>
            <w:r>
              <w:rPr>
                <w:rFonts w:ascii="Arial" w:hAnsi="Arial"/>
                <w:sz w:val="20"/>
              </w:rPr>
            </w:r>
            <w:r>
              <w:rPr>
                <w:rFonts w:ascii="Arial" w:hAnsi="Arial"/>
                <w:sz w:val="20"/>
              </w:rPr>
              <w:t>Core thermal power (= secondary heat in)</w:t>
            </w:r>
          </w:p>
        </w:tc>
        <w:tc>
          <w:tcPr>
            <w:tcW w:type="dxa" w:w="4703"/>
          </w:tcPr>
          <w:p>
            <w:r>
              <w:rPr>
                <w:rFonts w:ascii="Arial" w:hAnsi="Arial"/>
                <w:sz w:val="20"/>
              </w:rPr>
            </w:r>
            <w:r>
              <w:rPr>
                <w:rFonts w:ascii="Arial" w:hAnsi="Arial"/>
                <w:sz w:val="20"/>
              </w:rPr>
              <w:t>125 MWth</w:t>
            </w:r>
          </w:p>
        </w:tc>
      </w:tr>
      <w:tr>
        <w:tc>
          <w:tcPr>
            <w:tcW w:type="dxa" w:w="4703"/>
          </w:tcPr>
          <w:p>
            <w:r>
              <w:rPr>
                <w:rFonts w:ascii="Arial" w:hAnsi="Arial"/>
                <w:sz w:val="20"/>
              </w:rPr>
            </w:r>
            <w:r>
              <w:rPr>
                <w:rFonts w:ascii="Arial" w:hAnsi="Arial"/>
                <w:sz w:val="20"/>
              </w:rPr>
              <w:t>Turbine-inlet (OTSG) steam pressure</w:t>
            </w:r>
          </w:p>
        </w:tc>
        <w:tc>
          <w:tcPr>
            <w:tcW w:type="dxa" w:w="4703"/>
          </w:tcPr>
          <w:p>
            <w:r>
              <w:rPr>
                <w:rFonts w:ascii="Arial" w:hAnsi="Arial"/>
                <w:sz w:val="20"/>
              </w:rPr>
            </w:r>
            <w:r>
              <w:rPr>
                <w:rFonts w:ascii="Arial" w:hAnsi="Arial"/>
                <w:b/>
                <w:sz w:val="20"/>
              </w:rPr>
              <w:t>4.5 MPa</w:t>
            </w:r>
          </w:p>
        </w:tc>
      </w:tr>
      <w:tr>
        <w:tc>
          <w:tcPr>
            <w:tcW w:type="dxa" w:w="4703"/>
          </w:tcPr>
          <w:p>
            <w:r>
              <w:rPr>
                <w:rFonts w:ascii="Arial" w:hAnsi="Arial"/>
                <w:sz w:val="20"/>
              </w:rPr>
            </w:r>
            <w:r>
              <w:rPr>
                <w:rFonts w:ascii="Arial" w:hAnsi="Arial"/>
                <w:sz w:val="20"/>
              </w:rPr>
              <w:t>Turbine-inlet steam temperature</w:t>
            </w:r>
          </w:p>
        </w:tc>
        <w:tc>
          <w:tcPr>
            <w:tcW w:type="dxa" w:w="4703"/>
          </w:tcPr>
          <w:p>
            <w:r>
              <w:rPr>
                <w:rFonts w:ascii="Arial" w:hAnsi="Arial"/>
                <w:sz w:val="20"/>
              </w:rPr>
            </w:r>
            <w:r>
              <w:rPr>
                <w:rFonts w:ascii="Arial" w:hAnsi="Arial"/>
                <w:b/>
                <w:sz w:val="20"/>
              </w:rPr>
              <w:t>296 °C</w:t>
            </w:r>
          </w:p>
        </w:tc>
      </w:tr>
      <w:tr>
        <w:tc>
          <w:tcPr>
            <w:tcW w:type="dxa" w:w="4703"/>
          </w:tcPr>
          <w:p>
            <w:r>
              <w:rPr>
                <w:rFonts w:ascii="Arial" w:hAnsi="Arial"/>
                <w:sz w:val="20"/>
              </w:rPr>
            </w:r>
            <w:r>
              <w:rPr>
                <w:rFonts w:ascii="Arial" w:hAnsi="Arial"/>
                <w:sz w:val="20"/>
              </w:rPr>
              <w:t>Steam mass flow</w:t>
            </w:r>
          </w:p>
        </w:tc>
        <w:tc>
          <w:tcPr>
            <w:tcW w:type="dxa" w:w="4703"/>
          </w:tcPr>
          <w:p>
            <w:r>
              <w:rPr>
                <w:rFonts w:ascii="Arial" w:hAnsi="Arial"/>
                <w:sz w:val="20"/>
              </w:rPr>
            </w:r>
            <w:r>
              <w:rPr>
                <w:rFonts w:ascii="Arial" w:hAnsi="Arial"/>
                <w:sz w:val="20"/>
              </w:rPr>
              <w:t>57.8 kg/s</w:t>
            </w:r>
          </w:p>
        </w:tc>
      </w:tr>
      <w:tr>
        <w:tc>
          <w:tcPr>
            <w:tcW w:type="dxa" w:w="4703"/>
          </w:tcPr>
          <w:p>
            <w:r>
              <w:rPr>
                <w:rFonts w:ascii="Arial" w:hAnsi="Arial"/>
                <w:sz w:val="20"/>
              </w:rPr>
            </w:r>
            <w:r>
              <w:rPr>
                <w:rFonts w:ascii="Arial" w:hAnsi="Arial"/>
                <w:sz w:val="20"/>
              </w:rPr>
              <w:t>Condenser pressure</w:t>
            </w:r>
          </w:p>
        </w:tc>
        <w:tc>
          <w:tcPr>
            <w:tcW w:type="dxa" w:w="4703"/>
          </w:tcPr>
          <w:p>
            <w:r>
              <w:rPr>
                <w:rFonts w:ascii="Arial" w:hAnsi="Arial"/>
                <w:sz w:val="20"/>
              </w:rPr>
            </w:r>
            <w:r>
              <w:rPr>
                <w:rFonts w:ascii="Arial" w:hAnsi="Arial"/>
                <w:sz w:val="20"/>
              </w:rPr>
              <w:t>7 kPa (Tsat 39 °C)</w:t>
            </w:r>
          </w:p>
        </w:tc>
      </w:tr>
      <w:tr>
        <w:tc>
          <w:tcPr>
            <w:tcW w:type="dxa" w:w="4703"/>
          </w:tcPr>
          <w:p>
            <w:r>
              <w:rPr>
                <w:rFonts w:ascii="Arial" w:hAnsi="Arial"/>
                <w:sz w:val="20"/>
              </w:rPr>
            </w:r>
            <w:r>
              <w:rPr>
                <w:rFonts w:ascii="Arial" w:hAnsi="Arial"/>
                <w:sz w:val="20"/>
              </w:rPr>
              <w:t>HP extraction → FWH-1</w:t>
            </w:r>
          </w:p>
        </w:tc>
        <w:tc>
          <w:tcPr>
            <w:tcW w:type="dxa" w:w="4703"/>
          </w:tcPr>
          <w:p>
            <w:r>
              <w:rPr>
                <w:rFonts w:ascii="Arial" w:hAnsi="Arial"/>
                <w:sz w:val="20"/>
              </w:rPr>
            </w:r>
            <w:r>
              <w:rPr>
                <w:rFonts w:ascii="Arial" w:hAnsi="Arial"/>
                <w:sz w:val="20"/>
              </w:rPr>
              <w:t>1.0 MPa</w:t>
            </w:r>
          </w:p>
        </w:tc>
      </w:tr>
      <w:tr>
        <w:tc>
          <w:tcPr>
            <w:tcW w:type="dxa" w:w="4703"/>
          </w:tcPr>
          <w:p>
            <w:r>
              <w:rPr>
                <w:rFonts w:ascii="Arial" w:hAnsi="Arial"/>
                <w:sz w:val="20"/>
              </w:rPr>
            </w:r>
            <w:r>
              <w:rPr>
                <w:rFonts w:ascii="Arial" w:hAnsi="Arial"/>
                <w:sz w:val="20"/>
              </w:rPr>
              <w:t>Crossover / MS + deaerator</w:t>
            </w:r>
          </w:p>
        </w:tc>
        <w:tc>
          <w:tcPr>
            <w:tcW w:type="dxa" w:w="4703"/>
          </w:tcPr>
          <w:p>
            <w:r>
              <w:rPr>
                <w:rFonts w:ascii="Arial" w:hAnsi="Arial"/>
                <w:sz w:val="20"/>
              </w:rPr>
            </w:r>
            <w:r>
              <w:rPr>
                <w:rFonts w:ascii="Arial" w:hAnsi="Arial"/>
                <w:sz w:val="20"/>
              </w:rPr>
              <w:t>0.15 MPa</w:t>
            </w:r>
          </w:p>
        </w:tc>
      </w:tr>
      <w:tr>
        <w:tc>
          <w:tcPr>
            <w:tcW w:type="dxa" w:w="4703"/>
          </w:tcPr>
          <w:p>
            <w:r>
              <w:rPr>
                <w:rFonts w:ascii="Arial" w:hAnsi="Arial"/>
                <w:sz w:val="20"/>
              </w:rPr>
            </w:r>
            <w:r>
              <w:rPr>
                <w:rFonts w:ascii="Arial" w:hAnsi="Arial"/>
                <w:sz w:val="20"/>
              </w:rPr>
              <w:t>Turbine isentropic efficiency</w:t>
            </w:r>
          </w:p>
        </w:tc>
        <w:tc>
          <w:tcPr>
            <w:tcW w:type="dxa" w:w="4703"/>
          </w:tcPr>
          <w:p>
            <w:r>
              <w:rPr>
                <w:rFonts w:ascii="Arial" w:hAnsi="Arial"/>
                <w:sz w:val="20"/>
              </w:rPr>
            </w:r>
            <w:r>
              <w:rPr>
                <w:rFonts w:ascii="Arial" w:hAnsi="Arial"/>
                <w:sz w:val="20"/>
              </w:rPr>
              <w:t>0.85</w:t>
            </w:r>
          </w:p>
        </w:tc>
      </w:tr>
      <w:tr>
        <w:tc>
          <w:tcPr>
            <w:tcW w:type="dxa" w:w="4703"/>
          </w:tcPr>
          <w:p>
            <w:r>
              <w:rPr>
                <w:rFonts w:ascii="Arial" w:hAnsi="Arial"/>
                <w:sz w:val="20"/>
              </w:rPr>
            </w:r>
            <w:r>
              <w:rPr>
                <w:rFonts w:ascii="Arial" w:hAnsi="Arial"/>
                <w:sz w:val="20"/>
              </w:rPr>
              <w:t>Pump isentropic efficiency</w:t>
            </w:r>
          </w:p>
        </w:tc>
        <w:tc>
          <w:tcPr>
            <w:tcW w:type="dxa" w:w="4703"/>
          </w:tcPr>
          <w:p>
            <w:r>
              <w:rPr>
                <w:rFonts w:ascii="Arial" w:hAnsi="Arial"/>
                <w:sz w:val="20"/>
              </w:rPr>
            </w:r>
            <w:r>
              <w:rPr>
                <w:rFonts w:ascii="Arial" w:hAnsi="Arial"/>
                <w:sz w:val="20"/>
              </w:rPr>
              <w:t>0.82</w:t>
            </w:r>
          </w:p>
        </w:tc>
      </w:tr>
      <w:tr>
        <w:tc>
          <w:tcPr>
            <w:tcW w:type="dxa" w:w="4703"/>
          </w:tcPr>
          <w:p>
            <w:r>
              <w:rPr>
                <w:rFonts w:ascii="Arial" w:hAnsi="Arial"/>
                <w:sz w:val="20"/>
              </w:rPr>
            </w:r>
            <w:r>
              <w:rPr>
                <w:rFonts w:ascii="Arial" w:hAnsi="Arial"/>
                <w:sz w:val="20"/>
              </w:rPr>
              <w:t>Generator × mechanical</w:t>
            </w:r>
          </w:p>
        </w:tc>
        <w:tc>
          <w:tcPr>
            <w:tcW w:type="dxa" w:w="4703"/>
          </w:tcPr>
          <w:p>
            <w:r>
              <w:rPr>
                <w:rFonts w:ascii="Arial" w:hAnsi="Arial"/>
                <w:sz w:val="20"/>
              </w:rPr>
            </w:r>
            <w:r>
              <w:rPr>
                <w:rFonts w:ascii="Arial" w:hAnsi="Arial"/>
                <w:sz w:val="20"/>
              </w:rPr>
              <w:t>0.985</w:t>
            </w:r>
          </w:p>
        </w:tc>
      </w:tr>
      <w:tr>
        <w:tc>
          <w:tcPr>
            <w:tcW w:type="dxa" w:w="4703"/>
          </w:tcPr>
          <w:p>
            <w:r>
              <w:rPr>
                <w:rFonts w:ascii="Arial" w:hAnsi="Arial"/>
                <w:sz w:val="20"/>
              </w:rPr>
            </w:r>
            <w:r>
              <w:rPr>
                <w:rFonts w:ascii="Arial" w:hAnsi="Arial"/>
                <w:sz w:val="20"/>
              </w:rPr>
              <w:t>Balance-of-plant house load</w:t>
            </w:r>
          </w:p>
        </w:tc>
        <w:tc>
          <w:tcPr>
            <w:tcW w:type="dxa" w:w="4703"/>
          </w:tcPr>
          <w:p>
            <w:r>
              <w:rPr>
                <w:rFonts w:ascii="Arial" w:hAnsi="Arial"/>
                <w:sz w:val="20"/>
              </w:rPr>
            </w:r>
            <w:r>
              <w:rPr>
                <w:rFonts w:ascii="Arial" w:hAnsi="Arial"/>
                <w:sz w:val="20"/>
              </w:rPr>
              <w:t>5.0 % of gross</w:t>
            </w:r>
          </w:p>
        </w:tc>
      </w:tr>
    </w:tbl>
    <w:p/>
    <w:p>
      <w:pPr>
        <w:jc w:val="both"/>
      </w:pPr>
      <w:r>
        <w:rPr>
          <w:rFonts w:ascii="Arial" w:hAnsi="Arial"/>
          <w:b/>
        </w:rPr>
        <w:t>Why a moisture separator.</w:t>
      </w:r>
      <w:r>
        <w:rPr>
          <w:rFonts w:ascii="Arial" w:hAnsi="Arial"/>
        </w:rPr>
        <w:t xml:space="preserve"> Expanding near-saturated steam from 4.5 MPa straight to the 7 kPa condenser would leave the last turbine stage at ~22 % moisture — far past the ~12 % blade-erosion limit. A moisture separator at the 0.15 MPa crossover dries the steam to saturated vapour before the final LP stage, holding </w:t>
      </w:r>
      <w:r>
        <w:rPr>
          <w:rFonts w:ascii="Arial" w:hAnsi="Arial"/>
          <w:b/>
        </w:rPr>
        <w:t>last-stage moisture to 10.8 % (exhaust quality x = 0.892)</w:t>
      </w:r>
      <w:r>
        <w:rPr>
          <w:rFonts w:ascii="Arial" w:hAnsi="Arial"/>
        </w:rPr>
        <w:t>, within accepted practice. The separated liquid drains to the deaerator at the same pressure.</w:t>
      </w:r>
    </w:p>
    <w:p>
      <w:pPr>
        <w:jc w:val="both"/>
      </w:pPr>
      <w:r>
        <w:rPr>
          <w:rFonts w:ascii="Arial" w:hAnsi="Arial"/>
          <w:b/>
        </w:rPr>
        <w:t>Why regeneration.</w:t>
      </w:r>
      <w:r>
        <w:rPr>
          <w:rFonts w:ascii="Arial" w:hAnsi="Arial"/>
        </w:rPr>
        <w:t xml:space="preserve"> The two open feedwater heaters raise the feedwater temperature from 39 °C (condenser) to 180 °C before the OTSG, lifting the mean temperature of heat addition and the cycle efficiency from ~29 % (simple Rankine) to </w:t>
      </w:r>
      <w:r>
        <w:rPr>
          <w:rFonts w:ascii="Arial" w:hAnsi="Arial"/>
          <w:b/>
        </w:rPr>
        <w:t>33.7 % (gross)</w:t>
      </w:r>
      <w:r>
        <w:rPr>
          <w:rFonts w:ascii="Arial" w:hAnsi="Arial"/>
        </w:rPr>
        <w:t xml:space="preserve"> — the difference between missing and meeting the 40 MWe target. They also deaerate the feedwater (corrosion control) and reduce OTSG economizer duty, which improves the OTSG pinch (§8.9.4).</w:t>
      </w:r>
    </w:p>
    <w:p>
      <w:pPr>
        <w:spacing w:before="200" w:after="80"/>
      </w:pPr>
      <w:r>
        <w:rPr>
          <w:rFonts w:ascii="Arial Black" w:hAnsi="Arial Black"/>
          <w:b/>
          <w:color w:val="1F4E79"/>
          <w:sz w:val="25"/>
        </w:rPr>
        <w:t>8.9.3 State points and heat balance</w:t>
      </w:r>
    </w:p>
    <w:p>
      <w:pPr>
        <w:jc w:val="both"/>
      </w:pPr>
      <w:r>
        <w:rPr>
          <w:rFonts w:ascii="Arial" w:hAnsi="Arial"/>
          <w:b/>
        </w:rPr>
        <w:t>Table 8.9-2 — Cycle state points</w:t>
      </w:r>
      <w:r>
        <w:rPr>
          <w:rFonts w:ascii="Arial" w:hAnsi="Arial"/>
        </w:rPr>
        <w:t xml:space="preserve"> (IAPWS-IF97; full data in </w:t>
      </w:r>
      <w:r>
        <w:rPr>
          <w:rFonts w:ascii="Consolas" w:hAnsi="Consolas"/>
          <w:sz w:val="21"/>
        </w:rPr>
        <w:t>cycle/cycle_state_points.csv</w:t>
      </w:r>
      <w:r>
        <w:rPr>
          <w:rFonts w:ascii="Arial" w:hAnsi="Arial"/>
        </w:rPr>
        <w: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fill="DDE3EA"/>
          </w:tcPr>
          <w:p>
            <w:r>
              <w:rPr>
                <w:rFonts w:ascii="Arial" w:hAnsi="Arial"/>
                <w:b/>
                <w:sz w:val="20"/>
              </w:rPr>
            </w:r>
            <w:r>
              <w:rPr>
                <w:rFonts w:ascii="Arial" w:hAnsi="Arial"/>
                <w:b/>
                <w:sz w:val="20"/>
              </w:rPr>
              <w:t>#</w:t>
            </w:r>
          </w:p>
        </w:tc>
        <w:tc>
          <w:tcPr>
            <w:tcW w:type="dxa" w:w="1344"/>
            <w:shd w:val="clear" w:fill="DDE3EA"/>
          </w:tcPr>
          <w:p>
            <w:r>
              <w:rPr>
                <w:rFonts w:ascii="Arial" w:hAnsi="Arial"/>
                <w:b/>
                <w:sz w:val="20"/>
              </w:rPr>
            </w:r>
            <w:r>
              <w:rPr>
                <w:rFonts w:ascii="Arial" w:hAnsi="Arial"/>
                <w:b/>
                <w:sz w:val="20"/>
              </w:rPr>
              <w:t>Location</w:t>
            </w:r>
          </w:p>
        </w:tc>
        <w:tc>
          <w:tcPr>
            <w:tcW w:type="dxa" w:w="1344"/>
            <w:shd w:val="clear" w:fill="DDE3EA"/>
          </w:tcPr>
          <w:p>
            <w:r>
              <w:rPr>
                <w:rFonts w:ascii="Arial" w:hAnsi="Arial"/>
                <w:b/>
                <w:sz w:val="20"/>
              </w:rPr>
            </w:r>
            <w:r>
              <w:rPr>
                <w:rFonts w:ascii="Arial" w:hAnsi="Arial"/>
                <w:b/>
                <w:sz w:val="20"/>
              </w:rPr>
              <w:t>P (MPa)</w:t>
            </w:r>
          </w:p>
        </w:tc>
        <w:tc>
          <w:tcPr>
            <w:tcW w:type="dxa" w:w="1344"/>
            <w:shd w:val="clear" w:fill="DDE3EA"/>
          </w:tcPr>
          <w:p>
            <w:r>
              <w:rPr>
                <w:rFonts w:ascii="Arial" w:hAnsi="Arial"/>
                <w:b/>
                <w:sz w:val="20"/>
              </w:rPr>
            </w:r>
            <w:r>
              <w:rPr>
                <w:rFonts w:ascii="Arial" w:hAnsi="Arial"/>
                <w:b/>
                <w:sz w:val="20"/>
              </w:rPr>
              <w:t>T (°C)</w:t>
            </w:r>
          </w:p>
        </w:tc>
        <w:tc>
          <w:tcPr>
            <w:tcW w:type="dxa" w:w="1344"/>
            <w:shd w:val="clear" w:fill="DDE3EA"/>
          </w:tcPr>
          <w:p>
            <w:r>
              <w:rPr>
                <w:rFonts w:ascii="Arial" w:hAnsi="Arial"/>
                <w:b/>
                <w:sz w:val="20"/>
              </w:rPr>
            </w:r>
            <w:r>
              <w:rPr>
                <w:rFonts w:ascii="Arial" w:hAnsi="Arial"/>
                <w:b/>
                <w:sz w:val="20"/>
              </w:rPr>
              <w:t>h (kJ/kg)</w:t>
            </w:r>
          </w:p>
        </w:tc>
        <w:tc>
          <w:tcPr>
            <w:tcW w:type="dxa" w:w="1344"/>
            <w:shd w:val="clear" w:fill="DDE3EA"/>
          </w:tcPr>
          <w:p>
            <w:r>
              <w:rPr>
                <w:rFonts w:ascii="Arial" w:hAnsi="Arial"/>
                <w:b/>
                <w:sz w:val="20"/>
              </w:rPr>
            </w:r>
            <w:r>
              <w:rPr>
                <w:rFonts w:ascii="Arial" w:hAnsi="Arial"/>
                <w:b/>
                <w:sz w:val="20"/>
              </w:rPr>
              <w:t>s (kJ/kg·K)</w:t>
            </w:r>
          </w:p>
        </w:tc>
        <w:tc>
          <w:tcPr>
            <w:tcW w:type="dxa" w:w="1344"/>
            <w:shd w:val="clear" w:fill="DDE3EA"/>
          </w:tcPr>
          <w:p>
            <w:r>
              <w:rPr>
                <w:rFonts w:ascii="Arial" w:hAnsi="Arial"/>
                <w:b/>
                <w:sz w:val="20"/>
              </w:rPr>
            </w:r>
            <w:r>
              <w:rPr>
                <w:rFonts w:ascii="Arial" w:hAnsi="Arial"/>
                <w:b/>
                <w:sz w:val="20"/>
              </w:rPr>
              <w:t>x</w:t>
            </w:r>
          </w:p>
        </w:tc>
      </w:tr>
      <w:tr>
        <w:tc>
          <w:tcPr>
            <w:tcW w:type="dxa" w:w="1344"/>
          </w:tcPr>
          <w:p>
            <w:r>
              <w:rPr>
                <w:rFonts w:ascii="Arial" w:hAnsi="Arial"/>
                <w:sz w:val="20"/>
              </w:rPr>
            </w:r>
            <w:r>
              <w:rPr>
                <w:rFonts w:ascii="Arial" w:hAnsi="Arial"/>
                <w:sz w:val="20"/>
              </w:rPr>
              <w:t>1</w:t>
            </w:r>
          </w:p>
        </w:tc>
        <w:tc>
          <w:tcPr>
            <w:tcW w:type="dxa" w:w="1344"/>
          </w:tcPr>
          <w:p>
            <w:r>
              <w:rPr>
                <w:rFonts w:ascii="Arial" w:hAnsi="Arial"/>
                <w:sz w:val="20"/>
              </w:rPr>
            </w:r>
            <w:r>
              <w:rPr>
                <w:rFonts w:ascii="Arial" w:hAnsi="Arial"/>
                <w:sz w:val="20"/>
              </w:rPr>
              <w:t>Turbine inlet (OTSG steam)</w:t>
            </w:r>
          </w:p>
        </w:tc>
        <w:tc>
          <w:tcPr>
            <w:tcW w:type="dxa" w:w="1344"/>
          </w:tcPr>
          <w:p>
            <w:r>
              <w:rPr>
                <w:rFonts w:ascii="Arial" w:hAnsi="Arial"/>
                <w:sz w:val="20"/>
              </w:rPr>
            </w:r>
            <w:r>
              <w:rPr>
                <w:rFonts w:ascii="Arial" w:hAnsi="Arial"/>
                <w:sz w:val="20"/>
              </w:rPr>
              <w:t>4.500</w:t>
            </w:r>
          </w:p>
        </w:tc>
        <w:tc>
          <w:tcPr>
            <w:tcW w:type="dxa" w:w="1344"/>
          </w:tcPr>
          <w:p>
            <w:r>
              <w:rPr>
                <w:rFonts w:ascii="Arial" w:hAnsi="Arial"/>
                <w:sz w:val="20"/>
              </w:rPr>
            </w:r>
            <w:r>
              <w:rPr>
                <w:rFonts w:ascii="Arial" w:hAnsi="Arial"/>
                <w:sz w:val="20"/>
              </w:rPr>
              <w:t>296.0</w:t>
            </w:r>
          </w:p>
        </w:tc>
        <w:tc>
          <w:tcPr>
            <w:tcW w:type="dxa" w:w="1344"/>
          </w:tcPr>
          <w:p>
            <w:r>
              <w:rPr>
                <w:rFonts w:ascii="Arial" w:hAnsi="Arial"/>
                <w:sz w:val="20"/>
              </w:rPr>
            </w:r>
            <w:r>
              <w:rPr>
                <w:rFonts w:ascii="Arial" w:hAnsi="Arial"/>
                <w:sz w:val="20"/>
              </w:rPr>
              <w:t>2932.1</w:t>
            </w:r>
          </w:p>
        </w:tc>
        <w:tc>
          <w:tcPr>
            <w:tcW w:type="dxa" w:w="1344"/>
          </w:tcPr>
          <w:p>
            <w:r>
              <w:rPr>
                <w:rFonts w:ascii="Arial" w:hAnsi="Arial"/>
                <w:sz w:val="20"/>
              </w:rPr>
            </w:r>
            <w:r>
              <w:rPr>
                <w:rFonts w:ascii="Arial" w:hAnsi="Arial"/>
                <w:sz w:val="20"/>
              </w:rPr>
              <w:t>6.2642</w:t>
            </w:r>
          </w:p>
        </w:tc>
        <w:tc>
          <w:tcPr>
            <w:tcW w:type="dxa" w:w="1344"/>
          </w:tcPr>
          <w:p>
            <w:r>
              <w:rPr>
                <w:rFonts w:ascii="Arial" w:hAnsi="Arial"/>
                <w:sz w:val="20"/>
              </w:rPr>
            </w:r>
            <w:r>
              <w:rPr>
                <w:rFonts w:ascii="Arial" w:hAnsi="Arial"/>
                <w:sz w:val="20"/>
              </w:rPr>
              <w:t>superheated</w:t>
            </w:r>
          </w:p>
        </w:tc>
      </w:tr>
      <w:tr>
        <w:tc>
          <w:tcPr>
            <w:tcW w:type="dxa" w:w="1344"/>
          </w:tcPr>
          <w:p>
            <w:r>
              <w:rPr>
                <w:rFonts w:ascii="Arial" w:hAnsi="Arial"/>
                <w:sz w:val="20"/>
              </w:rPr>
            </w:r>
            <w:r>
              <w:rPr>
                <w:rFonts w:ascii="Arial" w:hAnsi="Arial"/>
                <w:sz w:val="20"/>
              </w:rPr>
              <w:t>2</w:t>
            </w:r>
          </w:p>
        </w:tc>
        <w:tc>
          <w:tcPr>
            <w:tcW w:type="dxa" w:w="1344"/>
          </w:tcPr>
          <w:p>
            <w:r>
              <w:rPr>
                <w:rFonts w:ascii="Arial" w:hAnsi="Arial"/>
                <w:sz w:val="20"/>
              </w:rPr>
            </w:r>
            <w:r>
              <w:rPr>
                <w:rFonts w:ascii="Arial" w:hAnsi="Arial"/>
                <w:sz w:val="20"/>
              </w:rPr>
              <w:t>HP extraction → FWH-1</w:t>
            </w:r>
          </w:p>
        </w:tc>
        <w:tc>
          <w:tcPr>
            <w:tcW w:type="dxa" w:w="1344"/>
          </w:tcPr>
          <w:p>
            <w:r>
              <w:rPr>
                <w:rFonts w:ascii="Arial" w:hAnsi="Arial"/>
                <w:sz w:val="20"/>
              </w:rPr>
            </w:r>
            <w:r>
              <w:rPr>
                <w:rFonts w:ascii="Arial" w:hAnsi="Arial"/>
                <w:sz w:val="20"/>
              </w:rPr>
              <w:t>1.000</w:t>
            </w:r>
          </w:p>
        </w:tc>
        <w:tc>
          <w:tcPr>
            <w:tcW w:type="dxa" w:w="1344"/>
          </w:tcPr>
          <w:p>
            <w:r>
              <w:rPr>
                <w:rFonts w:ascii="Arial" w:hAnsi="Arial"/>
                <w:sz w:val="20"/>
              </w:rPr>
            </w:r>
            <w:r>
              <w:rPr>
                <w:rFonts w:ascii="Arial" w:hAnsi="Arial"/>
                <w:sz w:val="20"/>
              </w:rPr>
              <w:t>179.9</w:t>
            </w:r>
          </w:p>
        </w:tc>
        <w:tc>
          <w:tcPr>
            <w:tcW w:type="dxa" w:w="1344"/>
          </w:tcPr>
          <w:p>
            <w:r>
              <w:rPr>
                <w:rFonts w:ascii="Arial" w:hAnsi="Arial"/>
                <w:sz w:val="20"/>
              </w:rPr>
            </w:r>
            <w:r>
              <w:rPr>
                <w:rFonts w:ascii="Arial" w:hAnsi="Arial"/>
                <w:sz w:val="20"/>
              </w:rPr>
              <w:t>2676.8</w:t>
            </w:r>
          </w:p>
        </w:tc>
        <w:tc>
          <w:tcPr>
            <w:tcW w:type="dxa" w:w="1344"/>
          </w:tcPr>
          <w:p>
            <w:r>
              <w:rPr>
                <w:rFonts w:ascii="Arial" w:hAnsi="Arial"/>
                <w:sz w:val="20"/>
              </w:rPr>
            </w:r>
            <w:r>
              <w:rPr>
                <w:rFonts w:ascii="Arial" w:hAnsi="Arial"/>
                <w:sz w:val="20"/>
              </w:rPr>
              <w:t>6.3636</w:t>
            </w:r>
          </w:p>
        </w:tc>
        <w:tc>
          <w:tcPr>
            <w:tcW w:type="dxa" w:w="1344"/>
          </w:tcPr>
          <w:p>
            <w:r>
              <w:rPr>
                <w:rFonts w:ascii="Arial" w:hAnsi="Arial"/>
                <w:sz w:val="20"/>
              </w:rPr>
            </w:r>
            <w:r>
              <w:rPr>
                <w:rFonts w:ascii="Arial" w:hAnsi="Arial"/>
                <w:sz w:val="20"/>
              </w:rPr>
              <w:t>0.950</w:t>
            </w:r>
          </w:p>
        </w:tc>
      </w:tr>
      <w:tr>
        <w:tc>
          <w:tcPr>
            <w:tcW w:type="dxa" w:w="1344"/>
          </w:tcPr>
          <w:p>
            <w:r>
              <w:rPr>
                <w:rFonts w:ascii="Arial" w:hAnsi="Arial"/>
                <w:sz w:val="20"/>
              </w:rPr>
            </w:r>
            <w:r>
              <w:rPr>
                <w:rFonts w:ascii="Arial" w:hAnsi="Arial"/>
                <w:sz w:val="20"/>
              </w:rPr>
              <w:t>3</w:t>
            </w:r>
          </w:p>
        </w:tc>
        <w:tc>
          <w:tcPr>
            <w:tcW w:type="dxa" w:w="1344"/>
          </w:tcPr>
          <w:p>
            <w:r>
              <w:rPr>
                <w:rFonts w:ascii="Arial" w:hAnsi="Arial"/>
                <w:sz w:val="20"/>
              </w:rPr>
            </w:r>
            <w:r>
              <w:rPr>
                <w:rFonts w:ascii="Arial" w:hAnsi="Arial"/>
                <w:sz w:val="20"/>
              </w:rPr>
              <w:t>Crossover / MS inlet</w:t>
            </w:r>
          </w:p>
        </w:tc>
        <w:tc>
          <w:tcPr>
            <w:tcW w:type="dxa" w:w="1344"/>
          </w:tcPr>
          <w:p>
            <w:r>
              <w:rPr>
                <w:rFonts w:ascii="Arial" w:hAnsi="Arial"/>
                <w:sz w:val="20"/>
              </w:rPr>
            </w:r>
            <w:r>
              <w:rPr>
                <w:rFonts w:ascii="Arial" w:hAnsi="Arial"/>
                <w:sz w:val="20"/>
              </w:rPr>
              <w:t>0.150</w:t>
            </w:r>
          </w:p>
        </w:tc>
        <w:tc>
          <w:tcPr>
            <w:tcW w:type="dxa" w:w="1344"/>
          </w:tcPr>
          <w:p>
            <w:r>
              <w:rPr>
                <w:rFonts w:ascii="Arial" w:hAnsi="Arial"/>
                <w:sz w:val="20"/>
              </w:rPr>
            </w:r>
            <w:r>
              <w:rPr>
                <w:rFonts w:ascii="Arial" w:hAnsi="Arial"/>
                <w:sz w:val="20"/>
              </w:rPr>
              <w:t>111.4</w:t>
            </w:r>
          </w:p>
        </w:tc>
        <w:tc>
          <w:tcPr>
            <w:tcW w:type="dxa" w:w="1344"/>
          </w:tcPr>
          <w:p>
            <w:r>
              <w:rPr>
                <w:rFonts w:ascii="Arial" w:hAnsi="Arial"/>
                <w:sz w:val="20"/>
              </w:rPr>
            </w:r>
            <w:r>
              <w:rPr>
                <w:rFonts w:ascii="Arial" w:hAnsi="Arial"/>
                <w:sz w:val="20"/>
              </w:rPr>
              <w:t>2409.8</w:t>
            </w:r>
          </w:p>
        </w:tc>
        <w:tc>
          <w:tcPr>
            <w:tcW w:type="dxa" w:w="1344"/>
          </w:tcPr>
          <w:p>
            <w:r>
              <w:rPr>
                <w:rFonts w:ascii="Arial" w:hAnsi="Arial"/>
                <w:sz w:val="20"/>
              </w:rPr>
            </w:r>
            <w:r>
              <w:rPr>
                <w:rFonts w:ascii="Arial" w:hAnsi="Arial"/>
                <w:sz w:val="20"/>
              </w:rPr>
              <w:t>6.4861</w:t>
            </w:r>
          </w:p>
        </w:tc>
        <w:tc>
          <w:tcPr>
            <w:tcW w:type="dxa" w:w="1344"/>
          </w:tcPr>
          <w:p>
            <w:r>
              <w:rPr>
                <w:rFonts w:ascii="Arial" w:hAnsi="Arial"/>
                <w:sz w:val="20"/>
              </w:rPr>
            </w:r>
            <w:r>
              <w:rPr>
                <w:rFonts w:ascii="Arial" w:hAnsi="Arial"/>
                <w:sz w:val="20"/>
              </w:rPr>
              <w:t>0.873</w:t>
            </w:r>
          </w:p>
        </w:tc>
      </w:tr>
      <w:tr>
        <w:tc>
          <w:tcPr>
            <w:tcW w:type="dxa" w:w="1344"/>
          </w:tcPr>
          <w:p>
            <w:r>
              <w:rPr>
                <w:rFonts w:ascii="Arial" w:hAnsi="Arial"/>
                <w:sz w:val="20"/>
              </w:rPr>
            </w:r>
            <w:r>
              <w:rPr>
                <w:rFonts w:ascii="Arial" w:hAnsi="Arial"/>
                <w:sz w:val="20"/>
              </w:rPr>
              <w:t>3g</w:t>
            </w:r>
          </w:p>
        </w:tc>
        <w:tc>
          <w:tcPr>
            <w:tcW w:type="dxa" w:w="1344"/>
          </w:tcPr>
          <w:p>
            <w:r>
              <w:rPr>
                <w:rFonts w:ascii="Arial" w:hAnsi="Arial"/>
                <w:sz w:val="20"/>
              </w:rPr>
            </w:r>
            <w:r>
              <w:rPr>
                <w:rFonts w:ascii="Arial" w:hAnsi="Arial"/>
                <w:sz w:val="20"/>
              </w:rPr>
              <w:t>MS vapour outlet (dried)</w:t>
            </w:r>
          </w:p>
        </w:tc>
        <w:tc>
          <w:tcPr>
            <w:tcW w:type="dxa" w:w="1344"/>
          </w:tcPr>
          <w:p>
            <w:r>
              <w:rPr>
                <w:rFonts w:ascii="Arial" w:hAnsi="Arial"/>
                <w:sz w:val="20"/>
              </w:rPr>
            </w:r>
            <w:r>
              <w:rPr>
                <w:rFonts w:ascii="Arial" w:hAnsi="Arial"/>
                <w:sz w:val="20"/>
              </w:rPr>
              <w:t>0.150</w:t>
            </w:r>
          </w:p>
        </w:tc>
        <w:tc>
          <w:tcPr>
            <w:tcW w:type="dxa" w:w="1344"/>
          </w:tcPr>
          <w:p>
            <w:r>
              <w:rPr>
                <w:rFonts w:ascii="Arial" w:hAnsi="Arial"/>
                <w:sz w:val="20"/>
              </w:rPr>
            </w:r>
            <w:r>
              <w:rPr>
                <w:rFonts w:ascii="Arial" w:hAnsi="Arial"/>
                <w:sz w:val="20"/>
              </w:rPr>
              <w:t>111.4</w:t>
            </w:r>
          </w:p>
        </w:tc>
        <w:tc>
          <w:tcPr>
            <w:tcW w:type="dxa" w:w="1344"/>
          </w:tcPr>
          <w:p>
            <w:r>
              <w:rPr>
                <w:rFonts w:ascii="Arial" w:hAnsi="Arial"/>
                <w:sz w:val="20"/>
              </w:rPr>
            </w:r>
            <w:r>
              <w:rPr>
                <w:rFonts w:ascii="Arial" w:hAnsi="Arial"/>
                <w:sz w:val="20"/>
              </w:rPr>
              <w:t>2693.1</w:t>
            </w:r>
          </w:p>
        </w:tc>
        <w:tc>
          <w:tcPr>
            <w:tcW w:type="dxa" w:w="1344"/>
          </w:tcPr>
          <w:p>
            <w:r>
              <w:rPr>
                <w:rFonts w:ascii="Arial" w:hAnsi="Arial"/>
                <w:sz w:val="20"/>
              </w:rPr>
            </w:r>
            <w:r>
              <w:rPr>
                <w:rFonts w:ascii="Arial" w:hAnsi="Arial"/>
                <w:sz w:val="20"/>
              </w:rPr>
              <w:t>7.2229</w:t>
            </w:r>
          </w:p>
        </w:tc>
        <w:tc>
          <w:tcPr>
            <w:tcW w:type="dxa" w:w="1344"/>
          </w:tcPr>
          <w:p>
            <w:r>
              <w:rPr>
                <w:rFonts w:ascii="Arial" w:hAnsi="Arial"/>
                <w:sz w:val="20"/>
              </w:rPr>
            </w:r>
            <w:r>
              <w:rPr>
                <w:rFonts w:ascii="Arial" w:hAnsi="Arial"/>
                <w:sz w:val="20"/>
              </w:rPr>
              <w:t>1.000</w:t>
            </w:r>
          </w:p>
        </w:tc>
      </w:tr>
      <w:tr>
        <w:tc>
          <w:tcPr>
            <w:tcW w:type="dxa" w:w="1344"/>
          </w:tcPr>
          <w:p>
            <w:r>
              <w:rPr>
                <w:rFonts w:ascii="Arial" w:hAnsi="Arial"/>
                <w:sz w:val="20"/>
              </w:rPr>
            </w:r>
            <w:r>
              <w:rPr>
                <w:rFonts w:ascii="Arial" w:hAnsi="Arial"/>
                <w:sz w:val="20"/>
              </w:rPr>
              <w:t>4</w:t>
            </w:r>
          </w:p>
        </w:tc>
        <w:tc>
          <w:tcPr>
            <w:tcW w:type="dxa" w:w="1344"/>
          </w:tcPr>
          <w:p>
            <w:r>
              <w:rPr>
                <w:rFonts w:ascii="Arial" w:hAnsi="Arial"/>
                <w:sz w:val="20"/>
              </w:rPr>
            </w:r>
            <w:r>
              <w:rPr>
                <w:rFonts w:ascii="Arial" w:hAnsi="Arial"/>
                <w:sz w:val="20"/>
              </w:rPr>
              <w:t>LP turbine exhaust</w:t>
            </w:r>
          </w:p>
        </w:tc>
        <w:tc>
          <w:tcPr>
            <w:tcW w:type="dxa" w:w="1344"/>
          </w:tcPr>
          <w:p>
            <w:r>
              <w:rPr>
                <w:rFonts w:ascii="Arial" w:hAnsi="Arial"/>
                <w:sz w:val="20"/>
              </w:rPr>
            </w:r>
            <w:r>
              <w:rPr>
                <w:rFonts w:ascii="Arial" w:hAnsi="Arial"/>
                <w:sz w:val="20"/>
              </w:rPr>
              <w:t>0.007</w:t>
            </w:r>
          </w:p>
        </w:tc>
        <w:tc>
          <w:tcPr>
            <w:tcW w:type="dxa" w:w="1344"/>
          </w:tcPr>
          <w:p>
            <w:r>
              <w:rPr>
                <w:rFonts w:ascii="Arial" w:hAnsi="Arial"/>
                <w:sz w:val="20"/>
              </w:rPr>
            </w:r>
            <w:r>
              <w:rPr>
                <w:rFonts w:ascii="Arial" w:hAnsi="Arial"/>
                <w:sz w:val="20"/>
              </w:rPr>
              <w:t>39.0</w:t>
            </w:r>
          </w:p>
        </w:tc>
        <w:tc>
          <w:tcPr>
            <w:tcW w:type="dxa" w:w="1344"/>
          </w:tcPr>
          <w:p>
            <w:r>
              <w:rPr>
                <w:rFonts w:ascii="Arial" w:hAnsi="Arial"/>
                <w:sz w:val="20"/>
              </w:rPr>
            </w:r>
            <w:r>
              <w:rPr>
                <w:rFonts w:ascii="Arial" w:hAnsi="Arial"/>
                <w:sz w:val="20"/>
              </w:rPr>
              <w:t>2310.9</w:t>
            </w:r>
          </w:p>
        </w:tc>
        <w:tc>
          <w:tcPr>
            <w:tcW w:type="dxa" w:w="1344"/>
          </w:tcPr>
          <w:p>
            <w:r>
              <w:rPr>
                <w:rFonts w:ascii="Arial" w:hAnsi="Arial"/>
                <w:sz w:val="20"/>
              </w:rPr>
            </w:r>
            <w:r>
              <w:rPr>
                <w:rFonts w:ascii="Arial" w:hAnsi="Arial"/>
                <w:sz w:val="20"/>
              </w:rPr>
              <w:t>7.4390</w:t>
            </w:r>
          </w:p>
        </w:tc>
        <w:tc>
          <w:tcPr>
            <w:tcW w:type="dxa" w:w="1344"/>
          </w:tcPr>
          <w:p>
            <w:r>
              <w:rPr>
                <w:rFonts w:ascii="Arial" w:hAnsi="Arial"/>
                <w:sz w:val="20"/>
              </w:rPr>
            </w:r>
            <w:r>
              <w:rPr>
                <w:rFonts w:ascii="Arial" w:hAnsi="Arial"/>
                <w:sz w:val="20"/>
              </w:rPr>
              <w:t>0.892</w:t>
            </w:r>
          </w:p>
        </w:tc>
      </w:tr>
      <w:tr>
        <w:tc>
          <w:tcPr>
            <w:tcW w:type="dxa" w:w="1344"/>
          </w:tcPr>
          <w:p>
            <w:r>
              <w:rPr>
                <w:rFonts w:ascii="Arial" w:hAnsi="Arial"/>
                <w:sz w:val="20"/>
              </w:rPr>
            </w:r>
            <w:r>
              <w:rPr>
                <w:rFonts w:ascii="Arial" w:hAnsi="Arial"/>
                <w:sz w:val="20"/>
              </w:rPr>
              <w:t>5</w:t>
            </w:r>
          </w:p>
        </w:tc>
        <w:tc>
          <w:tcPr>
            <w:tcW w:type="dxa" w:w="1344"/>
          </w:tcPr>
          <w:p>
            <w:r>
              <w:rPr>
                <w:rFonts w:ascii="Arial" w:hAnsi="Arial"/>
                <w:sz w:val="20"/>
              </w:rPr>
            </w:r>
            <w:r>
              <w:rPr>
                <w:rFonts w:ascii="Arial" w:hAnsi="Arial"/>
                <w:sz w:val="20"/>
              </w:rPr>
              <w:t>Condenser outlet (sat. liq.)</w:t>
            </w:r>
          </w:p>
        </w:tc>
        <w:tc>
          <w:tcPr>
            <w:tcW w:type="dxa" w:w="1344"/>
          </w:tcPr>
          <w:p>
            <w:r>
              <w:rPr>
                <w:rFonts w:ascii="Arial" w:hAnsi="Arial"/>
                <w:sz w:val="20"/>
              </w:rPr>
            </w:r>
            <w:r>
              <w:rPr>
                <w:rFonts w:ascii="Arial" w:hAnsi="Arial"/>
                <w:sz w:val="20"/>
              </w:rPr>
              <w:t>0.007</w:t>
            </w:r>
          </w:p>
        </w:tc>
        <w:tc>
          <w:tcPr>
            <w:tcW w:type="dxa" w:w="1344"/>
          </w:tcPr>
          <w:p>
            <w:r>
              <w:rPr>
                <w:rFonts w:ascii="Arial" w:hAnsi="Arial"/>
                <w:sz w:val="20"/>
              </w:rPr>
            </w:r>
            <w:r>
              <w:rPr>
                <w:rFonts w:ascii="Arial" w:hAnsi="Arial"/>
                <w:sz w:val="20"/>
              </w:rPr>
              <w:t>39.0</w:t>
            </w:r>
          </w:p>
        </w:tc>
        <w:tc>
          <w:tcPr>
            <w:tcW w:type="dxa" w:w="1344"/>
          </w:tcPr>
          <w:p>
            <w:r>
              <w:rPr>
                <w:rFonts w:ascii="Arial" w:hAnsi="Arial"/>
                <w:sz w:val="20"/>
              </w:rPr>
            </w:r>
            <w:r>
              <w:rPr>
                <w:rFonts w:ascii="Arial" w:hAnsi="Arial"/>
                <w:sz w:val="20"/>
              </w:rPr>
              <w:t>163.4</w:t>
            </w:r>
          </w:p>
        </w:tc>
        <w:tc>
          <w:tcPr>
            <w:tcW w:type="dxa" w:w="1344"/>
          </w:tcPr>
          <w:p>
            <w:r>
              <w:rPr>
                <w:rFonts w:ascii="Arial" w:hAnsi="Arial"/>
                <w:sz w:val="20"/>
              </w:rPr>
            </w:r>
            <w:r>
              <w:rPr>
                <w:rFonts w:ascii="Arial" w:hAnsi="Arial"/>
                <w:sz w:val="20"/>
              </w:rPr>
              <w:t>0.5591</w:t>
            </w:r>
          </w:p>
        </w:tc>
        <w:tc>
          <w:tcPr>
            <w:tcW w:type="dxa" w:w="1344"/>
          </w:tcPr>
          <w:p>
            <w:r>
              <w:rPr>
                <w:rFonts w:ascii="Arial" w:hAnsi="Arial"/>
                <w:sz w:val="20"/>
              </w:rPr>
            </w:r>
            <w:r>
              <w:rPr>
                <w:rFonts w:ascii="Arial" w:hAnsi="Arial"/>
                <w:sz w:val="20"/>
              </w:rPr>
              <w:t>0.000</w:t>
            </w:r>
          </w:p>
        </w:tc>
      </w:tr>
      <w:tr>
        <w:tc>
          <w:tcPr>
            <w:tcW w:type="dxa" w:w="1344"/>
          </w:tcPr>
          <w:p>
            <w:r>
              <w:rPr>
                <w:rFonts w:ascii="Arial" w:hAnsi="Arial"/>
                <w:sz w:val="20"/>
              </w:rPr>
            </w:r>
            <w:r>
              <w:rPr>
                <w:rFonts w:ascii="Arial" w:hAnsi="Arial"/>
                <w:sz w:val="20"/>
              </w:rPr>
              <w:t>6</w:t>
            </w:r>
          </w:p>
        </w:tc>
        <w:tc>
          <w:tcPr>
            <w:tcW w:type="dxa" w:w="1344"/>
          </w:tcPr>
          <w:p>
            <w:r>
              <w:rPr>
                <w:rFonts w:ascii="Arial" w:hAnsi="Arial"/>
                <w:sz w:val="20"/>
              </w:rPr>
            </w:r>
            <w:r>
              <w:rPr>
                <w:rFonts w:ascii="Arial" w:hAnsi="Arial"/>
                <w:sz w:val="20"/>
              </w:rPr>
              <w:t>Condensate-pump outlet</w:t>
            </w:r>
          </w:p>
        </w:tc>
        <w:tc>
          <w:tcPr>
            <w:tcW w:type="dxa" w:w="1344"/>
          </w:tcPr>
          <w:p>
            <w:r>
              <w:rPr>
                <w:rFonts w:ascii="Arial" w:hAnsi="Arial"/>
                <w:sz w:val="20"/>
              </w:rPr>
            </w:r>
            <w:r>
              <w:rPr>
                <w:rFonts w:ascii="Arial" w:hAnsi="Arial"/>
                <w:sz w:val="20"/>
              </w:rPr>
              <w:t>0.150</w:t>
            </w:r>
          </w:p>
        </w:tc>
        <w:tc>
          <w:tcPr>
            <w:tcW w:type="dxa" w:w="1344"/>
          </w:tcPr>
          <w:p>
            <w:r>
              <w:rPr>
                <w:rFonts w:ascii="Arial" w:hAnsi="Arial"/>
                <w:sz w:val="20"/>
              </w:rPr>
            </w:r>
            <w:r>
              <w:rPr>
                <w:rFonts w:ascii="Arial" w:hAnsi="Arial"/>
                <w:sz w:val="20"/>
              </w:rPr>
              <w:t>39.0</w:t>
            </w:r>
          </w:p>
        </w:tc>
        <w:tc>
          <w:tcPr>
            <w:tcW w:type="dxa" w:w="1344"/>
          </w:tcPr>
          <w:p>
            <w:r>
              <w:rPr>
                <w:rFonts w:ascii="Arial" w:hAnsi="Arial"/>
                <w:sz w:val="20"/>
              </w:rPr>
            </w:r>
            <w:r>
              <w:rPr>
                <w:rFonts w:ascii="Arial" w:hAnsi="Arial"/>
                <w:sz w:val="20"/>
              </w:rPr>
              <w:t>163.5</w:t>
            </w:r>
          </w:p>
        </w:tc>
        <w:tc>
          <w:tcPr>
            <w:tcW w:type="dxa" w:w="1344"/>
          </w:tcPr>
          <w:p>
            <w:r>
              <w:rPr>
                <w:rFonts w:ascii="Arial" w:hAnsi="Arial"/>
                <w:sz w:val="20"/>
              </w:rPr>
            </w:r>
            <w:r>
              <w:rPr>
                <w:rFonts w:ascii="Arial" w:hAnsi="Arial"/>
                <w:sz w:val="20"/>
              </w:rPr>
              <w:t>0.5592</w:t>
            </w:r>
          </w:p>
        </w:tc>
        <w:tc>
          <w:tcPr>
            <w:tcW w:type="dxa" w:w="1344"/>
          </w:tcPr>
          <w:p>
            <w:r>
              <w:rPr>
                <w:rFonts w:ascii="Arial" w:hAnsi="Arial"/>
                <w:sz w:val="20"/>
              </w:rPr>
            </w:r>
            <w:r>
              <w:rPr>
                <w:rFonts w:ascii="Arial" w:hAnsi="Arial"/>
                <w:sz w:val="20"/>
              </w:rPr>
              <w:t>0.000</w:t>
            </w:r>
          </w:p>
        </w:tc>
      </w:tr>
      <w:tr>
        <w:tc>
          <w:tcPr>
            <w:tcW w:type="dxa" w:w="1344"/>
          </w:tcPr>
          <w:p>
            <w:r>
              <w:rPr>
                <w:rFonts w:ascii="Arial" w:hAnsi="Arial"/>
                <w:sz w:val="20"/>
              </w:rPr>
            </w:r>
            <w:r>
              <w:rPr>
                <w:rFonts w:ascii="Arial" w:hAnsi="Arial"/>
                <w:sz w:val="20"/>
              </w:rPr>
              <w:t>7</w:t>
            </w:r>
          </w:p>
        </w:tc>
        <w:tc>
          <w:tcPr>
            <w:tcW w:type="dxa" w:w="1344"/>
          </w:tcPr>
          <w:p>
            <w:r>
              <w:rPr>
                <w:rFonts w:ascii="Arial" w:hAnsi="Arial"/>
                <w:sz w:val="20"/>
              </w:rPr>
            </w:r>
            <w:r>
              <w:rPr>
                <w:rFonts w:ascii="Arial" w:hAnsi="Arial"/>
                <w:sz w:val="20"/>
              </w:rPr>
              <w:t>Deaerator (FWH-2) outlet</w:t>
            </w:r>
          </w:p>
        </w:tc>
        <w:tc>
          <w:tcPr>
            <w:tcW w:type="dxa" w:w="1344"/>
          </w:tcPr>
          <w:p>
            <w:r>
              <w:rPr>
                <w:rFonts w:ascii="Arial" w:hAnsi="Arial"/>
                <w:sz w:val="20"/>
              </w:rPr>
            </w:r>
            <w:r>
              <w:rPr>
                <w:rFonts w:ascii="Arial" w:hAnsi="Arial"/>
                <w:sz w:val="20"/>
              </w:rPr>
              <w:t>0.150</w:t>
            </w:r>
          </w:p>
        </w:tc>
        <w:tc>
          <w:tcPr>
            <w:tcW w:type="dxa" w:w="1344"/>
          </w:tcPr>
          <w:p>
            <w:r>
              <w:rPr>
                <w:rFonts w:ascii="Arial" w:hAnsi="Arial"/>
                <w:sz w:val="20"/>
              </w:rPr>
            </w:r>
            <w:r>
              <w:rPr>
                <w:rFonts w:ascii="Arial" w:hAnsi="Arial"/>
                <w:sz w:val="20"/>
              </w:rPr>
              <w:t>111.4</w:t>
            </w:r>
          </w:p>
        </w:tc>
        <w:tc>
          <w:tcPr>
            <w:tcW w:type="dxa" w:w="1344"/>
          </w:tcPr>
          <w:p>
            <w:r>
              <w:rPr>
                <w:rFonts w:ascii="Arial" w:hAnsi="Arial"/>
                <w:sz w:val="20"/>
              </w:rPr>
            </w:r>
            <w:r>
              <w:rPr>
                <w:rFonts w:ascii="Arial" w:hAnsi="Arial"/>
                <w:sz w:val="20"/>
              </w:rPr>
              <w:t>467.1</w:t>
            </w:r>
          </w:p>
        </w:tc>
        <w:tc>
          <w:tcPr>
            <w:tcW w:type="dxa" w:w="1344"/>
          </w:tcPr>
          <w:p>
            <w:r>
              <w:rPr>
                <w:rFonts w:ascii="Arial" w:hAnsi="Arial"/>
                <w:sz w:val="20"/>
              </w:rPr>
            </w:r>
            <w:r>
              <w:rPr>
                <w:rFonts w:ascii="Arial" w:hAnsi="Arial"/>
                <w:sz w:val="20"/>
              </w:rPr>
              <w:t>1.4335</w:t>
            </w:r>
          </w:p>
        </w:tc>
        <w:tc>
          <w:tcPr>
            <w:tcW w:type="dxa" w:w="1344"/>
          </w:tcPr>
          <w:p>
            <w:r>
              <w:rPr>
                <w:rFonts w:ascii="Arial" w:hAnsi="Arial"/>
                <w:sz w:val="20"/>
              </w:rPr>
            </w:r>
            <w:r>
              <w:rPr>
                <w:rFonts w:ascii="Arial" w:hAnsi="Arial"/>
                <w:sz w:val="20"/>
              </w:rPr>
              <w:t>0.000</w:t>
            </w:r>
          </w:p>
        </w:tc>
      </w:tr>
      <w:tr>
        <w:tc>
          <w:tcPr>
            <w:tcW w:type="dxa" w:w="1344"/>
          </w:tcPr>
          <w:p>
            <w:r>
              <w:rPr>
                <w:rFonts w:ascii="Arial" w:hAnsi="Arial"/>
                <w:sz w:val="20"/>
              </w:rPr>
            </w:r>
            <w:r>
              <w:rPr>
                <w:rFonts w:ascii="Arial" w:hAnsi="Arial"/>
                <w:sz w:val="20"/>
              </w:rPr>
              <w:t>8</w:t>
            </w:r>
          </w:p>
        </w:tc>
        <w:tc>
          <w:tcPr>
            <w:tcW w:type="dxa" w:w="1344"/>
          </w:tcPr>
          <w:p>
            <w:r>
              <w:rPr>
                <w:rFonts w:ascii="Arial" w:hAnsi="Arial"/>
                <w:sz w:val="20"/>
              </w:rPr>
            </w:r>
            <w:r>
              <w:rPr>
                <w:rFonts w:ascii="Arial" w:hAnsi="Arial"/>
                <w:sz w:val="20"/>
              </w:rPr>
              <w:t>Booster-pump outlet</w:t>
            </w:r>
          </w:p>
        </w:tc>
        <w:tc>
          <w:tcPr>
            <w:tcW w:type="dxa" w:w="1344"/>
          </w:tcPr>
          <w:p>
            <w:r>
              <w:rPr>
                <w:rFonts w:ascii="Arial" w:hAnsi="Arial"/>
                <w:sz w:val="20"/>
              </w:rPr>
            </w:r>
            <w:r>
              <w:rPr>
                <w:rFonts w:ascii="Arial" w:hAnsi="Arial"/>
                <w:sz w:val="20"/>
              </w:rPr>
              <w:t>1.000</w:t>
            </w:r>
          </w:p>
        </w:tc>
        <w:tc>
          <w:tcPr>
            <w:tcW w:type="dxa" w:w="1344"/>
          </w:tcPr>
          <w:p>
            <w:r>
              <w:rPr>
                <w:rFonts w:ascii="Arial" w:hAnsi="Arial"/>
                <w:sz w:val="20"/>
              </w:rPr>
            </w:r>
            <w:r>
              <w:rPr>
                <w:rFonts w:ascii="Arial" w:hAnsi="Arial"/>
                <w:sz w:val="20"/>
              </w:rPr>
              <w:t>111.5</w:t>
            </w:r>
          </w:p>
        </w:tc>
        <w:tc>
          <w:tcPr>
            <w:tcW w:type="dxa" w:w="1344"/>
          </w:tcPr>
          <w:p>
            <w:r>
              <w:rPr>
                <w:rFonts w:ascii="Arial" w:hAnsi="Arial"/>
                <w:sz w:val="20"/>
              </w:rPr>
            </w:r>
            <w:r>
              <w:rPr>
                <w:rFonts w:ascii="Arial" w:hAnsi="Arial"/>
                <w:sz w:val="20"/>
              </w:rPr>
              <w:t>468.2</w:t>
            </w:r>
          </w:p>
        </w:tc>
        <w:tc>
          <w:tcPr>
            <w:tcW w:type="dxa" w:w="1344"/>
          </w:tcPr>
          <w:p>
            <w:r>
              <w:rPr>
                <w:rFonts w:ascii="Arial" w:hAnsi="Arial"/>
                <w:sz w:val="20"/>
              </w:rPr>
            </w:r>
            <w:r>
              <w:rPr>
                <w:rFonts w:ascii="Arial" w:hAnsi="Arial"/>
                <w:sz w:val="20"/>
              </w:rPr>
              <w:t>1.4341</w:t>
            </w:r>
          </w:p>
        </w:tc>
        <w:tc>
          <w:tcPr>
            <w:tcW w:type="dxa" w:w="1344"/>
          </w:tcPr>
          <w:p>
            <w:r>
              <w:rPr>
                <w:rFonts w:ascii="Arial" w:hAnsi="Arial"/>
                <w:sz w:val="20"/>
              </w:rPr>
            </w:r>
            <w:r>
              <w:rPr>
                <w:rFonts w:ascii="Arial" w:hAnsi="Arial"/>
                <w:sz w:val="20"/>
              </w:rPr>
              <w:t>0.000</w:t>
            </w:r>
          </w:p>
        </w:tc>
      </w:tr>
      <w:tr>
        <w:tc>
          <w:tcPr>
            <w:tcW w:type="dxa" w:w="1344"/>
          </w:tcPr>
          <w:p>
            <w:r>
              <w:rPr>
                <w:rFonts w:ascii="Arial" w:hAnsi="Arial"/>
                <w:sz w:val="20"/>
              </w:rPr>
            </w:r>
            <w:r>
              <w:rPr>
                <w:rFonts w:ascii="Arial" w:hAnsi="Arial"/>
                <w:sz w:val="20"/>
              </w:rPr>
              <w:t>9</w:t>
            </w:r>
          </w:p>
        </w:tc>
        <w:tc>
          <w:tcPr>
            <w:tcW w:type="dxa" w:w="1344"/>
          </w:tcPr>
          <w:p>
            <w:r>
              <w:rPr>
                <w:rFonts w:ascii="Arial" w:hAnsi="Arial"/>
                <w:sz w:val="20"/>
              </w:rPr>
            </w:r>
            <w:r>
              <w:rPr>
                <w:rFonts w:ascii="Arial" w:hAnsi="Arial"/>
                <w:sz w:val="20"/>
              </w:rPr>
              <w:t>FWH-1 outlet (sat. liq.)</w:t>
            </w:r>
          </w:p>
        </w:tc>
        <w:tc>
          <w:tcPr>
            <w:tcW w:type="dxa" w:w="1344"/>
          </w:tcPr>
          <w:p>
            <w:r>
              <w:rPr>
                <w:rFonts w:ascii="Arial" w:hAnsi="Arial"/>
                <w:sz w:val="20"/>
              </w:rPr>
            </w:r>
            <w:r>
              <w:rPr>
                <w:rFonts w:ascii="Arial" w:hAnsi="Arial"/>
                <w:sz w:val="20"/>
              </w:rPr>
              <w:t>1.000</w:t>
            </w:r>
          </w:p>
        </w:tc>
        <w:tc>
          <w:tcPr>
            <w:tcW w:type="dxa" w:w="1344"/>
          </w:tcPr>
          <w:p>
            <w:r>
              <w:rPr>
                <w:rFonts w:ascii="Arial" w:hAnsi="Arial"/>
                <w:sz w:val="20"/>
              </w:rPr>
            </w:r>
            <w:r>
              <w:rPr>
                <w:rFonts w:ascii="Arial" w:hAnsi="Arial"/>
                <w:sz w:val="20"/>
              </w:rPr>
              <w:t>179.9</w:t>
            </w:r>
          </w:p>
        </w:tc>
        <w:tc>
          <w:tcPr>
            <w:tcW w:type="dxa" w:w="1344"/>
          </w:tcPr>
          <w:p>
            <w:r>
              <w:rPr>
                <w:rFonts w:ascii="Arial" w:hAnsi="Arial"/>
                <w:sz w:val="20"/>
              </w:rPr>
            </w:r>
            <w:r>
              <w:rPr>
                <w:rFonts w:ascii="Arial" w:hAnsi="Arial"/>
                <w:sz w:val="20"/>
              </w:rPr>
              <w:t>762.7</w:t>
            </w:r>
          </w:p>
        </w:tc>
        <w:tc>
          <w:tcPr>
            <w:tcW w:type="dxa" w:w="1344"/>
          </w:tcPr>
          <w:p>
            <w:r>
              <w:rPr>
                <w:rFonts w:ascii="Arial" w:hAnsi="Arial"/>
                <w:sz w:val="20"/>
              </w:rPr>
            </w:r>
            <w:r>
              <w:rPr>
                <w:rFonts w:ascii="Arial" w:hAnsi="Arial"/>
                <w:sz w:val="20"/>
              </w:rPr>
              <w:t>2.1384</w:t>
            </w:r>
          </w:p>
        </w:tc>
        <w:tc>
          <w:tcPr>
            <w:tcW w:type="dxa" w:w="1344"/>
          </w:tcPr>
          <w:p>
            <w:r>
              <w:rPr>
                <w:rFonts w:ascii="Arial" w:hAnsi="Arial"/>
                <w:sz w:val="20"/>
              </w:rPr>
            </w:r>
            <w:r>
              <w:rPr>
                <w:rFonts w:ascii="Arial" w:hAnsi="Arial"/>
                <w:sz w:val="20"/>
              </w:rPr>
              <w:t>0.000</w:t>
            </w:r>
          </w:p>
        </w:tc>
      </w:tr>
      <w:tr>
        <w:tc>
          <w:tcPr>
            <w:tcW w:type="dxa" w:w="1344"/>
          </w:tcPr>
          <w:p>
            <w:r>
              <w:rPr>
                <w:rFonts w:ascii="Arial" w:hAnsi="Arial"/>
                <w:sz w:val="20"/>
              </w:rPr>
            </w:r>
            <w:r>
              <w:rPr>
                <w:rFonts w:ascii="Arial" w:hAnsi="Arial"/>
                <w:sz w:val="20"/>
              </w:rPr>
              <w:t>10</w:t>
            </w:r>
          </w:p>
        </w:tc>
        <w:tc>
          <w:tcPr>
            <w:tcW w:type="dxa" w:w="1344"/>
          </w:tcPr>
          <w:p>
            <w:r>
              <w:rPr>
                <w:rFonts w:ascii="Arial" w:hAnsi="Arial"/>
                <w:sz w:val="20"/>
              </w:rPr>
            </w:r>
            <w:r>
              <w:rPr>
                <w:rFonts w:ascii="Arial" w:hAnsi="Arial"/>
                <w:sz w:val="20"/>
              </w:rPr>
              <w:t>Feed-pump outlet → OTSG</w:t>
            </w:r>
          </w:p>
        </w:tc>
        <w:tc>
          <w:tcPr>
            <w:tcW w:type="dxa" w:w="1344"/>
          </w:tcPr>
          <w:p>
            <w:r>
              <w:rPr>
                <w:rFonts w:ascii="Arial" w:hAnsi="Arial"/>
                <w:sz w:val="20"/>
              </w:rPr>
            </w:r>
            <w:r>
              <w:rPr>
                <w:rFonts w:ascii="Arial" w:hAnsi="Arial"/>
                <w:sz w:val="20"/>
              </w:rPr>
              <w:t>4.500</w:t>
            </w:r>
          </w:p>
        </w:tc>
        <w:tc>
          <w:tcPr>
            <w:tcW w:type="dxa" w:w="1344"/>
          </w:tcPr>
          <w:p>
            <w:r>
              <w:rPr>
                <w:rFonts w:ascii="Arial" w:hAnsi="Arial"/>
                <w:sz w:val="20"/>
              </w:rPr>
            </w:r>
            <w:r>
              <w:rPr>
                <w:rFonts w:ascii="Arial" w:hAnsi="Arial"/>
                <w:sz w:val="20"/>
              </w:rPr>
              <w:t>180.6</w:t>
            </w:r>
          </w:p>
        </w:tc>
        <w:tc>
          <w:tcPr>
            <w:tcW w:type="dxa" w:w="1344"/>
          </w:tcPr>
          <w:p>
            <w:r>
              <w:rPr>
                <w:rFonts w:ascii="Arial" w:hAnsi="Arial"/>
                <w:sz w:val="20"/>
              </w:rPr>
            </w:r>
            <w:r>
              <w:rPr>
                <w:rFonts w:ascii="Arial" w:hAnsi="Arial"/>
                <w:sz w:val="20"/>
              </w:rPr>
              <w:t>767.5</w:t>
            </w:r>
          </w:p>
        </w:tc>
        <w:tc>
          <w:tcPr>
            <w:tcW w:type="dxa" w:w="1344"/>
          </w:tcPr>
          <w:p>
            <w:r>
              <w:rPr>
                <w:rFonts w:ascii="Arial" w:hAnsi="Arial"/>
                <w:sz w:val="20"/>
              </w:rPr>
            </w:r>
            <w:r>
              <w:rPr>
                <w:rFonts w:ascii="Arial" w:hAnsi="Arial"/>
                <w:sz w:val="20"/>
              </w:rPr>
              <w:t>2.1403</w:t>
            </w:r>
          </w:p>
        </w:tc>
        <w:tc>
          <w:tcPr>
            <w:tcW w:type="dxa" w:w="1344"/>
          </w:tcPr>
          <w:p>
            <w:r>
              <w:rPr>
                <w:rFonts w:ascii="Arial" w:hAnsi="Arial"/>
                <w:sz w:val="20"/>
              </w:rPr>
            </w:r>
            <w:r>
              <w:rPr>
                <w:rFonts w:ascii="Arial" w:hAnsi="Arial"/>
                <w:sz w:val="20"/>
              </w:rPr>
              <w:t>0.000</w:t>
            </w:r>
          </w:p>
        </w:tc>
      </w:tr>
    </w:tbl>
    <w:p/>
    <w:p>
      <w:pPr>
        <w:jc w:val="center"/>
      </w:pPr>
      <w:r>
        <w:drawing>
          <wp:inline xmlns:a="http://schemas.openxmlformats.org/drawingml/2006/main" xmlns:pic="http://schemas.openxmlformats.org/drawingml/2006/picture">
            <wp:extent cx="5486400" cy="4114800"/>
            <wp:docPr id="9" name="Picture 9"/>
            <wp:cNvGraphicFramePr>
              <a:graphicFrameLocks noChangeAspect="1"/>
            </wp:cNvGraphicFramePr>
            <a:graphic>
              <a:graphicData uri="http://schemas.openxmlformats.org/drawingml/2006/picture">
                <pic:pic>
                  <pic:nvPicPr>
                    <pic:cNvPr id="0" name="cycle_Ts_diagram.png"/>
                    <pic:cNvPicPr/>
                  </pic:nvPicPr>
                  <pic:blipFill>
                    <a:blip r:embed="rId17"/>
                    <a:stretch>
                      <a:fillRect/>
                    </a:stretch>
                  </pic:blipFill>
                  <pic:spPr>
                    <a:xfrm>
                      <a:off x="0" y="0"/>
                      <a:ext cx="5486400" cy="4114800"/>
                    </a:xfrm>
                    <a:prstGeom prst="rect"/>
                  </pic:spPr>
                </pic:pic>
              </a:graphicData>
            </a:graphic>
          </wp:inline>
        </w:drawing>
      </w:r>
    </w:p>
    <w:p>
      <w:pPr>
        <w:jc w:val="center"/>
      </w:pPr>
      <w:r>
        <w:rPr>
          <w:i/>
          <w:color w:val="555555"/>
          <w:sz w:val="19"/>
        </w:rPr>
        <w:t>Figure 8.9-2 — T–s diagram of the cycle with the saturation dome &gt;</w:t>
      </w:r>
    </w:p>
    <w:p>
      <w:pPr>
        <w:jc w:val="both"/>
      </w:pPr>
      <w:r>
        <w:rPr>
          <w:rFonts w:ascii="Arial" w:hAnsi="Arial"/>
          <w:b/>
        </w:rPr>
        <w:t>Table 8.9-3 — Cycle performance and heat balance:</w:t>
      </w:r>
    </w:p>
    <w:tbl>
      <w:tblPr>
        <w:tblStyle w:val="TableGrid"/>
        <w:tblW w:type="auto" w:w="0"/>
        <w:jc w:val="center"/>
        <w:tblLook w:firstColumn="1" w:firstRow="1" w:lastColumn="0" w:lastRow="0" w:noHBand="0" w:noVBand="1" w:val="04A0"/>
      </w:tblPr>
      <w:tblGrid>
        <w:gridCol w:w="4703"/>
        <w:gridCol w:w="4703"/>
      </w:tblGrid>
      <w:tr>
        <w:tc>
          <w:tcPr>
            <w:tcW w:type="dxa" w:w="4703"/>
            <w:shd w:val="clear" w:fill="DDE3EA"/>
          </w:tcPr>
          <w:p>
            <w:r>
              <w:rPr>
                <w:rFonts w:ascii="Arial" w:hAnsi="Arial"/>
                <w:b/>
                <w:sz w:val="20"/>
              </w:rPr>
            </w:r>
            <w:r>
              <w:rPr>
                <w:rFonts w:ascii="Arial" w:hAnsi="Arial"/>
                <w:b/>
                <w:sz w:val="20"/>
              </w:rPr>
              <w:t>Quantity</w:t>
            </w:r>
          </w:p>
        </w:tc>
        <w:tc>
          <w:tcPr>
            <w:tcW w:type="dxa" w:w="4703"/>
            <w:shd w:val="clear" w:fill="DDE3EA"/>
          </w:tcPr>
          <w:p>
            <w:r>
              <w:rPr>
                <w:rFonts w:ascii="Arial" w:hAnsi="Arial"/>
                <w:b/>
                <w:sz w:val="20"/>
              </w:rPr>
            </w:r>
            <w:r>
              <w:rPr>
                <w:rFonts w:ascii="Arial" w:hAnsi="Arial"/>
                <w:b/>
                <w:sz w:val="20"/>
              </w:rPr>
              <w:t>Value</w:t>
            </w:r>
          </w:p>
        </w:tc>
      </w:tr>
      <w:tr>
        <w:tc>
          <w:tcPr>
            <w:tcW w:type="dxa" w:w="4703"/>
          </w:tcPr>
          <w:p>
            <w:r>
              <w:rPr>
                <w:rFonts w:ascii="Arial" w:hAnsi="Arial"/>
                <w:sz w:val="20"/>
              </w:rPr>
            </w:r>
            <w:r>
              <w:rPr>
                <w:rFonts w:ascii="Arial" w:hAnsi="Arial"/>
                <w:sz w:val="20"/>
              </w:rPr>
              <w:t>Boiler (OTSG) heat input, q_in</w:t>
            </w:r>
          </w:p>
        </w:tc>
        <w:tc>
          <w:tcPr>
            <w:tcW w:type="dxa" w:w="4703"/>
          </w:tcPr>
          <w:p>
            <w:r>
              <w:rPr>
                <w:rFonts w:ascii="Arial" w:hAnsi="Arial"/>
                <w:sz w:val="20"/>
              </w:rPr>
            </w:r>
            <w:r>
              <w:rPr>
                <w:rFonts w:ascii="Arial" w:hAnsi="Arial"/>
                <w:sz w:val="20"/>
              </w:rPr>
              <w:t>2165 kJ/kg</w:t>
            </w:r>
          </w:p>
        </w:tc>
      </w:tr>
      <w:tr>
        <w:tc>
          <w:tcPr>
            <w:tcW w:type="dxa" w:w="4703"/>
          </w:tcPr>
          <w:p>
            <w:r>
              <w:rPr>
                <w:rFonts w:ascii="Arial" w:hAnsi="Arial"/>
                <w:sz w:val="20"/>
              </w:rPr>
            </w:r>
            <w:r>
              <w:rPr>
                <w:rFonts w:ascii="Arial" w:hAnsi="Arial"/>
                <w:sz w:val="20"/>
              </w:rPr>
              <w:t>Turbine specific work, w_t</w:t>
            </w:r>
          </w:p>
        </w:tc>
        <w:tc>
          <w:tcPr>
            <w:tcW w:type="dxa" w:w="4703"/>
          </w:tcPr>
          <w:p>
            <w:r>
              <w:rPr>
                <w:rFonts w:ascii="Arial" w:hAnsi="Arial"/>
                <w:sz w:val="20"/>
              </w:rPr>
            </w:r>
            <w:r>
              <w:rPr>
                <w:rFonts w:ascii="Arial" w:hAnsi="Arial"/>
                <w:sz w:val="20"/>
              </w:rPr>
              <w:t>741 kJ/kg</w:t>
            </w:r>
          </w:p>
        </w:tc>
      </w:tr>
      <w:tr>
        <w:tc>
          <w:tcPr>
            <w:tcW w:type="dxa" w:w="4703"/>
          </w:tcPr>
          <w:p>
            <w:r>
              <w:rPr>
                <w:rFonts w:ascii="Arial" w:hAnsi="Arial"/>
                <w:sz w:val="20"/>
              </w:rPr>
            </w:r>
            <w:r>
              <w:rPr>
                <w:rFonts w:ascii="Arial" w:hAnsi="Arial"/>
                <w:sz w:val="20"/>
              </w:rPr>
              <w:t>Pump specific work, w_p</w:t>
            </w:r>
          </w:p>
        </w:tc>
        <w:tc>
          <w:tcPr>
            <w:tcW w:type="dxa" w:w="4703"/>
          </w:tcPr>
          <w:p>
            <w:r>
              <w:rPr>
                <w:rFonts w:ascii="Arial" w:hAnsi="Arial"/>
                <w:sz w:val="20"/>
              </w:rPr>
            </w:r>
            <w:r>
              <w:rPr>
                <w:rFonts w:ascii="Arial" w:hAnsi="Arial"/>
                <w:sz w:val="20"/>
              </w:rPr>
              <w:t>5.9 kJ/kg</w:t>
            </w:r>
          </w:p>
        </w:tc>
      </w:tr>
      <w:tr>
        <w:tc>
          <w:tcPr>
            <w:tcW w:type="dxa" w:w="4703"/>
          </w:tcPr>
          <w:p>
            <w:r>
              <w:rPr>
                <w:rFonts w:ascii="Arial" w:hAnsi="Arial"/>
                <w:sz w:val="20"/>
              </w:rPr>
            </w:r>
            <w:r>
              <w:rPr>
                <w:rFonts w:ascii="Arial" w:hAnsi="Arial"/>
                <w:sz w:val="20"/>
              </w:rPr>
              <w:t>Net specific work, w_net</w:t>
            </w:r>
          </w:p>
        </w:tc>
        <w:tc>
          <w:tcPr>
            <w:tcW w:type="dxa" w:w="4703"/>
          </w:tcPr>
          <w:p>
            <w:r>
              <w:rPr>
                <w:rFonts w:ascii="Arial" w:hAnsi="Arial"/>
                <w:sz w:val="20"/>
              </w:rPr>
            </w:r>
            <w:r>
              <w:rPr>
                <w:rFonts w:ascii="Arial" w:hAnsi="Arial"/>
                <w:sz w:val="20"/>
              </w:rPr>
              <w:t>735 kJ/kg</w:t>
            </w:r>
          </w:p>
        </w:tc>
      </w:tr>
      <w:tr>
        <w:tc>
          <w:tcPr>
            <w:tcW w:type="dxa" w:w="4703"/>
          </w:tcPr>
          <w:p>
            <w:r>
              <w:rPr>
                <w:rFonts w:ascii="Arial" w:hAnsi="Arial"/>
                <w:sz w:val="20"/>
              </w:rPr>
            </w:r>
            <w:r>
              <w:rPr>
                <w:rFonts w:ascii="Arial" w:hAnsi="Arial"/>
                <w:b/>
                <w:sz w:val="20"/>
              </w:rPr>
              <w:t>Cycle thermal efficiency</w:t>
            </w:r>
          </w:p>
        </w:tc>
        <w:tc>
          <w:tcPr>
            <w:tcW w:type="dxa" w:w="4703"/>
          </w:tcPr>
          <w:p>
            <w:r>
              <w:rPr>
                <w:rFonts w:ascii="Arial" w:hAnsi="Arial"/>
                <w:sz w:val="20"/>
              </w:rPr>
            </w:r>
            <w:r>
              <w:rPr>
                <w:rFonts w:ascii="Arial" w:hAnsi="Arial"/>
                <w:b/>
                <w:sz w:val="20"/>
              </w:rPr>
              <w:t>34.0 %</w:t>
            </w:r>
          </w:p>
        </w:tc>
      </w:tr>
      <w:tr>
        <w:tc>
          <w:tcPr>
            <w:tcW w:type="dxa" w:w="4703"/>
          </w:tcPr>
          <w:p>
            <w:r>
              <w:rPr>
                <w:rFonts w:ascii="Arial" w:hAnsi="Arial"/>
                <w:sz w:val="20"/>
              </w:rPr>
            </w:r>
            <w:r>
              <w:rPr>
                <w:rFonts w:ascii="Arial" w:hAnsi="Arial"/>
                <w:sz w:val="20"/>
              </w:rPr>
              <w:t>Steam mass flow</w:t>
            </w:r>
          </w:p>
        </w:tc>
        <w:tc>
          <w:tcPr>
            <w:tcW w:type="dxa" w:w="4703"/>
          </w:tcPr>
          <w:p>
            <w:r>
              <w:rPr>
                <w:rFonts w:ascii="Arial" w:hAnsi="Arial"/>
                <w:sz w:val="20"/>
              </w:rPr>
            </w:r>
            <w:r>
              <w:rPr>
                <w:rFonts w:ascii="Arial" w:hAnsi="Arial"/>
                <w:sz w:val="20"/>
              </w:rPr>
              <w:t>57.8 kg/s</w:t>
            </w:r>
          </w:p>
        </w:tc>
      </w:tr>
      <w:tr>
        <w:tc>
          <w:tcPr>
            <w:tcW w:type="dxa" w:w="4703"/>
          </w:tcPr>
          <w:p>
            <w:r>
              <w:rPr>
                <w:rFonts w:ascii="Arial" w:hAnsi="Arial"/>
                <w:sz w:val="20"/>
              </w:rPr>
            </w:r>
            <w:r>
              <w:rPr>
                <w:rFonts w:ascii="Arial" w:hAnsi="Arial"/>
                <w:sz w:val="20"/>
              </w:rPr>
              <w:t>HP extraction fraction (FWH-1)</w:t>
            </w:r>
          </w:p>
        </w:tc>
        <w:tc>
          <w:tcPr>
            <w:tcW w:type="dxa" w:w="4703"/>
          </w:tcPr>
          <w:p>
            <w:r>
              <w:rPr>
                <w:rFonts w:ascii="Arial" w:hAnsi="Arial"/>
                <w:sz w:val="20"/>
              </w:rPr>
            </w:r>
            <w:r>
              <w:rPr>
                <w:rFonts w:ascii="Arial" w:hAnsi="Arial"/>
                <w:sz w:val="20"/>
              </w:rPr>
              <w:t>0.133</w:t>
            </w:r>
          </w:p>
        </w:tc>
      </w:tr>
      <w:tr>
        <w:tc>
          <w:tcPr>
            <w:tcW w:type="dxa" w:w="4703"/>
          </w:tcPr>
          <w:p>
            <w:r>
              <w:rPr>
                <w:rFonts w:ascii="Arial" w:hAnsi="Arial"/>
                <w:sz w:val="20"/>
              </w:rPr>
            </w:r>
            <w:r>
              <w:rPr>
                <w:rFonts w:ascii="Arial" w:hAnsi="Arial"/>
                <w:sz w:val="20"/>
              </w:rPr>
              <w:t>Deaerator extraction fraction (FWH-2)</w:t>
            </w:r>
          </w:p>
        </w:tc>
        <w:tc>
          <w:tcPr>
            <w:tcW w:type="dxa" w:w="4703"/>
          </w:tcPr>
          <w:p>
            <w:r>
              <w:rPr>
                <w:rFonts w:ascii="Arial" w:hAnsi="Arial"/>
                <w:sz w:val="20"/>
              </w:rPr>
            </w:r>
            <w:r>
              <w:rPr>
                <w:rFonts w:ascii="Arial" w:hAnsi="Arial"/>
                <w:sz w:val="20"/>
              </w:rPr>
              <w:t>0.104</w:t>
            </w:r>
          </w:p>
        </w:tc>
      </w:tr>
      <w:tr>
        <w:tc>
          <w:tcPr>
            <w:tcW w:type="dxa" w:w="4703"/>
          </w:tcPr>
          <w:p>
            <w:r>
              <w:rPr>
                <w:rFonts w:ascii="Arial" w:hAnsi="Arial"/>
                <w:sz w:val="20"/>
              </w:rPr>
            </w:r>
            <w:r>
              <w:rPr>
                <w:rFonts w:ascii="Arial" w:hAnsi="Arial"/>
                <w:sz w:val="20"/>
              </w:rPr>
              <w:t>Gross shaft / electric power</w:t>
            </w:r>
          </w:p>
        </w:tc>
        <w:tc>
          <w:tcPr>
            <w:tcW w:type="dxa" w:w="4703"/>
          </w:tcPr>
          <w:p>
            <w:r>
              <w:rPr>
                <w:rFonts w:ascii="Arial" w:hAnsi="Arial"/>
                <w:sz w:val="20"/>
              </w:rPr>
            </w:r>
            <w:r>
              <w:rPr>
                <w:rFonts w:ascii="Arial" w:hAnsi="Arial"/>
                <w:sz w:val="20"/>
              </w:rPr>
              <w:t xml:space="preserve">42.8 MW / </w:t>
            </w:r>
            <w:r>
              <w:rPr>
                <w:rFonts w:ascii="Arial" w:hAnsi="Arial"/>
                <w:b/>
                <w:sz w:val="20"/>
              </w:rPr>
              <w:t>42.2 MWe</w:t>
            </w:r>
            <w:r>
              <w:rPr>
                <w:rFonts w:ascii="Arial" w:hAnsi="Arial"/>
                <w:sz w:val="20"/>
              </w:rPr>
              <w:t xml:space="preserve"> (33.7 %)</w:t>
            </w:r>
          </w:p>
        </w:tc>
      </w:tr>
      <w:tr>
        <w:tc>
          <w:tcPr>
            <w:tcW w:type="dxa" w:w="4703"/>
          </w:tcPr>
          <w:p>
            <w:r>
              <w:rPr>
                <w:rFonts w:ascii="Arial" w:hAnsi="Arial"/>
                <w:sz w:val="20"/>
              </w:rPr>
            </w:r>
            <w:r>
              <w:rPr>
                <w:rFonts w:ascii="Arial" w:hAnsi="Arial"/>
                <w:sz w:val="20"/>
              </w:rPr>
              <w:t>− feed/condensate pumps</w:t>
            </w:r>
          </w:p>
        </w:tc>
        <w:tc>
          <w:tcPr>
            <w:tcW w:type="dxa" w:w="4703"/>
          </w:tcPr>
          <w:p>
            <w:r>
              <w:rPr>
                <w:rFonts w:ascii="Arial" w:hAnsi="Arial"/>
                <w:sz w:val="20"/>
              </w:rPr>
            </w:r>
            <w:r>
              <w:rPr>
                <w:rFonts w:ascii="Arial" w:hAnsi="Arial"/>
                <w:sz w:val="20"/>
              </w:rPr>
              <w:t>0.36 MWe</w:t>
            </w:r>
          </w:p>
        </w:tc>
      </w:tr>
      <w:tr>
        <w:tc>
          <w:tcPr>
            <w:tcW w:type="dxa" w:w="4703"/>
          </w:tcPr>
          <w:p>
            <w:r>
              <w:rPr>
                <w:rFonts w:ascii="Arial" w:hAnsi="Arial"/>
                <w:sz w:val="20"/>
              </w:rPr>
            </w:r>
            <w:r>
              <w:rPr>
                <w:rFonts w:ascii="Arial" w:hAnsi="Arial"/>
                <w:sz w:val="20"/>
              </w:rPr>
              <w:t>− balance-of-plant house load</w:t>
            </w:r>
          </w:p>
        </w:tc>
        <w:tc>
          <w:tcPr>
            <w:tcW w:type="dxa" w:w="4703"/>
          </w:tcPr>
          <w:p>
            <w:r>
              <w:rPr>
                <w:rFonts w:ascii="Arial" w:hAnsi="Arial"/>
                <w:sz w:val="20"/>
              </w:rPr>
            </w:r>
            <w:r>
              <w:rPr>
                <w:rFonts w:ascii="Arial" w:hAnsi="Arial"/>
                <w:sz w:val="20"/>
              </w:rPr>
              <w:t>2.11 MWe</w:t>
            </w:r>
          </w:p>
        </w:tc>
      </w:tr>
      <w:tr>
        <w:tc>
          <w:tcPr>
            <w:tcW w:type="dxa" w:w="4703"/>
          </w:tcPr>
          <w:p>
            <w:r>
              <w:rPr>
                <w:rFonts w:ascii="Arial" w:hAnsi="Arial"/>
                <w:sz w:val="20"/>
              </w:rPr>
            </w:r>
            <w:r>
              <w:rPr>
                <w:rFonts w:ascii="Arial" w:hAnsi="Arial"/>
                <w:b/>
                <w:sz w:val="20"/>
              </w:rPr>
              <w:t>Net electric power (sent-out)</w:t>
            </w:r>
          </w:p>
        </w:tc>
        <w:tc>
          <w:tcPr>
            <w:tcW w:type="dxa" w:w="4703"/>
          </w:tcPr>
          <w:p>
            <w:r>
              <w:rPr>
                <w:rFonts w:ascii="Arial" w:hAnsi="Arial"/>
                <w:sz w:val="20"/>
              </w:rPr>
            </w:r>
            <w:r>
              <w:rPr>
                <w:rFonts w:ascii="Arial" w:hAnsi="Arial"/>
                <w:b/>
                <w:sz w:val="20"/>
              </w:rPr>
              <w:t>39.7 MWe</w:t>
            </w:r>
            <w:r>
              <w:rPr>
                <w:rFonts w:ascii="Arial" w:hAnsi="Arial"/>
                <w:sz w:val="20"/>
              </w:rPr>
              <w:t xml:space="preserve"> (nameplate </w:t>
            </w:r>
            <w:r>
              <w:rPr>
                <w:rFonts w:ascii="Arial" w:hAnsi="Arial"/>
                <w:b/>
                <w:sz w:val="20"/>
              </w:rPr>
              <w:t>40 MWe</w:t>
            </w:r>
            <w:r>
              <w:rPr>
                <w:rFonts w:ascii="Arial" w:hAnsi="Arial"/>
                <w:sz w:val="20"/>
              </w:rPr>
              <w:t>)</w:t>
            </w:r>
          </w:p>
        </w:tc>
      </w:tr>
      <w:tr>
        <w:tc>
          <w:tcPr>
            <w:tcW w:type="dxa" w:w="4703"/>
          </w:tcPr>
          <w:p>
            <w:r>
              <w:rPr>
                <w:rFonts w:ascii="Arial" w:hAnsi="Arial"/>
                <w:sz w:val="20"/>
              </w:rPr>
            </w:r>
            <w:r>
              <w:rPr>
                <w:rFonts w:ascii="Arial" w:hAnsi="Arial"/>
                <w:b/>
                <w:sz w:val="20"/>
              </w:rPr>
              <w:t>Net plant efficiency</w:t>
            </w:r>
          </w:p>
        </w:tc>
        <w:tc>
          <w:tcPr>
            <w:tcW w:type="dxa" w:w="4703"/>
          </w:tcPr>
          <w:p>
            <w:r>
              <w:rPr>
                <w:rFonts w:ascii="Arial" w:hAnsi="Arial"/>
                <w:sz w:val="20"/>
              </w:rPr>
            </w:r>
            <w:r>
              <w:rPr>
                <w:rFonts w:ascii="Arial" w:hAnsi="Arial"/>
                <w:b/>
                <w:sz w:val="20"/>
              </w:rPr>
              <w:t>31.8 %</w:t>
            </w:r>
          </w:p>
        </w:tc>
      </w:tr>
      <w:tr>
        <w:tc>
          <w:tcPr>
            <w:tcW w:type="dxa" w:w="4703"/>
          </w:tcPr>
          <w:p>
            <w:r>
              <w:rPr>
                <w:rFonts w:ascii="Arial" w:hAnsi="Arial"/>
                <w:sz w:val="20"/>
              </w:rPr>
            </w:r>
            <w:r>
              <w:rPr>
                <w:rFonts w:ascii="Arial" w:hAnsi="Arial"/>
                <w:sz w:val="20"/>
              </w:rPr>
              <w:t>Heat rejected at condenser</w:t>
            </w:r>
          </w:p>
        </w:tc>
        <w:tc>
          <w:tcPr>
            <w:tcW w:type="dxa" w:w="4703"/>
          </w:tcPr>
          <w:p>
            <w:r>
              <w:rPr>
                <w:rFonts w:ascii="Arial" w:hAnsi="Arial"/>
                <w:sz w:val="20"/>
              </w:rPr>
            </w:r>
            <w:r>
              <w:rPr>
                <w:rFonts w:ascii="Arial" w:hAnsi="Arial"/>
                <w:sz w:val="20"/>
              </w:rPr>
              <w:t>82.6 MWth</w:t>
            </w:r>
          </w:p>
        </w:tc>
      </w:tr>
    </w:tbl>
    <w:p/>
    <w:p>
      <w:pPr>
        <w:jc w:val="both"/>
      </w:pPr>
      <w:r>
        <w:rPr>
          <w:rFonts w:ascii="Arial" w:hAnsi="Arial"/>
        </w:rPr>
        <w:t xml:space="preserve">Closure: 125 MWth in = 39.7 MWe net + 82.6 MWth condenser rejection + ~2.5 MWe auxiliaries (consistent to &lt;1 %). The net plant efficiency of </w:t>
      </w:r>
      <w:r>
        <w:rPr>
          <w:rFonts w:ascii="Arial" w:hAnsi="Arial"/>
          <w:b/>
        </w:rPr>
        <w:t>31.8 %</w:t>
      </w:r>
      <w:r>
        <w:rPr>
          <w:rFonts w:ascii="Arial" w:hAnsi="Arial"/>
        </w:rPr>
        <w:t xml:space="preserve"> is in line with operating and near-term iPWRs of this class (NuScale ~30 %, mPower ~31 %), the slightly higher value reflecting the superheated OTSG steam and regenerative feed heating. The plant nameplate is retained at </w:t>
      </w:r>
      <w:r>
        <w:rPr>
          <w:rFonts w:ascii="Arial" w:hAnsi="Arial"/>
          <w:b/>
        </w:rPr>
        <w:t>40 MWe</w:t>
      </w:r>
      <w:r>
        <w:rPr>
          <w:rFonts w:ascii="Arial" w:hAnsi="Arial"/>
        </w:rPr>
        <w:t xml:space="preserve"> — the 0.3 MWe difference from the re-coupled heat balance is within the turbine-efficiency assumption.</w:t>
      </w:r>
    </w:p>
    <w:p>
      <w:pPr>
        <w:jc w:val="both"/>
      </w:pPr>
      <w:r>
        <w:rPr>
          <w:rFonts w:ascii="Arial" w:hAnsi="Arial"/>
          <w:b/>
        </w:rPr>
        <w:t>Labelled process flow diagram with state points.</w:t>
      </w:r>
      <w:r>
        <w:rPr>
          <w:rFonts w:ascii="Arial" w:hAnsi="Arial"/>
        </w:rPr>
        <w:t xml:space="preserve"> Following the integrated heat-balance presentation of comparable SMR studies (Oğul et al. 2026, Cycle-Tempo SMART model), the secondary cycle is also rendered as a single annotated PFD in which every node carries its pressure, temperature, specific enthalpy and mass flow.</w:t>
      </w:r>
    </w:p>
    <w:p>
      <w:pPr>
        <w:jc w:val="center"/>
      </w:pPr>
      <w:r>
        <w:drawing>
          <wp:inline xmlns:a="http://schemas.openxmlformats.org/drawingml/2006/main" xmlns:pic="http://schemas.openxmlformats.org/drawingml/2006/picture">
            <wp:extent cx="5486400" cy="3088640"/>
            <wp:docPr id="10" name="Picture 10"/>
            <wp:cNvGraphicFramePr>
              <a:graphicFrameLocks noChangeAspect="1"/>
            </wp:cNvGraphicFramePr>
            <a:graphic>
              <a:graphicData uri="http://schemas.openxmlformats.org/drawingml/2006/picture">
                <pic:pic>
                  <pic:nvPicPr>
                    <pic:cNvPr id="0" name="cycle_pfd_labeled.png"/>
                    <pic:cNvPicPr/>
                  </pic:nvPicPr>
                  <pic:blipFill>
                    <a:blip r:embed="rId18"/>
                    <a:stretch>
                      <a:fillRect/>
                    </a:stretch>
                  </pic:blipFill>
                  <pic:spPr>
                    <a:xfrm>
                      <a:off x="0" y="0"/>
                      <a:ext cx="5486400" cy="3088640"/>
                    </a:xfrm>
                    <a:prstGeom prst="rect"/>
                  </pic:spPr>
                </pic:pic>
              </a:graphicData>
            </a:graphic>
          </wp:inline>
        </w:drawing>
      </w:r>
    </w:p>
    <w:p>
      <w:pPr>
        <w:jc w:val="center"/>
      </w:pPr>
      <w:r>
        <w:rPr>
          <w:i/>
          <w:color w:val="555555"/>
          <w:sz w:val="19"/>
        </w:rPr>
        <w:t>Figure 8.9-2 — Labelled secondary-cycle PFD</w:t>
      </w:r>
    </w:p>
    <w:p>
      <w:pPr>
        <w:jc w:val="both"/>
      </w:pPr>
      <w:r>
        <w:rPr>
          <w:rFonts w:ascii="Arial" w:hAnsi="Arial"/>
          <w:b/>
        </w:rPr>
        <w:t>Second-law (exergy) analysis.</w:t>
      </w:r>
      <w:r>
        <w:rPr>
          <w:rFonts w:ascii="Arial" w:hAnsi="Arial"/>
        </w:rPr>
        <w:t xml:space="preserve"> A first-law efficiency alone does not show *where* the conversion potential is lost. An exergy balance referenced to a dead state of T₀ = 25 °C, P₀ = 0.101 MPa — with the heat source valued at the primary-coolant log-mean temperature (282.6 °C, i.e. the exergy of the 308 → 258 °C primary legs) — locates each irreversibility (Table 8.9-3b; </w:t>
      </w:r>
      <w:r>
        <w:rPr>
          <w:rFonts w:ascii="Consolas" w:hAnsi="Consolas"/>
          <w:sz w:val="21"/>
        </w:rPr>
        <w:t>scripts/thermo_exergy.py</w:t>
      </w:r>
      <w:r>
        <w:rPr>
          <w:rFonts w:ascii="Arial" w:hAnsi="Arial"/>
        </w:rPr>
        <w:t xml:space="preserve"> → </w:t>
      </w:r>
      <w:r>
        <w:rPr>
          <w:rFonts w:ascii="Consolas" w:hAnsi="Consolas"/>
          <w:sz w:val="21"/>
        </w:rPr>
        <w:t>cycle/cycle_exergy.csv</w:t>
      </w:r>
      <w:r>
        <w:rPr>
          <w:rFonts w:ascii="Arial" w:hAnsi="Arial"/>
        </w:rPr>
        <w:t xml:space="preserve">). Of the </w:t>
      </w:r>
      <w:r>
        <w:rPr>
          <w:rFonts w:ascii="Arial" w:hAnsi="Arial"/>
          <w:b/>
        </w:rPr>
        <w:t>57.9 MW</w:t>
      </w:r>
      <w:r>
        <w:rPr>
          <w:rFonts w:ascii="Arial" w:hAnsi="Arial"/>
        </w:rPr>
        <w:t xml:space="preserve"> of exergy delivered by the primary coolant, </w:t>
      </w:r>
      <w:r>
        <w:rPr>
          <w:rFonts w:ascii="Arial" w:hAnsi="Arial"/>
          <w:b/>
        </w:rPr>
        <w:t>39.7 MW</w:t>
      </w:r>
      <w:r>
        <w:rPr>
          <w:rFonts w:ascii="Arial" w:hAnsi="Arial"/>
        </w:rPr>
        <w:t xml:space="preserve"> leaves as net electricity, giving an</w:t>
      </w:r>
    </w:p>
    <w:p>
      <w:pPr>
        <w:jc w:val="both"/>
      </w:pPr>
      <w:r>
        <w:rPr>
          <w:rFonts w:ascii="Arial" w:hAnsi="Arial"/>
          <w:b/>
        </w:rPr>
        <w:t>exergetic (second-law) efficiency of 68.5 %</w:t>
      </w:r>
      <w:r>
        <w:rPr>
          <w:rFonts w:ascii="Arial" w:hAnsi="Arial"/>
        </w:rPr>
        <w:t xml:space="preserve"> — the figure of merit that the 31.8 % first-law number cannot convey, since the remaining ~31 % is split between identifiable, partially-recoverable losses.</w:t>
      </w:r>
    </w:p>
    <w:p>
      <w:pPr>
        <w:jc w:val="both"/>
      </w:pPr>
      <w:r>
        <w:rPr>
          <w:rFonts w:ascii="Arial" w:hAnsi="Arial"/>
          <w:b/>
        </w:rPr>
        <w:t>Table 8.9-3b — Exergy (second-law) balance, referenced to the primary-coolant heat-exergy: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Component</w:t>
            </w:r>
          </w:p>
        </w:tc>
        <w:tc>
          <w:tcPr>
            <w:tcW w:type="dxa" w:w="3135"/>
            <w:shd w:val="clear" w:fill="DDE3EA"/>
          </w:tcPr>
          <w:p>
            <w:r>
              <w:rPr>
                <w:rFonts w:ascii="Arial" w:hAnsi="Arial"/>
                <w:b/>
                <w:sz w:val="20"/>
              </w:rPr>
            </w:r>
            <w:r>
              <w:rPr>
                <w:rFonts w:ascii="Arial" w:hAnsi="Arial"/>
                <w:b/>
                <w:sz w:val="20"/>
              </w:rPr>
              <w:t>Exergy destruction / loss</w:t>
            </w:r>
          </w:p>
        </w:tc>
        <w:tc>
          <w:tcPr>
            <w:tcW w:type="dxa" w:w="3135"/>
            <w:shd w:val="clear" w:fill="DDE3EA"/>
          </w:tcPr>
          <w:p>
            <w:r>
              <w:rPr>
                <w:rFonts w:ascii="Arial" w:hAnsi="Arial"/>
                <w:b/>
                <w:sz w:val="20"/>
              </w:rPr>
            </w:r>
            <w:r>
              <w:rPr>
                <w:rFonts w:ascii="Arial" w:hAnsi="Arial"/>
                <w:b/>
                <w:sz w:val="20"/>
              </w:rPr>
              <w:t>Share of supplied exergy</w:t>
            </w:r>
          </w:p>
        </w:tc>
      </w:tr>
      <w:tr>
        <w:tc>
          <w:tcPr>
            <w:tcW w:type="dxa" w:w="3135"/>
          </w:tcPr>
          <w:p>
            <w:r>
              <w:rPr>
                <w:rFonts w:ascii="Arial" w:hAnsi="Arial"/>
                <w:sz w:val="20"/>
              </w:rPr>
            </w:r>
            <w:r>
              <w:rPr>
                <w:rFonts w:ascii="Arial" w:hAnsi="Arial"/>
                <w:sz w:val="20"/>
              </w:rPr>
              <w:t>Turbine + generator stages</w:t>
            </w:r>
          </w:p>
        </w:tc>
        <w:tc>
          <w:tcPr>
            <w:tcW w:type="dxa" w:w="3135"/>
          </w:tcPr>
          <w:p>
            <w:r>
              <w:rPr>
                <w:rFonts w:ascii="Arial" w:hAnsi="Arial"/>
                <w:sz w:val="20"/>
              </w:rPr>
            </w:r>
            <w:r>
              <w:rPr>
                <w:rFonts w:ascii="Arial" w:hAnsi="Arial"/>
                <w:sz w:val="20"/>
              </w:rPr>
              <w:t>6.02 MW</w:t>
            </w:r>
          </w:p>
        </w:tc>
        <w:tc>
          <w:tcPr>
            <w:tcW w:type="dxa" w:w="3135"/>
          </w:tcPr>
          <w:p>
            <w:r>
              <w:rPr>
                <w:rFonts w:ascii="Arial" w:hAnsi="Arial"/>
                <w:sz w:val="20"/>
              </w:rPr>
            </w:r>
            <w:r>
              <w:rPr>
                <w:rFonts w:ascii="Arial" w:hAnsi="Arial"/>
                <w:sz w:val="20"/>
              </w:rPr>
              <w:t>10.4 %</w:t>
            </w:r>
          </w:p>
        </w:tc>
      </w:tr>
      <w:tr>
        <w:tc>
          <w:tcPr>
            <w:tcW w:type="dxa" w:w="3135"/>
          </w:tcPr>
          <w:p>
            <w:r>
              <w:rPr>
                <w:rFonts w:ascii="Arial" w:hAnsi="Arial"/>
                <w:sz w:val="20"/>
              </w:rPr>
            </w:r>
            <w:r>
              <w:rPr>
                <w:rFonts w:ascii="Arial" w:hAnsi="Arial"/>
                <w:sz w:val="20"/>
              </w:rPr>
              <w:t>OTSG / steam generator (finite-ΔT)</w:t>
            </w:r>
          </w:p>
        </w:tc>
        <w:tc>
          <w:tcPr>
            <w:tcW w:type="dxa" w:w="3135"/>
          </w:tcPr>
          <w:p>
            <w:r>
              <w:rPr>
                <w:rFonts w:ascii="Arial" w:hAnsi="Arial"/>
                <w:sz w:val="20"/>
              </w:rPr>
            </w:r>
            <w:r>
              <w:rPr>
                <w:rFonts w:ascii="Arial" w:hAnsi="Arial"/>
                <w:sz w:val="20"/>
              </w:rPr>
              <w:t>3.95 MW</w:t>
            </w:r>
          </w:p>
        </w:tc>
        <w:tc>
          <w:tcPr>
            <w:tcW w:type="dxa" w:w="3135"/>
          </w:tcPr>
          <w:p>
            <w:r>
              <w:rPr>
                <w:rFonts w:ascii="Arial" w:hAnsi="Arial"/>
                <w:sz w:val="20"/>
              </w:rPr>
            </w:r>
            <w:r>
              <w:rPr>
                <w:rFonts w:ascii="Arial" w:hAnsi="Arial"/>
                <w:sz w:val="20"/>
              </w:rPr>
              <w:t>6.8 %</w:t>
            </w:r>
          </w:p>
        </w:tc>
      </w:tr>
      <w:tr>
        <w:tc>
          <w:tcPr>
            <w:tcW w:type="dxa" w:w="3135"/>
          </w:tcPr>
          <w:p>
            <w:r>
              <w:rPr>
                <w:rFonts w:ascii="Arial" w:hAnsi="Arial"/>
                <w:sz w:val="20"/>
              </w:rPr>
            </w:r>
            <w:r>
              <w:rPr>
                <w:rFonts w:ascii="Arial" w:hAnsi="Arial"/>
                <w:sz w:val="20"/>
              </w:rPr>
              <w:t>Condenser heat rejected to sea (external loss)</w:t>
            </w:r>
          </w:p>
        </w:tc>
        <w:tc>
          <w:tcPr>
            <w:tcW w:type="dxa" w:w="3135"/>
          </w:tcPr>
          <w:p>
            <w:r>
              <w:rPr>
                <w:rFonts w:ascii="Arial" w:hAnsi="Arial"/>
                <w:sz w:val="20"/>
              </w:rPr>
            </w:r>
            <w:r>
              <w:rPr>
                <w:rFonts w:ascii="Arial" w:hAnsi="Arial"/>
                <w:sz w:val="20"/>
              </w:rPr>
              <w:t>3.70 MW</w:t>
            </w:r>
          </w:p>
        </w:tc>
        <w:tc>
          <w:tcPr>
            <w:tcW w:type="dxa" w:w="3135"/>
          </w:tcPr>
          <w:p>
            <w:r>
              <w:rPr>
                <w:rFonts w:ascii="Arial" w:hAnsi="Arial"/>
                <w:sz w:val="20"/>
              </w:rPr>
            </w:r>
            <w:r>
              <w:rPr>
                <w:rFonts w:ascii="Arial" w:hAnsi="Arial"/>
                <w:sz w:val="20"/>
              </w:rPr>
              <w:t>6.4 %</w:t>
            </w:r>
          </w:p>
        </w:tc>
      </w:tr>
      <w:tr>
        <w:tc>
          <w:tcPr>
            <w:tcW w:type="dxa" w:w="3135"/>
          </w:tcPr>
          <w:p>
            <w:r>
              <w:rPr>
                <w:rFonts w:ascii="Arial" w:hAnsi="Arial"/>
                <w:sz w:val="20"/>
              </w:rPr>
            </w:r>
            <w:r>
              <w:rPr>
                <w:rFonts w:ascii="Arial" w:hAnsi="Arial"/>
                <w:sz w:val="20"/>
              </w:rPr>
              <w:t>Generator + BOP house load (external loss)</w:t>
            </w:r>
          </w:p>
        </w:tc>
        <w:tc>
          <w:tcPr>
            <w:tcW w:type="dxa" w:w="3135"/>
          </w:tcPr>
          <w:p>
            <w:r>
              <w:rPr>
                <w:rFonts w:ascii="Arial" w:hAnsi="Arial"/>
                <w:sz w:val="20"/>
              </w:rPr>
            </w:r>
            <w:r>
              <w:rPr>
                <w:rFonts w:ascii="Arial" w:hAnsi="Arial"/>
                <w:sz w:val="20"/>
              </w:rPr>
              <w:t>2.77 MW</w:t>
            </w:r>
          </w:p>
        </w:tc>
        <w:tc>
          <w:tcPr>
            <w:tcW w:type="dxa" w:w="3135"/>
          </w:tcPr>
          <w:p>
            <w:r>
              <w:rPr>
                <w:rFonts w:ascii="Arial" w:hAnsi="Arial"/>
                <w:sz w:val="20"/>
              </w:rPr>
            </w:r>
            <w:r>
              <w:rPr>
                <w:rFonts w:ascii="Arial" w:hAnsi="Arial"/>
                <w:sz w:val="20"/>
              </w:rPr>
              <w:t>4.8 %</w:t>
            </w:r>
          </w:p>
        </w:tc>
      </w:tr>
      <w:tr>
        <w:tc>
          <w:tcPr>
            <w:tcW w:type="dxa" w:w="3135"/>
          </w:tcPr>
          <w:p>
            <w:r>
              <w:rPr>
                <w:rFonts w:ascii="Arial" w:hAnsi="Arial"/>
                <w:sz w:val="20"/>
              </w:rPr>
            </w:r>
            <w:r>
              <w:rPr>
                <w:rFonts w:ascii="Arial" w:hAnsi="Arial"/>
                <w:sz w:val="20"/>
              </w:rPr>
              <w:t>Deaerator (FWH-2)</w:t>
            </w:r>
          </w:p>
        </w:tc>
        <w:tc>
          <w:tcPr>
            <w:tcW w:type="dxa" w:w="3135"/>
          </w:tcPr>
          <w:p>
            <w:r>
              <w:rPr>
                <w:rFonts w:ascii="Arial" w:hAnsi="Arial"/>
                <w:sz w:val="20"/>
              </w:rPr>
            </w:r>
            <w:r>
              <w:rPr>
                <w:rFonts w:ascii="Arial" w:hAnsi="Arial"/>
                <w:sz w:val="20"/>
              </w:rPr>
              <w:t>0.97 MW</w:t>
            </w:r>
          </w:p>
        </w:tc>
        <w:tc>
          <w:tcPr>
            <w:tcW w:type="dxa" w:w="3135"/>
          </w:tcPr>
          <w:p>
            <w:r>
              <w:rPr>
                <w:rFonts w:ascii="Arial" w:hAnsi="Arial"/>
                <w:sz w:val="20"/>
              </w:rPr>
            </w:r>
            <w:r>
              <w:rPr>
                <w:rFonts w:ascii="Arial" w:hAnsi="Arial"/>
                <w:sz w:val="20"/>
              </w:rPr>
              <w:t>1.7 %</w:t>
            </w:r>
          </w:p>
        </w:tc>
      </w:tr>
      <w:tr>
        <w:tc>
          <w:tcPr>
            <w:tcW w:type="dxa" w:w="3135"/>
          </w:tcPr>
          <w:p>
            <w:r>
              <w:rPr>
                <w:rFonts w:ascii="Arial" w:hAnsi="Arial"/>
                <w:sz w:val="20"/>
              </w:rPr>
            </w:r>
            <w:r>
              <w:rPr>
                <w:rFonts w:ascii="Arial" w:hAnsi="Arial"/>
                <w:sz w:val="20"/>
              </w:rPr>
              <w:t>FWH-1</w:t>
            </w:r>
          </w:p>
        </w:tc>
        <w:tc>
          <w:tcPr>
            <w:tcW w:type="dxa" w:w="3135"/>
          </w:tcPr>
          <w:p>
            <w:r>
              <w:rPr>
                <w:rFonts w:ascii="Arial" w:hAnsi="Arial"/>
                <w:sz w:val="20"/>
              </w:rPr>
            </w:r>
            <w:r>
              <w:rPr>
                <w:rFonts w:ascii="Arial" w:hAnsi="Arial"/>
                <w:sz w:val="20"/>
              </w:rPr>
              <w:t>0.81 MW</w:t>
            </w:r>
          </w:p>
        </w:tc>
        <w:tc>
          <w:tcPr>
            <w:tcW w:type="dxa" w:w="3135"/>
          </w:tcPr>
          <w:p>
            <w:r>
              <w:rPr>
                <w:rFonts w:ascii="Arial" w:hAnsi="Arial"/>
                <w:sz w:val="20"/>
              </w:rPr>
            </w:r>
            <w:r>
              <w:rPr>
                <w:rFonts w:ascii="Arial" w:hAnsi="Arial"/>
                <w:sz w:val="20"/>
              </w:rPr>
              <w:t>1.4 %</w:t>
            </w:r>
          </w:p>
        </w:tc>
      </w:tr>
      <w:tr>
        <w:tc>
          <w:tcPr>
            <w:tcW w:type="dxa" w:w="3135"/>
          </w:tcPr>
          <w:p>
            <w:r>
              <w:rPr>
                <w:rFonts w:ascii="Arial" w:hAnsi="Arial"/>
                <w:sz w:val="20"/>
              </w:rPr>
            </w:r>
            <w:r>
              <w:rPr>
                <w:rFonts w:ascii="Arial" w:hAnsi="Arial"/>
                <w:sz w:val="20"/>
              </w:rPr>
              <w:t>Condenser internal ΔT + pumps + moisture separator</w:t>
            </w:r>
          </w:p>
        </w:tc>
        <w:tc>
          <w:tcPr>
            <w:tcW w:type="dxa" w:w="3135"/>
          </w:tcPr>
          <w:p>
            <w:r>
              <w:rPr>
                <w:rFonts w:ascii="Arial" w:hAnsi="Arial"/>
                <w:sz w:val="20"/>
              </w:rPr>
            </w:r>
            <w:r>
              <w:rPr>
                <w:rFonts w:ascii="Arial" w:hAnsi="Arial"/>
                <w:sz w:val="20"/>
              </w:rPr>
              <w:t>~0.04 MW</w:t>
            </w:r>
          </w:p>
        </w:tc>
        <w:tc>
          <w:tcPr>
            <w:tcW w:type="dxa" w:w="3135"/>
          </w:tcPr>
          <w:p>
            <w:r>
              <w:rPr>
                <w:rFonts w:ascii="Arial" w:hAnsi="Arial"/>
                <w:sz w:val="20"/>
              </w:rPr>
            </w:r>
            <w:r>
              <w:rPr>
                <w:rFonts w:ascii="Arial" w:hAnsi="Arial"/>
                <w:sz w:val="20"/>
              </w:rPr>
              <w:t>~0.1 %</w:t>
            </w:r>
          </w:p>
        </w:tc>
      </w:tr>
      <w:tr>
        <w:tc>
          <w:tcPr>
            <w:tcW w:type="dxa" w:w="3135"/>
          </w:tcPr>
          <w:p>
            <w:r>
              <w:rPr>
                <w:rFonts w:ascii="Arial" w:hAnsi="Arial"/>
                <w:sz w:val="20"/>
              </w:rPr>
            </w:r>
            <w:r>
              <w:rPr>
                <w:rFonts w:ascii="Arial" w:hAnsi="Arial"/>
                <w:b/>
                <w:sz w:val="20"/>
              </w:rPr>
              <w:t>Total destroyed + lost</w:t>
            </w:r>
          </w:p>
        </w:tc>
        <w:tc>
          <w:tcPr>
            <w:tcW w:type="dxa" w:w="3135"/>
          </w:tcPr>
          <w:p>
            <w:r>
              <w:rPr>
                <w:rFonts w:ascii="Arial" w:hAnsi="Arial"/>
                <w:sz w:val="20"/>
              </w:rPr>
            </w:r>
            <w:r>
              <w:rPr>
                <w:rFonts w:ascii="Arial" w:hAnsi="Arial"/>
                <w:b/>
                <w:sz w:val="20"/>
              </w:rPr>
              <w:t>18.3 MW</w:t>
            </w:r>
          </w:p>
        </w:tc>
        <w:tc>
          <w:tcPr>
            <w:tcW w:type="dxa" w:w="3135"/>
          </w:tcPr>
          <w:p>
            <w:r>
              <w:rPr>
                <w:rFonts w:ascii="Arial" w:hAnsi="Arial"/>
                <w:sz w:val="20"/>
              </w:rPr>
            </w:r>
            <w:r>
              <w:rPr>
                <w:rFonts w:ascii="Arial" w:hAnsi="Arial"/>
                <w:b/>
                <w:sz w:val="20"/>
              </w:rPr>
              <w:t>31.5 %</w:t>
            </w:r>
          </w:p>
        </w:tc>
      </w:tr>
      <w:tr>
        <w:tc>
          <w:tcPr>
            <w:tcW w:type="dxa" w:w="3135"/>
          </w:tcPr>
          <w:p>
            <w:r>
              <w:rPr>
                <w:rFonts w:ascii="Arial" w:hAnsi="Arial"/>
                <w:sz w:val="20"/>
              </w:rPr>
            </w:r>
            <w:r>
              <w:rPr>
                <w:rFonts w:ascii="Arial" w:hAnsi="Arial"/>
                <w:b/>
                <w:sz w:val="20"/>
              </w:rPr>
              <w:t>Useful electric output</w:t>
            </w:r>
          </w:p>
        </w:tc>
        <w:tc>
          <w:tcPr>
            <w:tcW w:type="dxa" w:w="3135"/>
          </w:tcPr>
          <w:p>
            <w:r>
              <w:rPr>
                <w:rFonts w:ascii="Arial" w:hAnsi="Arial"/>
                <w:sz w:val="20"/>
              </w:rPr>
            </w:r>
            <w:r>
              <w:rPr>
                <w:rFonts w:ascii="Arial" w:hAnsi="Arial"/>
                <w:b/>
                <w:sz w:val="20"/>
              </w:rPr>
              <w:t>39.7 MW</w:t>
            </w:r>
          </w:p>
        </w:tc>
        <w:tc>
          <w:tcPr>
            <w:tcW w:type="dxa" w:w="3135"/>
          </w:tcPr>
          <w:p>
            <w:r>
              <w:rPr>
                <w:rFonts w:ascii="Arial" w:hAnsi="Arial"/>
                <w:sz w:val="20"/>
              </w:rPr>
            </w:r>
            <w:r>
              <w:rPr>
                <w:rFonts w:ascii="Arial" w:hAnsi="Arial"/>
                <w:b/>
                <w:sz w:val="20"/>
              </w:rPr>
              <w:t>68.5 %</w:t>
            </w:r>
          </w:p>
        </w:tc>
      </w:tr>
    </w:tbl>
    <w:p/>
    <w:p>
      <w:pPr>
        <w:jc w:val="both"/>
      </w:pPr>
      <w:r>
        <w:rPr>
          <w:rFonts w:ascii="Arial" w:hAnsi="Arial"/>
        </w:rPr>
        <w:t>The exergy map is diagnostically useful: the largest *internal* irreversibility is the turbine expansion (10.4 %, set by the 0.85 isentropic efficiency), followed by the OTSG finite-ΔT heat transfer (6.8 %, the price of the once-through counterflow approach in §8.9.4); the condenser and generator/BOP terms (6.4 % + 4.8 %) are *external* losses to the sea sink and house load rather than thermodynamic destruction. The feedwater heaters together destroy only ~3 % — the regenerative train is well-matched. This identifies the turbine and OTSG approach temperatures as the only levers worth pursuing for further efficiency gain.</w:t>
      </w:r>
    </w:p>
    <w:p>
      <w:pPr>
        <w:jc w:val="both"/>
      </w:pPr>
      <w:r>
        <w:rPr>
          <w:rFonts w:ascii="Arial" w:hAnsi="Arial"/>
          <w:b/>
        </w:rPr>
        <w:t>Ultimate heat sink — seawater once-through, and its sea-temperature impact.</w:t>
      </w:r>
      <w:r>
        <w:rPr>
          <w:rFonts w:ascii="Arial" w:hAnsi="Arial"/>
        </w:rPr>
        <w:t xml:space="preserve"> The 82.6 MWth condenser duty is rejected to the </w:t>
      </w:r>
      <w:r>
        <w:rPr>
          <w:rFonts w:ascii="Arial" w:hAnsi="Arial"/>
          <w:b/>
        </w:rPr>
        <w:t>Black Sea (Sinop coastal site)</w:t>
      </w:r>
      <w:r>
        <w:rPr>
          <w:rFonts w:ascii="Arial" w:hAnsi="Arial"/>
        </w:rPr>
        <w:t xml:space="preserve"> by a </w:t>
      </w:r>
      <w:r>
        <w:rPr>
          <w:rFonts w:ascii="Arial" w:hAnsi="Arial"/>
          <w:b/>
        </w:rPr>
        <w:t>once-through seawater</w:t>
      </w:r>
      <w:r>
        <w:rPr>
          <w:rFonts w:ascii="Arial" w:hAnsi="Arial"/>
        </w:rPr>
        <w:t xml:space="preserve"> circuit — *not* a wet cooling tower — so there is </w:t>
      </w:r>
      <w:r>
        <w:rPr>
          <w:rFonts w:ascii="Arial" w:hAnsi="Arial"/>
          <w:b/>
        </w:rPr>
        <w:t>no consumptive (evaporative) freshwater use</w:t>
      </w:r>
      <w:r>
        <w:rPr>
          <w:rFonts w:ascii="Arial" w:hAnsi="Arial"/>
        </w:rPr>
        <w:t xml:space="preserve">. For a design condenser rise ΔT_cond ≤ 10 K the intake is ṁ = Q/(c_p·ΔT) = 82.6 MW/(4.00 kJ/kg·K · 10 K) ≈ </w:t>
      </w:r>
      <w:r>
        <w:rPr>
          <w:rFonts w:ascii="Arial" w:hAnsi="Arial"/>
          <w:b/>
        </w:rPr>
        <w:t>2,065 kg/s (≈ 2.0 m³/s)</w:t>
      </w:r>
      <w:r>
        <w:rPr>
          <w:rFonts w:ascii="Arial" w:hAnsi="Arial"/>
        </w:rPr>
        <w:t xml:space="preserve"> of brackish seawater (≈18 psu; c_p ≈ 4.00 kJ/kg·K). Summer is the absolute-temperature-limiting case: at a 25 °C intake the outfall is 35 °C; throttling to ΔT=7 K (ṁ ≈ 2,950 kg/s) caps it at 32 °C. The </w:t>
      </w:r>
      <w:r>
        <w:rPr>
          <w:rFonts w:ascii="Arial" w:hAnsi="Arial"/>
          <w:b/>
        </w:rPr>
        <w:t>environmental</w:t>
      </w:r>
      <w:r>
        <w:rPr>
          <w:rFonts w:ascii="Arial" w:hAnsi="Arial"/>
        </w:rPr>
        <w:t xml:space="preserve"> metric is the *far-field* excess after near-field mixing: a submerged </w:t>
      </w:r>
      <w:r>
        <w:rPr>
          <w:rFonts w:ascii="Arial" w:hAnsi="Arial"/>
          <w:b/>
        </w:rPr>
        <w:t>multiport diffuser</w:t>
      </w:r>
      <w:r>
        <w:rPr>
          <w:rFonts w:ascii="Arial" w:hAnsi="Arial"/>
        </w:rPr>
        <w:t xml:space="preserve"> achieves 10–50× dilution within tens of metres, reducing the +10 K outfall to </w:t>
      </w:r>
      <w:r>
        <w:rPr>
          <w:rFonts w:ascii="Arial" w:hAnsi="Arial"/>
          <w:b/>
        </w:rPr>
        <w:t>0.9 K (10×) → 0.2 K (50×)</w:t>
      </w:r>
      <w:r>
        <w:rPr>
          <w:rFonts w:ascii="Arial" w:hAnsi="Arial"/>
        </w:rPr>
        <w:t xml:space="preserve">, well within the typical </w:t>
      </w:r>
      <w:r>
        <w:rPr>
          <w:rFonts w:ascii="Arial" w:hAnsi="Arial"/>
          <w:b/>
        </w:rPr>
        <w:t>≤ 3 K</w:t>
      </w:r>
      <w:r>
        <w:rPr>
          <w:rFonts w:ascii="Arial" w:hAnsi="Arial"/>
        </w:rPr>
        <w:t xml:space="preserve"> edge-of-mixing-zone limit (met at only ~3× dilution). With a modest Black Sea longshore current (0.05–0.20 m/s) the far-field rise is </w:t>
      </w:r>
      <w:r>
        <w:rPr>
          <w:rFonts w:ascii="Arial" w:hAnsi="Arial"/>
          <w:b/>
        </w:rPr>
        <w:t>0.05–0.20 K</w:t>
      </w:r>
      <w:r>
        <w:rPr>
          <w:rFonts w:ascii="Arial" w:hAnsi="Arial"/>
        </w:rPr>
        <w:t xml:space="preserve">, negligible against the natural seasonal swing (8 → 25 °C). Sizing and the dilution sensitivity are computed in </w:t>
      </w:r>
      <w:r>
        <w:rPr>
          <w:rFonts w:ascii="Consolas" w:hAnsi="Consolas"/>
          <w:sz w:val="21"/>
        </w:rPr>
        <w:t>scripts/seawater_heat_sink.py</w:t>
      </w:r>
      <w:r>
        <w:rPr>
          <w:rFonts w:ascii="Arial" w:hAnsi="Arial"/>
        </w:rPr>
        <w:t xml:space="preserve"> (→ </w:t>
      </w:r>
      <w:r>
        <w:rPr>
          <w:rFonts w:ascii="Consolas" w:hAnsi="Consolas"/>
          <w:sz w:val="21"/>
        </w:rPr>
        <w:t>cycle/seawater_heat_sink.csv</w:t>
      </w:r>
      <w:r>
        <w:rPr>
          <w:rFonts w:ascii="Arial" w:hAnsi="Arial"/>
        </w:rPr>
        <w:t xml:space="preserve">, </w:t>
      </w:r>
      <w:r>
        <w:rPr>
          <w:rFonts w:ascii="Consolas" w:hAnsi="Consolas"/>
          <w:sz w:val="21"/>
        </w:rPr>
        <w:t>cycle/seawater_plume_dilution.png</w:t>
      </w:r>
      <w:r>
        <w:rPr>
          <w:rFonts w:ascii="Arial" w:hAnsi="Arial"/>
        </w:rPr>
        <w:t>).</w:t>
      </w:r>
    </w:p>
    <w:p>
      <w:pPr>
        <w:jc w:val="center"/>
      </w:pPr>
      <w:r>
        <w:drawing>
          <wp:inline xmlns:a="http://schemas.openxmlformats.org/drawingml/2006/main" xmlns:pic="http://schemas.openxmlformats.org/drawingml/2006/picture">
            <wp:extent cx="5486400" cy="3505200"/>
            <wp:docPr id="11" name="Picture 11"/>
            <wp:cNvGraphicFramePr>
              <a:graphicFrameLocks noChangeAspect="1"/>
            </wp:cNvGraphicFramePr>
            <a:graphic>
              <a:graphicData uri="http://schemas.openxmlformats.org/drawingml/2006/picture">
                <pic:pic>
                  <pic:nvPicPr>
                    <pic:cNvPr id="0" name="seawater_plume_dilution.png"/>
                    <pic:cNvPicPr/>
                  </pic:nvPicPr>
                  <pic:blipFill>
                    <a:blip r:embed="rId19"/>
                    <a:stretch>
                      <a:fillRect/>
                    </a:stretch>
                  </pic:blipFill>
                  <pic:spPr>
                    <a:xfrm>
                      <a:off x="0" y="0"/>
                      <a:ext cx="5486400" cy="3505200"/>
                    </a:xfrm>
                    <a:prstGeom prst="rect"/>
                  </pic:spPr>
                </pic:pic>
              </a:graphicData>
            </a:graphic>
          </wp:inline>
        </w:drawing>
      </w:r>
    </w:p>
    <w:p>
      <w:pPr>
        <w:jc w:val="center"/>
      </w:pPr>
      <w:r>
        <w:rPr>
          <w:i/>
          <w:color w:val="555555"/>
          <w:sz w:val="19"/>
        </w:rPr>
        <w:t>Figure — seawater once-through, and its sea-temperature impact</w:t>
      </w:r>
    </w:p>
    <w:p>
      <w:pPr>
        <w:spacing w:before="200" w:after="80"/>
      </w:pPr>
      <w:r>
        <w:rPr>
          <w:rFonts w:ascii="Arial Black" w:hAnsi="Arial Black"/>
          <w:b/>
          <w:color w:val="1F4E79"/>
          <w:sz w:val="25"/>
        </w:rPr>
        <w:t>8.9.4 Primary–secondary coupling: OTSG feasibility</w:t>
      </w:r>
    </w:p>
    <w:p>
      <w:pPr>
        <w:jc w:val="both"/>
      </w:pPr>
      <w:r>
        <w:rPr>
          <w:rFonts w:ascii="Arial" w:hAnsi="Arial"/>
        </w:rPr>
        <w:t xml:space="preserve">Because the OTSG transfers the full 125 MWth across a counterflow once-through surface, the secondary steam conditions are </w:t>
      </w:r>
      <w:r>
        <w:rPr>
          <w:rFonts w:ascii="Arial" w:hAnsi="Arial"/>
          <w:b/>
        </w:rPr>
        <w:t>not free</w:t>
      </w:r>
      <w:r>
        <w:rPr>
          <w:rFonts w:ascii="Arial" w:hAnsi="Arial"/>
        </w:rPr>
        <w:t xml:space="preserve"> — they are bounded by the §8.4 primary leg temperatures (308 °C hot, 258 °C cold). Two checks were applied (Table 8.9-4):</w:t>
      </w:r>
    </w:p>
    <w:p>
      <w:pPr>
        <w:pStyle w:val="ListBullet"/>
        <w:jc w:val="both"/>
      </w:pPr>
      <w:r>
        <w:rPr>
          <w:rFonts w:ascii="Arial" w:hAnsi="Arial"/>
          <w:b/>
        </w:rPr>
        <w:t>Superheater approach</w:t>
      </w:r>
      <w:r>
        <w:rPr>
          <w:rFonts w:ascii="Arial" w:hAnsi="Arial"/>
        </w:rPr>
        <w:t xml:space="preserve"> = (hot leg − steam) = 308 − 296 = </w:t>
      </w:r>
      <w:r>
        <w:rPr>
          <w:rFonts w:ascii="Arial" w:hAnsi="Arial"/>
          <w:b/>
        </w:rPr>
        <w:t>12 °C</w:t>
      </w:r>
      <w:r>
        <w:rPr>
          <w:rFonts w:ascii="Arial" w:hAnsi="Arial"/>
        </w:rPr>
        <w:t xml:space="preserve"> (&gt; 0, feasible). The OTSG superheats steam to 296 °C against the 308 °C hot leg.</w:t>
      </w:r>
    </w:p>
    <w:p>
      <w:pPr>
        <w:pStyle w:val="ListBullet"/>
        <w:jc w:val="both"/>
      </w:pPr>
      <w:r>
        <w:rPr>
          <w:rFonts w:ascii="Arial" w:hAnsi="Arial"/>
          <w:b/>
        </w:rPr>
        <w:t>Evaporator pinch</w:t>
      </w:r>
      <w:r>
        <w:rPr>
          <w:rFonts w:ascii="Arial" w:hAnsi="Arial"/>
        </w:rPr>
        <w:t xml:space="preserve"> = (primary temperature where the secondary starts to boil − secondary saturation temperature). Because the economizer pre-heats the feedwater, the secondary saturation temperature (</w:t>
      </w:r>
      <w:r>
        <w:rPr>
          <w:rFonts w:ascii="Arial" w:hAnsi="Arial"/>
          <w:b/>
        </w:rPr>
        <w:t>257 °C</w:t>
      </w:r>
      <w:r>
        <w:rPr>
          <w:rFonts w:ascii="Arial" w:hAnsi="Arial"/>
        </w:rPr>
        <w:t xml:space="preserve">) sits just above the 258 °C cold leg; the primary at the start-of-boiling point is ~266 °C, giving a pinch of </w:t>
      </w:r>
      <w:r>
        <w:rPr>
          <w:rFonts w:ascii="Arial" w:hAnsi="Arial"/>
          <w:b/>
        </w:rPr>
        <w:t>8.8 °C</w:t>
      </w:r>
      <w:r>
        <w:rPr>
          <w:rFonts w:ascii="Arial" w:hAnsi="Arial"/>
        </w:rPr>
        <w:t xml:space="preserve"> — a practical value for a helical-coil OTSG.</w:t>
      </w:r>
    </w:p>
    <w:p>
      <w:pPr>
        <w:jc w:val="both"/>
      </w:pPr>
      <w:r>
        <w:rPr>
          <w:rFonts w:ascii="Arial" w:hAnsi="Arial"/>
        </w:rPr>
        <w:t xml:space="preserve">This is the binding constraint on steam pressure: pushing steam much above 4.5 MPa drops the pinch below the ~8 °C practical floor (e.g. 4.8 MPa → 5.3 °C). The selected </w:t>
      </w:r>
      <w:r>
        <w:rPr>
          <w:rFonts w:ascii="Arial" w:hAnsi="Arial"/>
          <w:b/>
        </w:rPr>
        <w:t>4.5 MPa</w:t>
      </w:r>
      <w:r>
        <w:rPr>
          <w:rFonts w:ascii="Arial" w:hAnsi="Arial"/>
        </w:rPr>
        <w:t xml:space="preserve"> keeps a healthy pinch while holding the 40 MWe-class output. The re-coupling to the §8.4 legs is computed in </w:t>
      </w:r>
      <w:r>
        <w:rPr>
          <w:rFonts w:ascii="Consolas" w:hAnsi="Consolas"/>
          <w:sz w:val="21"/>
        </w:rPr>
        <w:t>scripts/thermo_cycle_recouple.py</w:t>
      </w:r>
      <w:r>
        <w:rPr>
          <w:rFonts w:ascii="Arial" w:hAnsi="Arial"/>
        </w:rPr>
        <w:t>; the design model (</w:t>
      </w:r>
      <w:r>
        <w:rPr>
          <w:rFonts w:ascii="Consolas" w:hAnsi="Consolas"/>
          <w:sz w:val="21"/>
        </w:rPr>
        <w:t>scripts/thermo_cycle.py</w:t>
      </w:r>
      <w:r>
        <w:rPr>
          <w:rFonts w:ascii="Arial" w:hAnsi="Arial"/>
        </w:rPr>
        <w:t>) recomputes the pinch automatically.</w:t>
      </w:r>
    </w:p>
    <w:p>
      <w:pPr>
        <w:jc w:val="both"/>
      </w:pPr>
      <w:r>
        <w:rPr>
          <w:rFonts w:ascii="Arial" w:hAnsi="Arial"/>
          <w:b/>
        </w:rPr>
        <w:t>Table 8.9-4 — OTSG feasibility (primary 308 → 258 °C):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Check</w:t>
            </w:r>
          </w:p>
        </w:tc>
        <w:tc>
          <w:tcPr>
            <w:tcW w:type="dxa" w:w="3135"/>
            <w:shd w:val="clear" w:fill="DDE3EA"/>
          </w:tcPr>
          <w:p>
            <w:r>
              <w:rPr>
                <w:rFonts w:ascii="Arial" w:hAnsi="Arial"/>
                <w:b/>
                <w:sz w:val="20"/>
              </w:rPr>
            </w:r>
            <w:r>
              <w:rPr>
                <w:rFonts w:ascii="Arial" w:hAnsi="Arial"/>
                <w:b/>
                <w:sz w:val="20"/>
              </w:rPr>
              <w:t>Value</w:t>
            </w:r>
          </w:p>
        </w:tc>
        <w:tc>
          <w:tcPr>
            <w:tcW w:type="dxa" w:w="3135"/>
            <w:shd w:val="clear" w:fill="DDE3EA"/>
          </w:tcPr>
          <w:p>
            <w:r>
              <w:rPr>
                <w:rFonts w:ascii="Arial" w:hAnsi="Arial"/>
                <w:b/>
                <w:sz w:val="20"/>
              </w:rPr>
            </w:r>
            <w:r>
              <w:rPr>
                <w:rFonts w:ascii="Arial" w:hAnsi="Arial"/>
                <w:b/>
                <w:sz w:val="20"/>
              </w:rPr>
              <w:t>Criterion</w:t>
            </w:r>
          </w:p>
        </w:tc>
      </w:tr>
      <w:tr>
        <w:tc>
          <w:tcPr>
            <w:tcW w:type="dxa" w:w="3135"/>
          </w:tcPr>
          <w:p>
            <w:r>
              <w:rPr>
                <w:rFonts w:ascii="Arial" w:hAnsi="Arial"/>
                <w:sz w:val="20"/>
              </w:rPr>
            </w:r>
            <w:r>
              <w:rPr>
                <w:rFonts w:ascii="Arial" w:hAnsi="Arial"/>
                <w:sz w:val="20"/>
              </w:rPr>
              <w:t>Secondary saturation temperature</w:t>
            </w:r>
          </w:p>
        </w:tc>
        <w:tc>
          <w:tcPr>
            <w:tcW w:type="dxa" w:w="3135"/>
          </w:tcPr>
          <w:p>
            <w:r>
              <w:rPr>
                <w:rFonts w:ascii="Arial" w:hAnsi="Arial"/>
                <w:sz w:val="20"/>
              </w:rPr>
            </w:r>
            <w:r>
              <w:rPr>
                <w:rFonts w:ascii="Arial" w:hAnsi="Arial"/>
                <w:sz w:val="20"/>
              </w:rPr>
              <w:t>257.4 °C</w:t>
            </w:r>
          </w:p>
        </w:tc>
        <w:tc>
          <w:tcPr>
            <w:tcW w:type="dxa" w:w="3135"/>
          </w:tcPr>
          <w:p>
            <w:r>
              <w:rPr>
                <w:rFonts w:ascii="Arial" w:hAnsi="Arial"/>
                <w:sz w:val="20"/>
              </w:rPr>
            </w:r>
            <w:r>
              <w:rPr>
                <w:rFonts w:ascii="Arial" w:hAnsi="Arial"/>
                <w:sz w:val="20"/>
              </w:rPr>
              <w:t>economizer-limited (cold leg 258 °C)</w:t>
            </w:r>
          </w:p>
        </w:tc>
      </w:tr>
      <w:tr>
        <w:tc>
          <w:tcPr>
            <w:tcW w:type="dxa" w:w="3135"/>
          </w:tcPr>
          <w:p>
            <w:r>
              <w:rPr>
                <w:rFonts w:ascii="Arial" w:hAnsi="Arial"/>
                <w:sz w:val="20"/>
              </w:rPr>
            </w:r>
            <w:r>
              <w:rPr>
                <w:rFonts w:ascii="Arial" w:hAnsi="Arial"/>
                <w:sz w:val="20"/>
              </w:rPr>
              <w:t>Superheater hot-end approach</w:t>
            </w:r>
          </w:p>
        </w:tc>
        <w:tc>
          <w:tcPr>
            <w:tcW w:type="dxa" w:w="3135"/>
          </w:tcPr>
          <w:p>
            <w:r>
              <w:rPr>
                <w:rFonts w:ascii="Arial" w:hAnsi="Arial"/>
                <w:sz w:val="20"/>
              </w:rPr>
            </w:r>
            <w:r>
              <w:rPr>
                <w:rFonts w:ascii="Arial" w:hAnsi="Arial"/>
                <w:sz w:val="20"/>
              </w:rPr>
              <w:t>12.0 °C</w:t>
            </w:r>
          </w:p>
        </w:tc>
        <w:tc>
          <w:tcPr>
            <w:tcW w:type="dxa" w:w="3135"/>
          </w:tcPr>
          <w:p>
            <w:r>
              <w:rPr>
                <w:rFonts w:ascii="Arial" w:hAnsi="Arial"/>
                <w:sz w:val="20"/>
              </w:rPr>
            </w:r>
            <w:r>
              <w:rPr>
                <w:rFonts w:ascii="Arial" w:hAnsi="Arial"/>
                <w:sz w:val="20"/>
              </w:rPr>
              <w:t>&gt; 0</w:t>
            </w:r>
          </w:p>
        </w:tc>
      </w:tr>
      <w:tr>
        <w:tc>
          <w:tcPr>
            <w:tcW w:type="dxa" w:w="3135"/>
          </w:tcPr>
          <w:p>
            <w:r>
              <w:rPr>
                <w:rFonts w:ascii="Arial" w:hAnsi="Arial"/>
                <w:sz w:val="20"/>
              </w:rPr>
            </w:r>
            <w:r>
              <w:rPr>
                <w:rFonts w:ascii="Arial" w:hAnsi="Arial"/>
                <w:sz w:val="20"/>
              </w:rPr>
              <w:t>Evaporator pinch ΔT</w:t>
            </w:r>
          </w:p>
        </w:tc>
        <w:tc>
          <w:tcPr>
            <w:tcW w:type="dxa" w:w="3135"/>
          </w:tcPr>
          <w:p>
            <w:r>
              <w:rPr>
                <w:rFonts w:ascii="Arial" w:hAnsi="Arial"/>
                <w:sz w:val="20"/>
              </w:rPr>
            </w:r>
            <w:r>
              <w:rPr>
                <w:rFonts w:ascii="Arial" w:hAnsi="Arial"/>
                <w:sz w:val="20"/>
              </w:rPr>
              <w:t>8.8 °C</w:t>
            </w:r>
          </w:p>
        </w:tc>
        <w:tc>
          <w:tcPr>
            <w:tcW w:type="dxa" w:w="3135"/>
          </w:tcPr>
          <w:p>
            <w:r>
              <w:rPr>
                <w:rFonts w:ascii="Arial" w:hAnsi="Arial"/>
                <w:sz w:val="20"/>
              </w:rPr>
            </w:r>
            <w:r>
              <w:rPr>
                <w:rFonts w:ascii="Arial" w:hAnsi="Arial"/>
                <w:sz w:val="20"/>
              </w:rPr>
              <w:t>≳ 8 °C (practical OTSG)</w:t>
            </w:r>
          </w:p>
        </w:tc>
      </w:tr>
    </w:tbl>
    <w:p/>
    <w:p>
      <w:pPr>
        <w:spacing w:before="200" w:after="80"/>
      </w:pPr>
      <w:r>
        <w:rPr>
          <w:rFonts w:ascii="Arial Black" w:hAnsi="Arial Black"/>
          <w:b/>
          <w:color w:val="1F4E79"/>
          <w:sz w:val="25"/>
        </w:rPr>
        <w:t>8.9.5 Thermochemical energy storage (TCES) for district heating</w:t>
      </w:r>
    </w:p>
    <w:p>
      <w:pPr>
        <w:jc w:val="both"/>
      </w:pPr>
      <w:r>
        <w:rPr>
          <w:rFonts w:ascii="Arial" w:hAnsi="Arial"/>
        </w:rPr>
        <w:t xml:space="preserve">Aegis-40 is a </w:t>
      </w:r>
      <w:r>
        <w:rPr>
          <w:rFonts w:ascii="Arial" w:hAnsi="Arial"/>
          <w:b/>
        </w:rPr>
        <w:t>polygeneration</w:t>
      </w:r>
      <w:r>
        <w:rPr>
          <w:rFonts w:ascii="Arial" w:hAnsi="Arial"/>
        </w:rPr>
        <w:t xml:space="preserve"> plant: alongside the 40 MWe of electricity it supplies </w:t>
      </w:r>
      <w:r>
        <w:rPr>
          <w:rFonts w:ascii="Arial" w:hAnsi="Arial"/>
          <w:b/>
        </w:rPr>
        <w:t>district heating (DH)</w:t>
      </w:r>
      <w:r>
        <w:rPr>
          <w:rFonts w:ascii="Arial" w:hAnsi="Arial"/>
        </w:rPr>
        <w:t xml:space="preserve"> through a </w:t>
      </w:r>
      <w:r>
        <w:rPr>
          <w:rFonts w:ascii="Arial" w:hAnsi="Arial"/>
          <w:b/>
        </w:rPr>
        <w:t>thermochemical energy store (TCES)</w:t>
      </w:r>
      <w:r>
        <w:rPr>
          <w:rFonts w:ascii="Arial" w:hAnsi="Arial"/>
        </w:rPr>
        <w:t xml:space="preserve"> and </w:t>
      </w:r>
      <w:r>
        <w:rPr>
          <w:rFonts w:ascii="Arial" w:hAnsi="Arial"/>
          <w:b/>
        </w:rPr>
        <w:t>hydrogen</w:t>
      </w:r>
      <w:r>
        <w:rPr>
          <w:rFonts w:ascii="Arial" w:hAnsi="Arial"/>
        </w:rPr>
        <w:t xml:space="preserve"> through off-peak electrolysis (§8.9.6). The store decouples DH *delivery* from the near-constant ~100 % reactor power and — unlike a sensible-heat (hot-fluid) store — holds its charge </w:t>
      </w:r>
      <w:r>
        <w:rPr>
          <w:rFonts w:ascii="Arial" w:hAnsi="Arial"/>
          <w:b/>
        </w:rPr>
        <w:t>loss-free</w:t>
      </w:r>
      <w:r>
        <w:rPr>
          <w:rFonts w:ascii="Arial" w:hAnsi="Arial"/>
        </w:rPr>
        <w:t xml:space="preserve"> because the energy resides in reversible chemical bonds, not in a hot mass. This makes multi-day and even </w:t>
      </w:r>
      <w:r>
        <w:rPr>
          <w:rFonts w:ascii="Arial" w:hAnsi="Arial"/>
          <w:b/>
        </w:rPr>
        <w:t>seasonal</w:t>
      </w:r>
      <w:r>
        <w:rPr>
          <w:rFonts w:ascii="Arial" w:hAnsi="Arial"/>
        </w:rPr>
        <w:t xml:space="preserve"> heat storage practical (summer charge → winter heat) with negligible self-discharge.</w:t>
      </w:r>
    </w:p>
    <w:p>
      <w:pPr>
        <w:jc w:val="both"/>
      </w:pPr>
      <w:r>
        <w:rPr>
          <w:rFonts w:ascii="Arial" w:hAnsi="Arial"/>
          <w:b/>
        </w:rPr>
        <w:t>Architecture — TCES as an IHX-isolated, non-safety auxiliary (Figure 8.9-3).</w:t>
      </w:r>
      <w:r>
        <w:rPr>
          <w:rFonts w:ascii="Arial" w:hAnsi="Arial"/>
        </w:rPr>
        <w:t xml:space="preserve"> The store is located</w:t>
      </w:r>
    </w:p>
    <w:p>
      <w:pPr>
        <w:jc w:val="both"/>
      </w:pPr>
      <w:r>
        <w:rPr>
          <w:rFonts w:ascii="Arial" w:hAnsi="Arial"/>
          <w:b/>
        </w:rPr>
        <w:t>outside the nuclear island</w:t>
      </w:r>
      <w:r>
        <w:rPr>
          <w:rFonts w:ascii="Arial" w:hAnsi="Arial"/>
        </w:rPr>
        <w:t xml:space="preserve"> and is coupled to the steam cycle only through an </w:t>
      </w:r>
      <w:r>
        <w:rPr>
          <w:rFonts w:ascii="Arial" w:hAnsi="Arial"/>
          <w:b/>
        </w:rPr>
        <w:t>intermediate heat exchanger (IHX)</w:t>
      </w:r>
      <w:r>
        <w:rPr>
          <w:rFonts w:ascii="Arial" w:hAnsi="Arial"/>
        </w:rPr>
        <w:t xml:space="preserve">. On </w:t>
      </w:r>
      <w:r>
        <w:rPr>
          <w:rFonts w:ascii="Arial" w:hAnsi="Arial"/>
          <w:b/>
        </w:rPr>
        <w:t>charge</w:t>
      </w:r>
      <w:r>
        <w:rPr>
          <w:rFonts w:ascii="Arial" w:hAnsi="Arial"/>
        </w:rPr>
        <w:t>, HP-extraction steam (1.0 MPa, 180 °C) gives up heat across the IHX to a</w:t>
      </w:r>
    </w:p>
    <w:p>
      <w:pPr>
        <w:jc w:val="both"/>
      </w:pPr>
      <w:r>
        <w:rPr>
          <w:rFonts w:ascii="Arial" w:hAnsi="Arial"/>
          <w:b/>
        </w:rPr>
        <w:t>closed charge loop</w:t>
      </w:r>
      <w:r>
        <w:rPr>
          <w:rFonts w:ascii="Arial" w:hAnsi="Arial"/>
        </w:rPr>
        <w:t xml:space="preserve"> (~168 °C) that regenerates the store; on </w:t>
      </w:r>
      <w:r>
        <w:rPr>
          <w:rFonts w:ascii="Arial" w:hAnsi="Arial"/>
          <w:b/>
        </w:rPr>
        <w:t>discharge</w:t>
      </w:r>
      <w:r>
        <w:rPr>
          <w:rFonts w:ascii="Arial" w:hAnsi="Arial"/>
        </w:rPr>
        <w:t xml:space="preserve">, the store's reaction heat is delivered to a </w:t>
      </w:r>
      <w:r>
        <w:rPr>
          <w:rFonts w:ascii="Arial" w:hAnsi="Arial"/>
          <w:b/>
        </w:rPr>
        <w:t>separate district-heating water loop (90 / 45 °C)</w:t>
      </w:r>
      <w:r>
        <w:rPr>
          <w:rFonts w:ascii="Arial" w:hAnsi="Arial"/>
        </w:rPr>
        <w:t xml:space="preserve">. The IHX is a deliberate safety-classification and chemistry boundary: the storage medium (ammonia or adsorbed water) never shares a fluid path with the reactor steam, so the TCES carries </w:t>
      </w:r>
      <w:r>
        <w:rPr>
          <w:rFonts w:ascii="Arial" w:hAnsi="Arial"/>
          <w:b/>
        </w:rPr>
        <w:t>no chemical- or water-quality risk into the power-conversion cycle</w:t>
      </w:r>
      <w:r>
        <w:rPr>
          <w:rFonts w:ascii="Arial" w:hAnsi="Arial"/>
        </w:rPr>
        <w:t xml:space="preserve"> and is classified as a </w:t>
      </w:r>
      <w:r>
        <w:rPr>
          <w:rFonts w:ascii="Arial" w:hAnsi="Arial"/>
          <w:b/>
        </w:rPr>
        <w:t>non-safety auxiliary</w:t>
      </w:r>
      <w:r>
        <w:rPr>
          <w:rFonts w:ascii="Arial" w:hAnsi="Arial"/>
        </w:rPr>
        <w:t>. Figure 8.9-3 (</w:t>
      </w:r>
      <w:r>
        <w:rPr>
          <w:rFonts w:ascii="Consolas" w:hAnsi="Consolas"/>
          <w:sz w:val="21"/>
        </w:rPr>
        <w:t>cycle/pfd_cogeneration_tces.png</w:t>
      </w:r>
      <w:r>
        <w:rPr>
          <w:rFonts w:ascii="Arial" w:hAnsi="Arial"/>
        </w:rPr>
        <w:t xml:space="preserve">, </w:t>
      </w:r>
      <w:r>
        <w:rPr>
          <w:rFonts w:ascii="Consolas" w:hAnsi="Consolas"/>
          <w:sz w:val="21"/>
        </w:rPr>
        <w:t>scripts/pfd_cogeneration_tces.py</w:t>
      </w:r>
      <w:r>
        <w:rPr>
          <w:rFonts w:ascii="Arial" w:hAnsi="Arial"/>
        </w:rPr>
        <w:t>) shows the single-turbine cycle, the IHX isolation, the charge/discharge loops, the store and the H₂ electrolyser.</w:t>
      </w:r>
    </w:p>
    <w:p>
      <w:pPr>
        <w:jc w:val="center"/>
      </w:pPr>
      <w:r>
        <w:drawing>
          <wp:inline xmlns:a="http://schemas.openxmlformats.org/drawingml/2006/main" xmlns:pic="http://schemas.openxmlformats.org/drawingml/2006/picture">
            <wp:extent cx="5486400" cy="3163570"/>
            <wp:docPr id="12" name="Picture 12"/>
            <wp:cNvGraphicFramePr>
              <a:graphicFrameLocks noChangeAspect="1"/>
            </wp:cNvGraphicFramePr>
            <a:graphic>
              <a:graphicData uri="http://schemas.openxmlformats.org/drawingml/2006/picture">
                <pic:pic>
                  <pic:nvPicPr>
                    <pic:cNvPr id="0" name="pfd_cogeneration_tces.png"/>
                    <pic:cNvPicPr/>
                  </pic:nvPicPr>
                  <pic:blipFill>
                    <a:blip r:embed="rId20"/>
                    <a:stretch>
                      <a:fillRect/>
                    </a:stretch>
                  </pic:blipFill>
                  <pic:spPr>
                    <a:xfrm>
                      <a:off x="0" y="0"/>
                      <a:ext cx="5486400" cy="3163570"/>
                    </a:xfrm>
                    <a:prstGeom prst="rect"/>
                  </pic:spPr>
                </pic:pic>
              </a:graphicData>
            </a:graphic>
          </wp:inline>
        </w:drawing>
      </w:r>
    </w:p>
    <w:p>
      <w:pPr>
        <w:jc w:val="center"/>
      </w:pPr>
      <w:r>
        <w:rPr>
          <w:i/>
          <w:color w:val="555555"/>
          <w:sz w:val="19"/>
        </w:rPr>
        <w:t>Figure 8.9-3 — closed charge loop (~168 °C) that regenerates the store; on discharge, the store's reaction heat is delivered to a separate distri</w:t>
      </w:r>
    </w:p>
    <w:p>
      <w:pPr>
        <w:jc w:val="both"/>
      </w:pPr>
      <w:r>
        <w:rPr>
          <w:rFonts w:ascii="Arial" w:hAnsi="Arial"/>
          <w:b/>
        </w:rPr>
        <w:t>Storage mission, not electricity time-shift.</w:t>
      </w:r>
      <w:r>
        <w:rPr>
          <w:rFonts w:ascii="Arial" w:hAnsi="Arial"/>
        </w:rPr>
        <w:t xml:space="preserve"> The store's purpose is </w:t>
      </w:r>
      <w:r>
        <w:rPr>
          <w:rFonts w:ascii="Arial" w:hAnsi="Arial"/>
          <w:b/>
        </w:rPr>
        <w:t>low-grade heat for district heating</w:t>
      </w:r>
      <w:r>
        <w:rPr>
          <w:rFonts w:ascii="Arial" w:hAnsi="Arial"/>
        </w:rPr>
        <w:t>, so it is sized and graded for a ~90 °C network, *not* for regenerating power-grade steam. This is why a thermochemical store (high density, near-zero standby loss) is the correct choice over a sensible two-tank store, and why high-temperature (~300–350 °C) metal-hydride / metal-oxide stores were</w:t>
      </w:r>
    </w:p>
    <w:p>
      <w:pPr>
        <w:jc w:val="both"/>
      </w:pPr>
      <w:r>
        <w:rPr>
          <w:rFonts w:ascii="Arial" w:hAnsi="Arial"/>
        </w:rPr>
        <w:t>*rejected*: delivering 300 °C heat to a 90 °C network destroys exergy with no benefit.</w:t>
      </w:r>
    </w:p>
    <w:p>
      <w:pPr>
        <w:jc w:val="both"/>
      </w:pPr>
      <w:r>
        <w:rPr>
          <w:rFonts w:ascii="Arial" w:hAnsi="Arial"/>
          <w:b/>
        </w:rPr>
        <w:t>Two candidate media (Table 8.9-5).</w:t>
      </w:r>
      <w:r>
        <w:rPr>
          <w:rFonts w:ascii="Arial" w:hAnsi="Arial"/>
        </w:rPr>
        <w:t xml:space="preserve"> Two reversible solid–gas systems match the DH grade and are carried side-by-side:</w:t>
      </w:r>
    </w:p>
    <w:p>
      <w:pPr>
        <w:pStyle w:val="ListBullet"/>
        <w:jc w:val="both"/>
      </w:pPr>
      <w:r>
        <w:rPr>
          <w:rFonts w:ascii="Arial" w:hAnsi="Arial"/>
          <w:b/>
        </w:rPr>
        <w:t>Ammine resorption — NiCl₂–SrCl₂ / NH₃</w:t>
      </w:r>
      <w:r>
        <w:rPr>
          <w:rFonts w:ascii="Arial" w:hAnsi="Arial"/>
        </w:rPr>
        <w:t xml:space="preserve"> (primary). A two-salt resorption pair cycling ammonia between a high-temperature reactor (HTR, primary salt) and a low-temperature reactor (LTR, secondary salt):</w:t>
      </w:r>
    </w:p>
    <w:p>
      <w:pPr>
        <w:spacing w:before="40"/>
        <w:ind w:left="340"/>
      </w:pPr>
      <w:r>
        <w:rPr>
          <w:rFonts w:ascii="Arial" w:hAnsi="Arial"/>
          <w:i/>
          <w:color w:val="555555"/>
          <w:sz w:val="21"/>
        </w:rPr>
        <w:t xml:space="preserve">▸ </w:t>
      </w:r>
      <w:r>
        <w:rPr>
          <w:rFonts w:ascii="Arial" w:hAnsi="Arial"/>
          <w:i/>
          <w:color w:val="555555"/>
          <w:sz w:val="21"/>
        </w:rPr>
        <w:t>charge (endothermic): NiCl₂·6NH₃ + heat → NiCl₂·2NH₃ + 4 NH₃↑   (HTR desorption) discharge (exothermic): NiCl₂·2NH₃ + 4 NH₃↑ → NiCl₂·6NH₃ + heat  (HTR adsorption, ~150 °C) with SrCl₂·8NH₃ ⇌ SrCl₂·NH₃ + 7 NH₃ regenerating the ammonia in the LTR.</w:t>
      </w:r>
    </w:p>
    <w:p>
      <w:pPr>
        <w:jc w:val="both"/>
      </w:pPr>
      <w:r>
        <w:rPr>
          <w:rFonts w:ascii="Arial" w:hAnsi="Arial"/>
        </w:rPr>
        <w:t xml:space="preserve">Energy density </w:t>
      </w:r>
      <w:r>
        <w:rPr>
          <w:rFonts w:ascii="Arial" w:hAnsi="Arial"/>
          <w:b/>
        </w:rPr>
        <w:t>1.3–2.6 MJ/kg</w:t>
      </w:r>
      <w:r>
        <w:rPr>
          <w:rFonts w:ascii="Arial" w:hAnsi="Arial"/>
        </w:rPr>
        <w:t xml:space="preserve"> of salt and heat-storage efficiency up to </w:t>
      </w:r>
      <w:r>
        <w:rPr>
          <w:rFonts w:ascii="Arial" w:hAnsi="Arial"/>
          <w:b/>
        </w:rPr>
        <w:t>0.98</w:t>
      </w:r>
      <w:r>
        <w:rPr>
          <w:rFonts w:ascii="Arial" w:hAnsi="Arial"/>
        </w:rPr>
        <w:t xml:space="preserve"> (Yan et al. 2020). Highest density → most compact store; the natural choice where volume dominates (seasonal).</w:t>
      </w:r>
    </w:p>
    <w:p>
      <w:pPr>
        <w:pStyle w:val="ListBullet"/>
        <w:jc w:val="both"/>
      </w:pPr>
      <w:r>
        <w:rPr>
          <w:rFonts w:ascii="Arial" w:hAnsi="Arial"/>
          <w:b/>
        </w:rPr>
        <w:t>Zeolite-13X / water adsorption</w:t>
      </w:r>
      <w:r>
        <w:rPr>
          <w:rFonts w:ascii="Arial" w:hAnsi="Arial"/>
        </w:rPr>
        <w:t xml:space="preserve"> (ammonia-free alternative):</w:t>
      </w:r>
    </w:p>
    <w:p>
      <w:pPr>
        <w:spacing w:before="40"/>
        <w:ind w:left="340"/>
      </w:pPr>
      <w:r>
        <w:rPr>
          <w:rFonts w:ascii="Arial" w:hAnsi="Arial"/>
          <w:i/>
          <w:color w:val="555555"/>
          <w:sz w:val="21"/>
        </w:rPr>
        <w:t xml:space="preserve">▸ </w:t>
      </w:r>
      <w:r>
        <w:rPr>
          <w:rFonts w:ascii="Arial" w:hAnsi="Arial"/>
          <w:i/>
          <w:color w:val="555555"/>
          <w:sz w:val="21"/>
        </w:rPr>
        <w:t>charge (endothermic): zeolite·(H₂O) + heat → dry zeolite + H₂O↑ discharge (exothermic): dry zeolite + H₂O↑ → zeolite·(H₂O) + heat  (~130 °C)</w:t>
      </w:r>
    </w:p>
    <w:p>
      <w:pPr>
        <w:jc w:val="both"/>
      </w:pPr>
      <w:r>
        <w:rPr>
          <w:rFonts w:ascii="Arial" w:hAnsi="Arial"/>
        </w:rPr>
        <w:t>Lower density (~0.20 kWh/kg) but uses only water — a simpler safety and public-acceptance story on a nuclear site; demonstrated for district heating (Dahlberg et al.).</w:t>
      </w:r>
    </w:p>
    <w:p>
      <w:pPr>
        <w:jc w:val="both"/>
      </w:pPr>
      <w:r>
        <w:rPr>
          <w:rFonts w:ascii="Arial" w:hAnsi="Arial"/>
          <w:b/>
        </w:rPr>
        <w:t>Sizing and the charge penalty (Table 8.9-5; `scripts/tces_dh_balance.py`).</w:t>
      </w:r>
      <w:r>
        <w:rPr>
          <w:rFonts w:ascii="Arial" w:hAnsi="Arial"/>
        </w:rPr>
        <w:t xml:space="preserve"> For a reference duty of a</w:t>
      </w:r>
    </w:p>
    <w:p>
      <w:pPr>
        <w:jc w:val="both"/>
      </w:pPr>
      <w:r>
        <w:rPr>
          <w:rFonts w:ascii="Arial" w:hAnsi="Arial"/>
          <w:b/>
        </w:rPr>
        <w:t>25 MWth peak / 200 MWh_th daily DH block</w:t>
      </w:r>
      <w:r>
        <w:rPr>
          <w:rFonts w:ascii="Arial" w:hAnsi="Arial"/>
        </w:rPr>
        <w:t xml:space="preserve"> (90 / 45 °C network), the ammine store is </w:t>
      </w:r>
      <w:r>
        <w:rPr>
          <w:rFonts w:ascii="Arial" w:hAnsi="Arial"/>
          <w:b/>
        </w:rPr>
        <w:t>735 t / 735 m³</w:t>
      </w:r>
      <w:r>
        <w:rPr>
          <w:rFonts w:ascii="Arial" w:hAnsi="Arial"/>
        </w:rPr>
        <w:t xml:space="preserve"> versus </w:t>
      </w:r>
      <w:r>
        <w:rPr>
          <w:rFonts w:ascii="Arial" w:hAnsi="Arial"/>
          <w:b/>
        </w:rPr>
        <w:t>1000 t / 1538 m³</w:t>
      </w:r>
      <w:r>
        <w:rPr>
          <w:rFonts w:ascii="Arial" w:hAnsi="Arial"/>
        </w:rPr>
        <w:t xml:space="preserve"> for zeolite — the ammine is </w:t>
      </w:r>
      <w:r>
        <w:rPr>
          <w:rFonts w:ascii="Arial" w:hAnsi="Arial"/>
          <w:b/>
        </w:rPr>
        <w:t>≈2.1× more compact</w:t>
      </w:r>
      <w:r>
        <w:rPr>
          <w:rFonts w:ascii="Arial" w:hAnsi="Arial"/>
        </w:rPr>
        <w:t xml:space="preserve">. Charging draws regeneration-grade (168 °C) heat from HP extraction, which costs </w:t>
      </w:r>
      <w:r>
        <w:rPr>
          <w:rFonts w:ascii="Arial" w:hAnsi="Arial"/>
          <w:b/>
        </w:rPr>
        <w:t>0.31 MWe per MWth charged</w:t>
      </w:r>
      <w:r>
        <w:rPr>
          <w:rFonts w:ascii="Arial" w:hAnsi="Arial"/>
        </w:rPr>
        <w:t xml:space="preserve">: during the ~16 h off-peak charge window the net output dips ~4.4 MWe (40 → ~35.6 MWe), while during the peak discharge the full 40 MWe is sent to grid </w:t>
      </w:r>
      <w:r>
        <w:rPr>
          <w:rFonts w:ascii="Arial" w:hAnsi="Arial"/>
          <w:b/>
        </w:rPr>
        <w:t>and</w:t>
      </w:r>
      <w:r>
        <w:rPr>
          <w:rFonts w:ascii="Arial" w:hAnsi="Arial"/>
        </w:rPr>
        <w:t xml:space="preserve"> 25 MWth flows from the store to the DH network with no live-steam penalty. This electricity-for-time-shift trade is the honest price of holding the high-grade heat needed to regenerate a chemical store, and is the dominant figure of merit for the dispatch schedule.</w:t>
      </w:r>
    </w:p>
    <w:p>
      <w:pPr>
        <w:jc w:val="both"/>
      </w:pPr>
      <w:r>
        <w:rPr>
          <w:rFonts w:ascii="Arial" w:hAnsi="Arial"/>
          <w:b/>
        </w:rPr>
        <w:t>Table 8.9-5 — TCES heat-store comparison (Aegis-40, Tier-B ⚠CONFIRM with [LAY]):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Parameter</w:t>
            </w:r>
          </w:p>
        </w:tc>
        <w:tc>
          <w:tcPr>
            <w:tcW w:type="dxa" w:w="3135"/>
            <w:shd w:val="clear" w:fill="DDE3EA"/>
          </w:tcPr>
          <w:p>
            <w:r>
              <w:rPr>
                <w:rFonts w:ascii="Arial" w:hAnsi="Arial"/>
                <w:b/>
                <w:sz w:val="20"/>
              </w:rPr>
            </w:r>
            <w:r>
              <w:rPr>
                <w:rFonts w:ascii="Arial" w:hAnsi="Arial"/>
                <w:b/>
                <w:sz w:val="20"/>
              </w:rPr>
              <w:t>Ammine NiCl₂-SrCl₂/NH₃</w:t>
            </w:r>
          </w:p>
        </w:tc>
        <w:tc>
          <w:tcPr>
            <w:tcW w:type="dxa" w:w="3135"/>
            <w:shd w:val="clear" w:fill="DDE3EA"/>
          </w:tcPr>
          <w:p>
            <w:r>
              <w:rPr>
                <w:rFonts w:ascii="Arial" w:hAnsi="Arial"/>
                <w:b/>
                <w:sz w:val="20"/>
              </w:rPr>
            </w:r>
            <w:r>
              <w:rPr>
                <w:rFonts w:ascii="Arial" w:hAnsi="Arial"/>
                <w:b/>
                <w:sz w:val="20"/>
              </w:rPr>
              <w:t>Zeolite-13X / H₂O</w:t>
            </w:r>
          </w:p>
        </w:tc>
      </w:tr>
      <w:tr>
        <w:tc>
          <w:tcPr>
            <w:tcW w:type="dxa" w:w="3135"/>
          </w:tcPr>
          <w:p>
            <w:r>
              <w:rPr>
                <w:rFonts w:ascii="Arial" w:hAnsi="Arial"/>
                <w:sz w:val="20"/>
              </w:rPr>
            </w:r>
            <w:r>
              <w:rPr>
                <w:rFonts w:ascii="Arial" w:hAnsi="Arial"/>
                <w:sz w:val="20"/>
              </w:rPr>
              <w:t>Mechanism</w:t>
            </w:r>
          </w:p>
        </w:tc>
        <w:tc>
          <w:tcPr>
            <w:tcW w:type="dxa" w:w="3135"/>
          </w:tcPr>
          <w:p>
            <w:r>
              <w:rPr>
                <w:rFonts w:ascii="Arial" w:hAnsi="Arial"/>
                <w:sz w:val="20"/>
              </w:rPr>
            </w:r>
            <w:r>
              <w:rPr>
                <w:rFonts w:ascii="Arial" w:hAnsi="Arial"/>
                <w:sz w:val="20"/>
              </w:rPr>
              <w:t>reversible resorption (NH₃)</w:t>
            </w:r>
          </w:p>
        </w:tc>
        <w:tc>
          <w:tcPr>
            <w:tcW w:type="dxa" w:w="3135"/>
          </w:tcPr>
          <w:p>
            <w:r>
              <w:rPr>
                <w:rFonts w:ascii="Arial" w:hAnsi="Arial"/>
                <w:sz w:val="20"/>
              </w:rPr>
            </w:r>
            <w:r>
              <w:rPr>
                <w:rFonts w:ascii="Arial" w:hAnsi="Arial"/>
                <w:sz w:val="20"/>
              </w:rPr>
              <w:t>reversible adsorption (H₂O)</w:t>
            </w:r>
          </w:p>
        </w:tc>
      </w:tr>
      <w:tr>
        <w:tc>
          <w:tcPr>
            <w:tcW w:type="dxa" w:w="3135"/>
          </w:tcPr>
          <w:p>
            <w:r>
              <w:rPr>
                <w:rFonts w:ascii="Arial" w:hAnsi="Arial"/>
                <w:sz w:val="20"/>
              </w:rPr>
            </w:r>
            <w:r>
              <w:rPr>
                <w:rFonts w:ascii="Arial" w:hAnsi="Arial"/>
                <w:sz w:val="20"/>
              </w:rPr>
              <w:t>Charge heat (via IHX)</w:t>
            </w:r>
          </w:p>
        </w:tc>
        <w:tc>
          <w:tcPr>
            <w:tcW w:type="dxa" w:w="3135"/>
          </w:tcPr>
          <w:p>
            <w:r>
              <w:rPr>
                <w:rFonts w:ascii="Arial" w:hAnsi="Arial"/>
                <w:sz w:val="20"/>
              </w:rPr>
            </w:r>
            <w:r>
              <w:rPr>
                <w:rFonts w:ascii="Arial" w:hAnsi="Arial"/>
                <w:sz w:val="20"/>
              </w:rPr>
              <w:t>1.0 MPa extr. → 168 °C loop</w:t>
            </w:r>
          </w:p>
        </w:tc>
        <w:tc>
          <w:tcPr>
            <w:tcW w:type="dxa" w:w="3135"/>
          </w:tcPr>
          <w:p>
            <w:r>
              <w:rPr>
                <w:rFonts w:ascii="Arial" w:hAnsi="Arial"/>
                <w:sz w:val="20"/>
              </w:rPr>
            </w:r>
            <w:r>
              <w:rPr>
                <w:rFonts w:ascii="Arial" w:hAnsi="Arial"/>
                <w:sz w:val="20"/>
              </w:rPr>
              <w:t>1.0 MPa extr. → 168 °C loop</w:t>
            </w:r>
          </w:p>
        </w:tc>
      </w:tr>
      <w:tr>
        <w:tc>
          <w:tcPr>
            <w:tcW w:type="dxa" w:w="3135"/>
          </w:tcPr>
          <w:p>
            <w:r>
              <w:rPr>
                <w:rFonts w:ascii="Arial" w:hAnsi="Arial"/>
                <w:sz w:val="20"/>
              </w:rPr>
            </w:r>
            <w:r>
              <w:rPr>
                <w:rFonts w:ascii="Arial" w:hAnsi="Arial"/>
                <w:sz w:val="20"/>
              </w:rPr>
              <w:t>Discharge (DH) temperature</w:t>
            </w:r>
          </w:p>
        </w:tc>
        <w:tc>
          <w:tcPr>
            <w:tcW w:type="dxa" w:w="3135"/>
          </w:tcPr>
          <w:p>
            <w:r>
              <w:rPr>
                <w:rFonts w:ascii="Arial" w:hAnsi="Arial"/>
                <w:sz w:val="20"/>
              </w:rPr>
            </w:r>
            <w:r>
              <w:rPr>
                <w:rFonts w:ascii="Arial" w:hAnsi="Arial"/>
                <w:sz w:val="20"/>
              </w:rPr>
              <w:t>~150 °C</w:t>
            </w:r>
          </w:p>
        </w:tc>
        <w:tc>
          <w:tcPr>
            <w:tcW w:type="dxa" w:w="3135"/>
          </w:tcPr>
          <w:p>
            <w:r>
              <w:rPr>
                <w:rFonts w:ascii="Arial" w:hAnsi="Arial"/>
                <w:sz w:val="20"/>
              </w:rPr>
            </w:r>
            <w:r>
              <w:rPr>
                <w:rFonts w:ascii="Arial" w:hAnsi="Arial"/>
                <w:sz w:val="20"/>
              </w:rPr>
              <w:t>~130 °C</w:t>
            </w:r>
          </w:p>
        </w:tc>
      </w:tr>
      <w:tr>
        <w:tc>
          <w:tcPr>
            <w:tcW w:type="dxa" w:w="3135"/>
          </w:tcPr>
          <w:p>
            <w:r>
              <w:rPr>
                <w:rFonts w:ascii="Arial" w:hAnsi="Arial"/>
                <w:sz w:val="20"/>
              </w:rPr>
            </w:r>
            <w:r>
              <w:rPr>
                <w:rFonts w:ascii="Arial" w:hAnsi="Arial"/>
                <w:sz w:val="20"/>
              </w:rPr>
              <w:t>Energy density</w:t>
            </w:r>
          </w:p>
        </w:tc>
        <w:tc>
          <w:tcPr>
            <w:tcW w:type="dxa" w:w="3135"/>
          </w:tcPr>
          <w:p>
            <w:r>
              <w:rPr>
                <w:rFonts w:ascii="Arial" w:hAnsi="Arial"/>
                <w:sz w:val="20"/>
              </w:rPr>
            </w:r>
            <w:r>
              <w:rPr>
                <w:rFonts w:ascii="Arial" w:hAnsi="Arial"/>
                <w:sz w:val="20"/>
              </w:rPr>
              <w:t>0.27 kWh/kg (1.3–2.6 MJ/kg)</w:t>
            </w:r>
          </w:p>
        </w:tc>
        <w:tc>
          <w:tcPr>
            <w:tcW w:type="dxa" w:w="3135"/>
          </w:tcPr>
          <w:p>
            <w:r>
              <w:rPr>
                <w:rFonts w:ascii="Arial" w:hAnsi="Arial"/>
                <w:sz w:val="20"/>
              </w:rPr>
            </w:r>
            <w:r>
              <w:rPr>
                <w:rFonts w:ascii="Arial" w:hAnsi="Arial"/>
                <w:sz w:val="20"/>
              </w:rPr>
              <w:t>0.20 kWh/kg</w:t>
            </w:r>
          </w:p>
        </w:tc>
      </w:tr>
      <w:tr>
        <w:tc>
          <w:tcPr>
            <w:tcW w:type="dxa" w:w="3135"/>
          </w:tcPr>
          <w:p>
            <w:r>
              <w:rPr>
                <w:rFonts w:ascii="Arial" w:hAnsi="Arial"/>
                <w:sz w:val="20"/>
              </w:rPr>
            </w:r>
            <w:r>
              <w:rPr>
                <w:rFonts w:ascii="Arial" w:hAnsi="Arial"/>
                <w:sz w:val="20"/>
              </w:rPr>
              <w:t>Round-trip efficiency</w:t>
            </w:r>
          </w:p>
        </w:tc>
        <w:tc>
          <w:tcPr>
            <w:tcW w:type="dxa" w:w="3135"/>
          </w:tcPr>
          <w:p>
            <w:r>
              <w:rPr>
                <w:rFonts w:ascii="Arial" w:hAnsi="Arial"/>
                <w:sz w:val="20"/>
              </w:rPr>
            </w:r>
            <w:r>
              <w:rPr>
                <w:rFonts w:ascii="Arial" w:hAnsi="Arial"/>
                <w:sz w:val="20"/>
              </w:rPr>
              <w:t>~0.88</w:t>
            </w:r>
          </w:p>
        </w:tc>
        <w:tc>
          <w:tcPr>
            <w:tcW w:type="dxa" w:w="3135"/>
          </w:tcPr>
          <w:p>
            <w:r>
              <w:rPr>
                <w:rFonts w:ascii="Arial" w:hAnsi="Arial"/>
                <w:sz w:val="20"/>
              </w:rPr>
            </w:r>
            <w:r>
              <w:rPr>
                <w:rFonts w:ascii="Arial" w:hAnsi="Arial"/>
                <w:sz w:val="20"/>
              </w:rPr>
              <w:t>~0.78</w:t>
            </w:r>
          </w:p>
        </w:tc>
      </w:tr>
      <w:tr>
        <w:tc>
          <w:tcPr>
            <w:tcW w:type="dxa" w:w="3135"/>
          </w:tcPr>
          <w:p>
            <w:r>
              <w:rPr>
                <w:rFonts w:ascii="Arial" w:hAnsi="Arial"/>
                <w:sz w:val="20"/>
              </w:rPr>
            </w:r>
            <w:r>
              <w:rPr>
                <w:rFonts w:ascii="Arial" w:hAnsi="Arial"/>
                <w:sz w:val="20"/>
              </w:rPr>
              <w:t>Store mass (200 MWh block)</w:t>
            </w:r>
          </w:p>
        </w:tc>
        <w:tc>
          <w:tcPr>
            <w:tcW w:type="dxa" w:w="3135"/>
          </w:tcPr>
          <w:p>
            <w:r>
              <w:rPr>
                <w:rFonts w:ascii="Arial" w:hAnsi="Arial"/>
                <w:sz w:val="20"/>
              </w:rPr>
            </w:r>
            <w:r>
              <w:rPr>
                <w:rFonts w:ascii="Arial" w:hAnsi="Arial"/>
                <w:sz w:val="20"/>
              </w:rPr>
              <w:t>~735 t</w:t>
            </w:r>
          </w:p>
        </w:tc>
        <w:tc>
          <w:tcPr>
            <w:tcW w:type="dxa" w:w="3135"/>
          </w:tcPr>
          <w:p>
            <w:r>
              <w:rPr>
                <w:rFonts w:ascii="Arial" w:hAnsi="Arial"/>
                <w:sz w:val="20"/>
              </w:rPr>
            </w:r>
            <w:r>
              <w:rPr>
                <w:rFonts w:ascii="Arial" w:hAnsi="Arial"/>
                <w:sz w:val="20"/>
              </w:rPr>
              <w:t>~1000 t</w:t>
            </w:r>
          </w:p>
        </w:tc>
      </w:tr>
      <w:tr>
        <w:tc>
          <w:tcPr>
            <w:tcW w:type="dxa" w:w="3135"/>
          </w:tcPr>
          <w:p>
            <w:r>
              <w:rPr>
                <w:rFonts w:ascii="Arial" w:hAnsi="Arial"/>
                <w:sz w:val="20"/>
              </w:rPr>
            </w:r>
            <w:r>
              <w:rPr>
                <w:rFonts w:ascii="Arial" w:hAnsi="Arial"/>
                <w:sz w:val="20"/>
              </w:rPr>
              <w:t>Store volume</w:t>
            </w:r>
          </w:p>
        </w:tc>
        <w:tc>
          <w:tcPr>
            <w:tcW w:type="dxa" w:w="3135"/>
          </w:tcPr>
          <w:p>
            <w:r>
              <w:rPr>
                <w:rFonts w:ascii="Arial" w:hAnsi="Arial"/>
                <w:sz w:val="20"/>
              </w:rPr>
            </w:r>
            <w:r>
              <w:rPr>
                <w:rFonts w:ascii="Arial" w:hAnsi="Arial"/>
                <w:sz w:val="20"/>
              </w:rPr>
              <w:t>~735 m³</w:t>
            </w:r>
          </w:p>
        </w:tc>
        <w:tc>
          <w:tcPr>
            <w:tcW w:type="dxa" w:w="3135"/>
          </w:tcPr>
          <w:p>
            <w:r>
              <w:rPr>
                <w:rFonts w:ascii="Arial" w:hAnsi="Arial"/>
                <w:sz w:val="20"/>
              </w:rPr>
            </w:r>
            <w:r>
              <w:rPr>
                <w:rFonts w:ascii="Arial" w:hAnsi="Arial"/>
                <w:sz w:val="20"/>
              </w:rPr>
              <w:t>~1538 m³</w:t>
            </w:r>
          </w:p>
        </w:tc>
      </w:tr>
      <w:tr>
        <w:tc>
          <w:tcPr>
            <w:tcW w:type="dxa" w:w="3135"/>
          </w:tcPr>
          <w:p>
            <w:r>
              <w:rPr>
                <w:rFonts w:ascii="Arial" w:hAnsi="Arial"/>
                <w:sz w:val="20"/>
              </w:rPr>
            </w:r>
            <w:r>
              <w:rPr>
                <w:rFonts w:ascii="Arial" w:hAnsi="Arial"/>
                <w:sz w:val="20"/>
              </w:rPr>
              <w:t>Charge penalty</w:t>
            </w:r>
          </w:p>
        </w:tc>
        <w:tc>
          <w:tcPr>
            <w:tcW w:type="dxa" w:w="3135"/>
          </w:tcPr>
          <w:p>
            <w:r>
              <w:rPr>
                <w:rFonts w:ascii="Arial" w:hAnsi="Arial"/>
                <w:sz w:val="20"/>
              </w:rPr>
            </w:r>
            <w:r>
              <w:rPr>
                <w:rFonts w:ascii="Arial" w:hAnsi="Arial"/>
                <w:sz w:val="20"/>
              </w:rPr>
              <w:t>0.31 MWe per MWth</w:t>
            </w:r>
          </w:p>
        </w:tc>
        <w:tc>
          <w:tcPr>
            <w:tcW w:type="dxa" w:w="3135"/>
          </w:tcPr>
          <w:p>
            <w:r>
              <w:rPr>
                <w:rFonts w:ascii="Arial" w:hAnsi="Arial"/>
                <w:sz w:val="20"/>
              </w:rPr>
            </w:r>
            <w:r>
              <w:rPr>
                <w:rFonts w:ascii="Arial" w:hAnsi="Arial"/>
                <w:sz w:val="20"/>
              </w:rPr>
              <w:t>0.31 MWe per MWth</w:t>
            </w:r>
          </w:p>
        </w:tc>
      </w:tr>
      <w:tr>
        <w:tc>
          <w:tcPr>
            <w:tcW w:type="dxa" w:w="3135"/>
          </w:tcPr>
          <w:p>
            <w:r>
              <w:rPr>
                <w:rFonts w:ascii="Arial" w:hAnsi="Arial"/>
                <w:sz w:val="20"/>
              </w:rPr>
            </w:r>
            <w:r>
              <w:rPr>
                <w:rFonts w:ascii="Arial" w:hAnsi="Arial"/>
                <w:sz w:val="20"/>
              </w:rPr>
              <w:t>Standby loss</w:t>
            </w:r>
          </w:p>
        </w:tc>
        <w:tc>
          <w:tcPr>
            <w:tcW w:type="dxa" w:w="3135"/>
          </w:tcPr>
          <w:p>
            <w:r>
              <w:rPr>
                <w:rFonts w:ascii="Arial" w:hAnsi="Arial"/>
                <w:sz w:val="20"/>
              </w:rPr>
            </w:r>
            <w:r>
              <w:rPr>
                <w:rFonts w:ascii="Arial" w:hAnsi="Arial"/>
                <w:sz w:val="20"/>
              </w:rPr>
              <w:t>≈ 0</w:t>
            </w:r>
          </w:p>
        </w:tc>
        <w:tc>
          <w:tcPr>
            <w:tcW w:type="dxa" w:w="3135"/>
          </w:tcPr>
          <w:p>
            <w:r>
              <w:rPr>
                <w:rFonts w:ascii="Arial" w:hAnsi="Arial"/>
                <w:sz w:val="20"/>
              </w:rPr>
            </w:r>
            <w:r>
              <w:rPr>
                <w:rFonts w:ascii="Arial" w:hAnsi="Arial"/>
                <w:sz w:val="20"/>
              </w:rPr>
              <w:t>≈ 0</w:t>
            </w:r>
          </w:p>
        </w:tc>
      </w:tr>
      <w:tr>
        <w:tc>
          <w:tcPr>
            <w:tcW w:type="dxa" w:w="3135"/>
          </w:tcPr>
          <w:p>
            <w:r>
              <w:rPr>
                <w:rFonts w:ascii="Arial" w:hAnsi="Arial"/>
                <w:sz w:val="20"/>
              </w:rPr>
            </w:r>
            <w:r>
              <w:rPr>
                <w:rFonts w:ascii="Arial" w:hAnsi="Arial"/>
                <w:sz w:val="20"/>
              </w:rPr>
              <w:t>Safety note</w:t>
            </w:r>
          </w:p>
        </w:tc>
        <w:tc>
          <w:tcPr>
            <w:tcW w:type="dxa" w:w="3135"/>
          </w:tcPr>
          <w:p>
            <w:r>
              <w:rPr>
                <w:rFonts w:ascii="Arial" w:hAnsi="Arial"/>
                <w:sz w:val="20"/>
              </w:rPr>
            </w:r>
            <w:r>
              <w:rPr>
                <w:rFonts w:ascii="Arial" w:hAnsi="Arial"/>
                <w:sz w:val="20"/>
              </w:rPr>
              <w:t>closed-loop ammonia</w:t>
            </w:r>
          </w:p>
        </w:tc>
        <w:tc>
          <w:tcPr>
            <w:tcW w:type="dxa" w:w="3135"/>
          </w:tcPr>
          <w:p>
            <w:r>
              <w:rPr>
                <w:rFonts w:ascii="Arial" w:hAnsi="Arial"/>
                <w:sz w:val="20"/>
              </w:rPr>
            </w:r>
            <w:r>
              <w:rPr>
                <w:rFonts w:ascii="Arial" w:hAnsi="Arial"/>
                <w:sz w:val="20"/>
              </w:rPr>
              <w:t>water only</w:t>
            </w:r>
          </w:p>
        </w:tc>
      </w:tr>
    </w:tbl>
    <w:p/>
    <w:p>
      <w:pPr>
        <w:jc w:val="both"/>
      </w:pPr>
      <w:r>
        <w:rPr>
          <w:rFonts w:ascii="Arial" w:hAnsi="Arial"/>
        </w:rPr>
        <w:t xml:space="preserve">*DH peak duty, the daily-vs-seasonal store basis and the final medium (ammine vs zeolite) are fixed with [LAY] from the Sinop network load profile; the energy/mass balance is parametric in </w:t>
      </w:r>
      <w:r>
        <w:rPr>
          <w:rFonts w:ascii="Consolas" w:hAnsi="Consolas"/>
          <w:sz w:val="21"/>
        </w:rPr>
        <w:t>tces_dh_balance.py</w:t>
      </w:r>
      <w:r>
        <w:rPr>
          <w:rFonts w:ascii="Arial" w:hAnsi="Arial"/>
        </w:rPr>
        <w:t>.*</w:t>
      </w:r>
    </w:p>
    <w:p>
      <w:pPr>
        <w:spacing w:before="200" w:after="80"/>
      </w:pPr>
      <w:r>
        <w:rPr>
          <w:rFonts w:ascii="Arial Black" w:hAnsi="Arial Black"/>
          <w:b/>
          <w:color w:val="1F4E79"/>
          <w:sz w:val="25"/>
        </w:rPr>
        <w:t>8.9.6 Hydrogen co-generation — off-peak (night-shift)</w:t>
      </w:r>
    </w:p>
    <w:p>
      <w:pPr>
        <w:jc w:val="both"/>
      </w:pPr>
      <w:r>
        <w:rPr>
          <w:rFonts w:ascii="Arial" w:hAnsi="Arial"/>
        </w:rPr>
        <w:t xml:space="preserve">As the second integrated off-take, </w:t>
      </w:r>
      <w:r>
        <w:rPr>
          <w:rFonts w:ascii="Arial" w:hAnsi="Arial"/>
          <w:b/>
        </w:rPr>
        <w:t>off-peak (night-shift) electricity</w:t>
      </w:r>
      <w:r>
        <w:rPr>
          <w:rFonts w:ascii="Arial" w:hAnsi="Arial"/>
        </w:rPr>
        <w:t xml:space="preserve"> feeds a water-electrolysis unit, converting otherwise low-value night-time output into storable hydrogen and raising effective plant utilisation. The reactor stays at constant power; during low grid demand the electricity is routed to the electrolyser instead of the grid. A high-temperature </w:t>
      </w:r>
      <w:r>
        <w:rPr>
          <w:rFonts w:ascii="Arial" w:hAnsi="Arial"/>
          <w:b/>
        </w:rPr>
        <w:t>solid-oxide electrolysis (SOE)</w:t>
      </w:r>
      <w:r>
        <w:rPr>
          <w:rFonts w:ascii="Arial" w:hAnsi="Arial"/>
        </w:rPr>
        <w:t xml:space="preserve"> stack can additionally use secondary-side steam to </w:t>
      </w:r>
      <w:r>
        <w:rPr>
          <w:rFonts w:ascii="Arial" w:hAnsi="Arial"/>
          <w:b/>
        </w:rPr>
        <w:t>pre-heat</w:t>
      </w:r>
      <w:r>
        <w:rPr>
          <w:rFonts w:ascii="Arial" w:hAnsi="Arial"/>
        </w:rPr>
        <w:t xml:space="preserve"> the feed, lowering the electrical demand per kg H₂ — but the bulk of the splitting energy is electrical, so a lower-temperature PEM/alkaline unit is an equally valid baseline (our secondary steam is ~296 °C, well below the ~700–850 °C an SOE stack ideally wants, so the steam contributes feed-preheat, not the full high-temperature benefit). A reference </w:t>
      </w:r>
      <w:r>
        <w:rPr>
          <w:rFonts w:ascii="Arial" w:hAnsi="Arial"/>
          <w:b/>
        </w:rPr>
        <w:t>8 MWe PEM</w:t>
      </w:r>
      <w:r>
        <w:rPr>
          <w:rFonts w:ascii="Arial" w:hAnsi="Arial"/>
        </w:rPr>
        <w:t xml:space="preserve"> block at ~50 kWh/kg produces </w:t>
      </w:r>
      <w:r>
        <w:rPr>
          <w:rFonts w:ascii="Arial" w:hAnsi="Arial"/>
          <w:b/>
        </w:rPr>
        <w:t>≈160 kg H₂/h (≈640 t/yr at 4 000 off-peak h)</w:t>
      </w:r>
      <w:r>
        <w:rPr>
          <w:rFonts w:ascii="Arial" w:hAnsi="Arial"/>
        </w:rPr>
        <w:t xml:space="preserve">; DH-grade heat from the TCES discharge can pre-heat the electrolyser feed. The electrolyser technology and capacity are set with [LAY]. Definition, analysis and plant connection are developed in </w:t>
      </w:r>
      <w:r>
        <w:rPr>
          <w:rFonts w:ascii="Consolas" w:hAnsi="Consolas"/>
          <w:sz w:val="21"/>
        </w:rPr>
        <w:t>systems/soe/</w:t>
      </w:r>
      <w:r>
        <w:rPr>
          <w:rFonts w:ascii="Arial" w:hAnsi="Arial"/>
        </w:rPr>
        <w:t>.</w:t>
      </w:r>
    </w:p>
    <w:p>
      <w:pPr>
        <w:spacing w:before="200" w:after="80"/>
      </w:pPr>
      <w:r>
        <w:rPr>
          <w:rFonts w:ascii="Arial Black" w:hAnsi="Arial Black"/>
          <w:b/>
          <w:color w:val="1F4E79"/>
          <w:sz w:val="25"/>
        </w:rPr>
        <w:t>8.9.7 Open items (⚠CONFIRM)</w:t>
      </w:r>
    </w:p>
    <w:p>
      <w:pPr>
        <w:pStyle w:val="ListNumber"/>
        <w:jc w:val="both"/>
      </w:pPr>
      <w:r>
        <w:rPr>
          <w:rFonts w:ascii="Arial" w:hAnsi="Arial"/>
          <w:b/>
        </w:rPr>
        <w:t>Primary boundary conditions</w:t>
      </w:r>
      <w:r>
        <w:rPr>
          <w:rFonts w:ascii="Arial" w:hAnsi="Arial"/>
        </w:rPr>
        <w:t xml:space="preserve"> are now fixed by §8.4 (12.8 MPa, 308→258 °C, ΔT 50 K) and the steam side re-coupled to them (4.5 MPa / 296 °C, 8.8 °C pinch, </w:t>
      </w:r>
      <w:r>
        <w:rPr>
          <w:rFonts w:ascii="Consolas" w:hAnsi="Consolas"/>
          <w:sz w:val="21"/>
        </w:rPr>
        <w:t>thermo_cycle_recouple.py</w:t>
      </w:r>
      <w:r>
        <w:rPr>
          <w:rFonts w:ascii="Arial" w:hAnsi="Arial"/>
        </w:rPr>
        <w:t xml:space="preserve">). Net output is 39.7 MWe with the </w:t>
      </w:r>
      <w:r>
        <w:rPr>
          <w:rFonts w:ascii="Arial" w:hAnsi="Arial"/>
          <w:b/>
        </w:rPr>
        <w:t>40 MWe nameplate retained</w:t>
      </w:r>
      <w:r>
        <w:rPr>
          <w:rFonts w:ascii="Arial" w:hAnsi="Arial"/>
        </w:rPr>
        <w:t xml:space="preserve"> (Option A). *Resolved — no longer an open item.*</w:t>
      </w:r>
    </w:p>
    <w:p>
      <w:pPr>
        <w:pStyle w:val="ListNumber"/>
        <w:jc w:val="both"/>
      </w:pPr>
      <w:r>
        <w:rPr>
          <w:rFonts w:ascii="Arial" w:hAnsi="Arial"/>
          <w:b/>
        </w:rPr>
        <w:t>Heat sink fixed as once-through seawater</w:t>
      </w:r>
      <w:r>
        <w:rPr>
          <w:rFonts w:ascii="Arial" w:hAnsi="Arial"/>
        </w:rPr>
        <w:t xml:space="preserve"> to the Black Sea (Sinop coastal site); the condenser back-pressure (7 kPa) is conservative for the cold seawater source. Intake/outfall ΔT (≤ 10 K → 2,065 kg/s) and the far-field thermal-plume impact (≤ 0.2 K after diffuser dilution, within the ≤ 3 K mixing-zone cap) are now quantified in </w:t>
      </w:r>
      <w:r>
        <w:rPr>
          <w:rFonts w:ascii="Consolas" w:hAnsi="Consolas"/>
          <w:sz w:val="21"/>
        </w:rPr>
        <w:t>scripts/seawater_heat_sink.py</w:t>
      </w:r>
      <w:r>
        <w:rPr>
          <w:rFonts w:ascii="Arial" w:hAnsi="Arial"/>
        </w:rPr>
        <w:t>. Remaining for [LAY]: site-specific intake-screening (impingement/entrainment) design and the diffuser port layout.</w:t>
      </w:r>
    </w:p>
    <w:p>
      <w:pPr>
        <w:pStyle w:val="ListNumber"/>
        <w:jc w:val="both"/>
      </w:pPr>
      <w:r>
        <w:rPr>
          <w:rFonts w:ascii="Arial" w:hAnsi="Arial"/>
          <w:b/>
        </w:rPr>
        <w:t>Component specifications</w:t>
      </w:r>
      <w:r>
        <w:rPr>
          <w:rFonts w:ascii="Arial" w:hAnsi="Arial"/>
        </w:rPr>
        <w:t xml:space="preserve"> (turbine stages, OTSG surface area, condenser duty, pump heads) feed the §8.4 component tables — to be developed jointly with [TH].</w:t>
      </w:r>
    </w:p>
    <w:p>
      <w:pPr>
        <w:pStyle w:val="ListNumber"/>
        <w:jc w:val="both"/>
      </w:pPr>
      <w:r>
        <w:rPr>
          <w:rFonts w:ascii="Arial" w:hAnsi="Arial"/>
          <w:b/>
        </w:rPr>
        <w:t>TCES medium and sizing</w:t>
      </w:r>
      <w:r>
        <w:rPr>
          <w:rFonts w:ascii="Arial" w:hAnsi="Arial"/>
        </w:rPr>
        <w:t xml:space="preserve"> are preliminary (Table 8.9-5): the ammine-vs-zeolite down-select, store mass/volume, district-heat duty and the daily-vs-seasonal basis depend on the Sinop network profile ([LAY]); the energy/mass balance is parametric (</w:t>
      </w:r>
      <w:r>
        <w:rPr>
          <w:rFonts w:ascii="Consolas" w:hAnsi="Consolas"/>
          <w:sz w:val="21"/>
        </w:rPr>
        <w:t>tces_dh_balance.py</w:t>
      </w:r>
      <w:r>
        <w:rPr>
          <w:rFonts w:ascii="Arial" w:hAnsi="Arial"/>
        </w:rPr>
        <w:t xml:space="preserve">). </w:t>
      </w:r>
      <w:r>
        <w:rPr>
          <w:rFonts w:ascii="Arial" w:hAnsi="Arial"/>
          <w:b/>
        </w:rPr>
        <w:t>Electrolyser capacity</w:t>
      </w:r>
      <w:r>
        <w:rPr>
          <w:rFonts w:ascii="Arial" w:hAnsi="Arial"/>
        </w:rPr>
        <w:t xml:space="preserve"> still to be set with [LAY]. The 0.31 MWe/MWth charge penalty should be folded into the annual dispatch model.</w:t>
      </w:r>
    </w:p>
    <w:p>
      <w:pPr>
        <w:jc w:val="both"/>
      </w:pPr>
      <w:r>
        <w:rPr>
          <w:rFonts w:ascii="Arial" w:hAnsi="Arial"/>
        </w:rPr>
        <w:t>---</w:t>
      </w:r>
    </w:p>
    <w:p>
      <w:pPr>
        <w:spacing w:before="200" w:after="80"/>
      </w:pPr>
      <w:r>
        <w:rPr>
          <w:rFonts w:ascii="Arial Black" w:hAnsi="Arial Black"/>
          <w:b/>
          <w:color w:val="1F4E79"/>
          <w:sz w:val="28"/>
        </w:rPr>
        <w:t>References (§8.9)</w:t>
      </w:r>
    </w:p>
    <w:p>
      <w:pPr>
        <w:pStyle w:val="ListBullet"/>
        <w:jc w:val="both"/>
      </w:pPr>
      <w:r>
        <w:rPr>
          <w:rFonts w:ascii="Arial" w:hAnsi="Arial"/>
        </w:rPr>
        <w:t xml:space="preserve">IAPWS, *Revised Release on the IAPWS Industrial Formulation 1997 for the Thermodynamic Properties of Water and Steam* (IF-97); implemented via the </w:t>
      </w:r>
      <w:r>
        <w:rPr>
          <w:rFonts w:ascii="Consolas" w:hAnsi="Consolas"/>
          <w:sz w:val="21"/>
        </w:rPr>
        <w:t>iapws</w:t>
      </w:r>
      <w:r>
        <w:rPr>
          <w:rFonts w:ascii="Arial" w:hAnsi="Arial"/>
        </w:rPr>
        <w:t xml:space="preserve"> Python package. Cycle model: </w:t>
      </w:r>
      <w:r>
        <w:rPr>
          <w:rFonts w:ascii="Consolas" w:hAnsi="Consolas"/>
          <w:sz w:val="21"/>
        </w:rPr>
        <w:t>scripts/thermo_cycle.py</w:t>
      </w:r>
      <w:r>
        <w:rPr>
          <w:rFonts w:ascii="Arial" w:hAnsi="Arial"/>
        </w:rPr>
        <w:t>.</w:t>
      </w:r>
    </w:p>
    <w:p>
      <w:pPr>
        <w:pStyle w:val="ListBullet"/>
        <w:jc w:val="both"/>
      </w:pPr>
      <w:r>
        <w:rPr>
          <w:rFonts w:ascii="Arial" w:hAnsi="Arial"/>
        </w:rPr>
        <w:t>M. M. El-Wakil, *Powerplant Technology*, McGraw-Hill (regenerative Rankine cycles, feedwater heating, moisture separation).</w:t>
      </w:r>
    </w:p>
    <w:p>
      <w:pPr>
        <w:pStyle w:val="ListBullet"/>
        <w:jc w:val="both"/>
      </w:pPr>
      <w:r>
        <w:rPr>
          <w:rFonts w:ascii="Arial" w:hAnsi="Arial"/>
        </w:rPr>
        <w:t>Y. A. Çengel, M. A. Boles, *Thermodynamics: An Engineering Approach* (Rankine cycle analysis, T–s methodology).</w:t>
      </w:r>
    </w:p>
    <w:p>
      <w:pPr>
        <w:pStyle w:val="ListBullet"/>
        <w:jc w:val="both"/>
      </w:pPr>
      <w:r>
        <w:rPr>
          <w:rFonts w:ascii="Arial" w:hAnsi="Arial"/>
        </w:rPr>
        <w:t>K. Frick, C. Misenheimer, J. M. Doster, S. Terry, *Thermal Energy Storage Configurations for Small Modular Reactor Load Shedding*, INL/JOU-17-43134 (2018) — SMR heat-diversion / load-shedding dispatch precedent.</w:t>
      </w:r>
    </w:p>
    <w:p>
      <w:pPr>
        <w:pStyle w:val="ListBullet"/>
        <w:jc w:val="both"/>
      </w:pPr>
      <w:r>
        <w:rPr>
          <w:rFonts w:ascii="Arial" w:hAnsi="Arial"/>
        </w:rPr>
        <w:t>K. E. N'Tsoukpoe, H. Liu, N. Le Pierrès, L. Luo, *A review on long-term sorption solar energy storage*, Renew. Sustain. Energy Rev. 13 (2009) 2385–2396 — thermochemical zeolite/water sorption heat storage (loss-free, long-duration).</w:t>
      </w:r>
    </w:p>
    <w:p>
      <w:pPr>
        <w:pStyle w:val="ListBullet"/>
        <w:jc w:val="both"/>
      </w:pPr>
      <w:r>
        <w:rPr>
          <w:rFonts w:ascii="Arial" w:hAnsi="Arial"/>
        </w:rPr>
        <w:t>A. Hauer, *Adsorption Systems for Thermal Energy Storage — Design and Demonstration Projects*, in</w:t>
      </w:r>
    </w:p>
    <w:p>
      <w:pPr>
        <w:jc w:val="both"/>
      </w:pPr>
      <w:r>
        <w:rPr>
          <w:rFonts w:ascii="Arial" w:hAnsi="Arial"/>
        </w:rPr>
        <w:t>*Thermal Energy Storage for Sustainable Energy Consumption* (Springer, 2007) — zeolite-13X sorption store engineering and district-heat demonstration.</w:t>
      </w:r>
    </w:p>
    <w:p>
      <w:pPr>
        <w:pStyle w:val="ListBullet"/>
        <w:jc w:val="both"/>
      </w:pPr>
      <w:r>
        <w:rPr>
          <w:rFonts w:ascii="Arial" w:hAnsi="Arial"/>
        </w:rPr>
        <w:t xml:space="preserve">T. Yan, Z. H. Kuai, S. F. Wu, *Multi-mode solid–gas thermochemical resorption heat transformer using NiCl₂-SrCl₂/NH₃*, Appl. Therm. Eng. </w:t>
      </w:r>
      <w:r>
        <w:rPr>
          <w:rFonts w:ascii="Arial" w:hAnsi="Arial"/>
          <w:b/>
        </w:rPr>
        <w:t>167</w:t>
      </w:r>
      <w:r>
        <w:rPr>
          <w:rFonts w:ascii="Arial" w:hAnsi="Arial"/>
        </w:rPr>
        <w:t xml:space="preserve"> (2020) 114800 — ammine resorption store: reactions, energy density (1.3–2.6 MJ/kg) and heat-storage efficiency (≤0.98). Reduced-order model basis: </w:t>
      </w:r>
      <w:r>
        <w:rPr>
          <w:rFonts w:ascii="Consolas" w:hAnsi="Consolas"/>
          <w:sz w:val="21"/>
        </w:rPr>
        <w:t>github.com/alishsan/tces</w:t>
      </w:r>
      <w:r>
        <w:rPr>
          <w:rFonts w:ascii="Arial" w:hAnsi="Arial"/>
        </w:rPr>
        <w:t xml:space="preserve">; Aegis-40 balance </w:t>
      </w:r>
      <w:r>
        <w:rPr>
          <w:rFonts w:ascii="Consolas" w:hAnsi="Consolas"/>
          <w:sz w:val="21"/>
        </w:rPr>
        <w:t>scripts/tces_dh_balance.py</w:t>
      </w:r>
      <w:r>
        <w:rPr>
          <w:rFonts w:ascii="Arial" w:hAnsi="Arial"/>
        </w:rPr>
        <w:t>.</w:t>
      </w:r>
    </w:p>
    <w:p>
      <w:pPr>
        <w:pStyle w:val="ListBullet"/>
        <w:jc w:val="both"/>
      </w:pPr>
      <w:r>
        <w:rPr>
          <w:rFonts w:ascii="Arial" w:hAnsi="Arial"/>
        </w:rPr>
        <w:t>Z. Yang, M. Qu, K. R. Gluesenkamp, *Ammonia-based chemisorption heat pumps for cold-climate heating: a comprehensive review*, Appl. Therm. Eng. (2020) — Clapeyron map of 66 chemisorption working pairs (salt-pair selection by discharge temperature).</w:t>
      </w:r>
    </w:p>
    <w:p>
      <w:pPr>
        <w:pStyle w:val="ListBullet"/>
        <w:jc w:val="both"/>
      </w:pPr>
      <w:r>
        <w:rPr>
          <w:rFonts w:ascii="Arial" w:hAnsi="Arial"/>
        </w:rPr>
        <w:t>A. Dahlberg, J. Larsson, S. Monie, M. Gustafsson, *Distributed District Heating via Zeolite as Thermochemical Energy Storage* — zeolite-13X district-heating storage precedent.</w:t>
      </w:r>
    </w:p>
    <w:p>
      <w:pPr>
        <w:pStyle w:val="ListBullet"/>
        <w:jc w:val="both"/>
      </w:pPr>
      <w:r>
        <w:rPr>
          <w:rFonts w:ascii="Arial" w:hAnsi="Arial"/>
        </w:rPr>
        <w:t>J. R. Kapernick, *Dynamic Modeling of a Small Modular Reactor for Control and Monitoring*, M.S. thesis, Univ. of Tennessee-Knoxville (2015) — integral OTSG iPWR reference (steam conditions, once-through SG).</w:t>
      </w:r>
    </w:p>
    <w:p>
      <w:r>
        <w:br w:type="page"/>
      </w:r>
    </w:p>
    <w:p>
      <w:pPr>
        <w:jc w:val="both"/>
      </w:pPr>
      <w:r>
        <w:rPr>
          <w:rFonts w:ascii="Arial" w:hAnsi="Arial"/>
        </w:rPr>
        <w:t>---</w:t>
      </w:r>
    </w:p>
    <w:p>
      <w:pPr>
        <w:spacing w:before="200" w:after="80"/>
      </w:pPr>
      <w:r>
        <w:rPr>
          <w:rFonts w:ascii="Arial Black" w:hAnsi="Arial Black"/>
          <w:b/>
          <w:color w:val="1F4E79"/>
          <w:sz w:val="28"/>
        </w:rPr>
        <w:t>8.11 Nuclear Waste Management</w:t>
      </w:r>
    </w:p>
    <w:p>
      <w:pPr>
        <w:jc w:val="both"/>
      </w:pPr>
      <w:r>
        <w:rPr>
          <w:rFonts w:ascii="Arial" w:hAnsi="Arial"/>
        </w:rPr>
        <w:t>Aegis-40 addresses nuclear waste on three fronts mandated by the Technical Specification §4.3.2:</w:t>
      </w:r>
    </w:p>
    <w:p>
      <w:pPr>
        <w:jc w:val="both"/>
      </w:pPr>
      <w:r>
        <w:rPr>
          <w:rFonts w:ascii="Arial" w:hAnsi="Arial"/>
          <w:b/>
        </w:rPr>
        <w:t>(i)</w:t>
      </w:r>
      <w:r>
        <w:rPr>
          <w:rFonts w:ascii="Arial" w:hAnsi="Arial"/>
        </w:rPr>
        <w:t xml:space="preserve"> an innovative fuel-cycle design that minimises the quantity and radioactivity of spent fuel per unit energy; </w:t>
      </w:r>
      <w:r>
        <w:rPr>
          <w:rFonts w:ascii="Arial" w:hAnsi="Arial"/>
          <w:b/>
        </w:rPr>
        <w:t>(ii)</w:t>
      </w:r>
      <w:r>
        <w:rPr>
          <w:rFonts w:ascii="Arial" w:hAnsi="Arial"/>
        </w:rPr>
        <w:t xml:space="preserve"> a back-end management plan with the three required safety analyses (source term, decay heat, storage criticality); and </w:t>
      </w:r>
      <w:r>
        <w:rPr>
          <w:rFonts w:ascii="Arial" w:hAnsi="Arial"/>
          <w:b/>
        </w:rPr>
        <w:t>(iii)</w:t>
      </w:r>
      <w:r>
        <w:rPr>
          <w:rFonts w:ascii="Arial" w:hAnsi="Arial"/>
        </w:rPr>
        <w:t xml:space="preserve"> minimisation of secondary radioactive waste.</w:t>
      </w:r>
    </w:p>
    <w:p>
      <w:pPr>
        <w:spacing w:before="200" w:after="80"/>
      </w:pPr>
      <w:r>
        <w:rPr>
          <w:rFonts w:ascii="Arial Black" w:hAnsi="Arial Black"/>
          <w:b/>
          <w:color w:val="1F4E79"/>
          <w:sz w:val="25"/>
        </w:rPr>
        <w:t>8.11.1 Waste-minimisation by design (fuel-cycle)</w:t>
      </w:r>
    </w:p>
    <w:p>
      <w:pPr>
        <w:jc w:val="both"/>
      </w:pPr>
      <w:r>
        <w:rPr>
          <w:rFonts w:ascii="Arial" w:hAnsi="Arial"/>
        </w:rPr>
        <w:t xml:space="preserve">The dominant waste lever is </w:t>
      </w:r>
      <w:r>
        <w:rPr>
          <w:rFonts w:ascii="Arial" w:hAnsi="Arial"/>
          <w:b/>
        </w:rPr>
        <w:t>discharge burnup</w:t>
      </w:r>
      <w:r>
        <w:rPr>
          <w:rFonts w:ascii="Arial" w:hAnsi="Arial"/>
        </w:rPr>
        <w:t xml:space="preserve">: extracting more energy per tonne of heavy metal before discharge directly reduces the spent-fuel arisings per unit electricity. The Aegis-40 high-burnup soluble-boron-free (SBF) core discharges at </w:t>
      </w:r>
      <w:r>
        <w:rPr>
          <w:rFonts w:ascii="Arial" w:hAnsi="Arial"/>
          <w:b/>
        </w:rPr>
        <w:t>42.8 GWd/tHM</w:t>
      </w:r>
      <w:r>
        <w:rPr>
          <w:rFonts w:ascii="Arial" w:hAnsi="Arial"/>
        </w:rPr>
        <w:t xml:space="preserve"> at </w:t>
      </w:r>
      <w:r>
        <w:rPr>
          <w:rFonts w:ascii="Arial" w:hAnsi="Arial"/>
          <w:b/>
        </w:rPr>
        <w:t>32.0 % net efficiency</w:t>
      </w:r>
      <w:r>
        <w:rPr>
          <w:rFonts w:ascii="Arial" w:hAnsi="Arial"/>
        </w:rPr>
        <w:t>, versus ~24 GWd/tHM at ~27 % for the CAREM-25 reference. The once-through waste-intensity identity (tHM/TWhe = 10⁶ / [BU·24·η]) depends only on burnup and efficiency, giving the comparison in Table 8.11-1.</w:t>
      </w:r>
    </w:p>
    <w:p>
      <w:pPr>
        <w:jc w:val="both"/>
      </w:pPr>
      <w:r>
        <w:rPr>
          <w:rFonts w:ascii="Arial" w:hAnsi="Arial"/>
          <w:b/>
        </w:rPr>
        <w:t>Table 8.11-1 — Spent-fuel arisings and waste intensity vs CAREM-25</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Quantity</w:t>
            </w:r>
          </w:p>
        </w:tc>
        <w:tc>
          <w:tcPr>
            <w:tcW w:type="dxa" w:w="3135"/>
            <w:shd w:val="clear" w:fill="DDE3EA"/>
          </w:tcPr>
          <w:p>
            <w:r>
              <w:rPr>
                <w:rFonts w:ascii="Arial" w:hAnsi="Arial"/>
                <w:b/>
                <w:sz w:val="20"/>
              </w:rPr>
            </w:r>
            <w:r>
              <w:rPr>
                <w:rFonts w:ascii="Arial" w:hAnsi="Arial"/>
                <w:b/>
                <w:sz w:val="20"/>
              </w:rPr>
              <w:t>Aegis-40 (rev_3)</w:t>
            </w:r>
          </w:p>
        </w:tc>
        <w:tc>
          <w:tcPr>
            <w:tcW w:type="dxa" w:w="3135"/>
            <w:shd w:val="clear" w:fill="DDE3EA"/>
          </w:tcPr>
          <w:p>
            <w:r>
              <w:rPr>
                <w:rFonts w:ascii="Arial" w:hAnsi="Arial"/>
                <w:b/>
                <w:sz w:val="20"/>
              </w:rPr>
            </w:r>
            <w:r>
              <w:rPr>
                <w:rFonts w:ascii="Arial" w:hAnsi="Arial"/>
                <w:b/>
                <w:sz w:val="20"/>
              </w:rPr>
              <w:t>CAREM-25 (reference)</w:t>
            </w:r>
          </w:p>
        </w:tc>
      </w:tr>
      <w:tr>
        <w:tc>
          <w:tcPr>
            <w:tcW w:type="dxa" w:w="3135"/>
          </w:tcPr>
          <w:p>
            <w:r>
              <w:rPr>
                <w:rFonts w:ascii="Arial" w:hAnsi="Arial"/>
                <w:sz w:val="20"/>
              </w:rPr>
            </w:r>
            <w:r>
              <w:rPr>
                <w:rFonts w:ascii="Arial" w:hAnsi="Arial"/>
                <w:sz w:val="20"/>
              </w:rPr>
              <w:t>Thermal / electric power</w:t>
            </w:r>
          </w:p>
        </w:tc>
        <w:tc>
          <w:tcPr>
            <w:tcW w:type="dxa" w:w="3135"/>
          </w:tcPr>
          <w:p>
            <w:r>
              <w:rPr>
                <w:rFonts w:ascii="Arial" w:hAnsi="Arial"/>
                <w:sz w:val="20"/>
              </w:rPr>
            </w:r>
            <w:r>
              <w:rPr>
                <w:rFonts w:ascii="Arial" w:hAnsi="Arial"/>
                <w:sz w:val="20"/>
              </w:rPr>
              <w:t>125 MWth / 40 MWe</w:t>
            </w:r>
          </w:p>
        </w:tc>
        <w:tc>
          <w:tcPr>
            <w:tcW w:type="dxa" w:w="3135"/>
          </w:tcPr>
          <w:p>
            <w:r>
              <w:rPr>
                <w:rFonts w:ascii="Arial" w:hAnsi="Arial"/>
                <w:sz w:val="20"/>
              </w:rPr>
            </w:r>
            <w:r>
              <w:rPr>
                <w:rFonts w:ascii="Arial" w:hAnsi="Arial"/>
                <w:sz w:val="20"/>
              </w:rPr>
              <w:t>100 MWth / 27 MWe</w:t>
            </w:r>
          </w:p>
        </w:tc>
      </w:tr>
      <w:tr>
        <w:tc>
          <w:tcPr>
            <w:tcW w:type="dxa" w:w="3135"/>
          </w:tcPr>
          <w:p>
            <w:r>
              <w:rPr>
                <w:rFonts w:ascii="Arial" w:hAnsi="Arial"/>
                <w:sz w:val="20"/>
              </w:rPr>
            </w:r>
            <w:r>
              <w:rPr>
                <w:rFonts w:ascii="Arial" w:hAnsi="Arial"/>
                <w:sz w:val="20"/>
              </w:rPr>
              <w:t>Net thermal efficiency</w:t>
            </w:r>
          </w:p>
        </w:tc>
        <w:tc>
          <w:tcPr>
            <w:tcW w:type="dxa" w:w="3135"/>
          </w:tcPr>
          <w:p>
            <w:r>
              <w:rPr>
                <w:rFonts w:ascii="Arial" w:hAnsi="Arial"/>
                <w:sz w:val="20"/>
              </w:rPr>
            </w:r>
            <w:r>
              <w:rPr>
                <w:rFonts w:ascii="Arial" w:hAnsi="Arial"/>
                <w:sz w:val="20"/>
              </w:rPr>
              <w:t>0.320</w:t>
            </w:r>
          </w:p>
        </w:tc>
        <w:tc>
          <w:tcPr>
            <w:tcW w:type="dxa" w:w="3135"/>
          </w:tcPr>
          <w:p>
            <w:r>
              <w:rPr>
                <w:rFonts w:ascii="Arial" w:hAnsi="Arial"/>
                <w:sz w:val="20"/>
              </w:rPr>
            </w:r>
            <w:r>
              <w:rPr>
                <w:rFonts w:ascii="Arial" w:hAnsi="Arial"/>
                <w:sz w:val="20"/>
              </w:rPr>
              <w:t>0.270</w:t>
            </w:r>
          </w:p>
        </w:tc>
      </w:tr>
      <w:tr>
        <w:tc>
          <w:tcPr>
            <w:tcW w:type="dxa" w:w="3135"/>
          </w:tcPr>
          <w:p>
            <w:r>
              <w:rPr>
                <w:rFonts w:ascii="Arial" w:hAnsi="Arial"/>
                <w:sz w:val="20"/>
              </w:rPr>
            </w:r>
            <w:r>
              <w:rPr>
                <w:rFonts w:ascii="Arial" w:hAnsi="Arial"/>
                <w:sz w:val="20"/>
              </w:rPr>
              <w:t>Discharge burnup</w:t>
            </w:r>
          </w:p>
        </w:tc>
        <w:tc>
          <w:tcPr>
            <w:tcW w:type="dxa" w:w="3135"/>
          </w:tcPr>
          <w:p>
            <w:r>
              <w:rPr>
                <w:rFonts w:ascii="Arial" w:hAnsi="Arial"/>
                <w:sz w:val="20"/>
              </w:rPr>
            </w:r>
            <w:r>
              <w:rPr>
                <w:rFonts w:ascii="Arial" w:hAnsi="Arial"/>
                <w:sz w:val="20"/>
              </w:rPr>
              <w:t>42.8 GWd/tHM</w:t>
            </w:r>
          </w:p>
        </w:tc>
        <w:tc>
          <w:tcPr>
            <w:tcW w:type="dxa" w:w="3135"/>
          </w:tcPr>
          <w:p>
            <w:r>
              <w:rPr>
                <w:rFonts w:ascii="Arial" w:hAnsi="Arial"/>
                <w:sz w:val="20"/>
              </w:rPr>
            </w:r>
            <w:r>
              <w:rPr>
                <w:rFonts w:ascii="Arial" w:hAnsi="Arial"/>
                <w:sz w:val="20"/>
              </w:rPr>
              <w:t>24.0 GWd/tHM</w:t>
            </w:r>
          </w:p>
        </w:tc>
      </w:tr>
      <w:tr>
        <w:tc>
          <w:tcPr>
            <w:tcW w:type="dxa" w:w="3135"/>
          </w:tcPr>
          <w:p>
            <w:r>
              <w:rPr>
                <w:rFonts w:ascii="Arial" w:hAnsi="Arial"/>
                <w:sz w:val="20"/>
              </w:rPr>
            </w:r>
            <w:r>
              <w:rPr>
                <w:rFonts w:ascii="Arial" w:hAnsi="Arial"/>
                <w:sz w:val="20"/>
              </w:rPr>
              <w:t>HM discharged per year</w:t>
            </w:r>
          </w:p>
        </w:tc>
        <w:tc>
          <w:tcPr>
            <w:tcW w:type="dxa" w:w="3135"/>
          </w:tcPr>
          <w:p>
            <w:r>
              <w:rPr>
                <w:rFonts w:ascii="Arial" w:hAnsi="Arial"/>
                <w:sz w:val="20"/>
              </w:rPr>
            </w:r>
            <w:r>
              <w:rPr>
                <w:rFonts w:ascii="Arial" w:hAnsi="Arial"/>
                <w:sz w:val="20"/>
              </w:rPr>
              <w:t>0.91 tHM/yr</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sz w:val="20"/>
              </w:rPr>
              <w:t>Assemblies discharged per year</w:t>
            </w:r>
          </w:p>
        </w:tc>
        <w:tc>
          <w:tcPr>
            <w:tcW w:type="dxa" w:w="3135"/>
          </w:tcPr>
          <w:p>
            <w:r>
              <w:rPr>
                <w:rFonts w:ascii="Arial" w:hAnsi="Arial"/>
                <w:sz w:val="20"/>
              </w:rPr>
            </w:r>
            <w:r>
              <w:rPr>
                <w:rFonts w:ascii="Arial" w:hAnsi="Arial"/>
                <w:sz w:val="20"/>
              </w:rPr>
              <w:t>3.6 FA/yr</w:t>
            </w:r>
          </w:p>
        </w:tc>
        <w:tc>
          <w:tcPr>
            <w:tcW w:type="dxa" w:w="3135"/>
          </w:tcPr>
          <w:p>
            <w:r>
              <w:rPr>
                <w:rFonts w:ascii="Arial" w:hAnsi="Arial"/>
                <w:sz w:val="20"/>
              </w:rPr>
            </w:r>
            <w:r>
              <w:rPr>
                <w:rFonts w:ascii="Arial" w:hAnsi="Arial"/>
                <w:sz w:val="20"/>
              </w:rPr>
              <w:t>—</w:t>
            </w:r>
          </w:p>
        </w:tc>
      </w:tr>
      <w:tr>
        <w:tc>
          <w:tcPr>
            <w:tcW w:type="dxa" w:w="3135"/>
          </w:tcPr>
          <w:p>
            <w:r>
              <w:rPr>
                <w:rFonts w:ascii="Arial" w:hAnsi="Arial"/>
                <w:sz w:val="20"/>
              </w:rPr>
            </w:r>
            <w:r>
              <w:rPr>
                <w:rFonts w:ascii="Arial" w:hAnsi="Arial"/>
                <w:b/>
                <w:sz w:val="20"/>
              </w:rPr>
              <w:t>Waste intensity</w:t>
            </w:r>
          </w:p>
        </w:tc>
        <w:tc>
          <w:tcPr>
            <w:tcW w:type="dxa" w:w="3135"/>
          </w:tcPr>
          <w:p>
            <w:r>
              <w:rPr>
                <w:rFonts w:ascii="Arial" w:hAnsi="Arial"/>
                <w:sz w:val="20"/>
              </w:rPr>
            </w:r>
            <w:r>
              <w:rPr>
                <w:rFonts w:ascii="Arial" w:hAnsi="Arial"/>
                <w:b/>
                <w:sz w:val="20"/>
              </w:rPr>
              <w:t>3.04 tHM/TWhe</w:t>
            </w:r>
          </w:p>
        </w:tc>
        <w:tc>
          <w:tcPr>
            <w:tcW w:type="dxa" w:w="3135"/>
          </w:tcPr>
          <w:p>
            <w:r>
              <w:rPr>
                <w:rFonts w:ascii="Arial" w:hAnsi="Arial"/>
                <w:sz w:val="20"/>
              </w:rPr>
            </w:r>
            <w:r>
              <w:rPr>
                <w:rFonts w:ascii="Arial" w:hAnsi="Arial"/>
                <w:b/>
                <w:sz w:val="20"/>
              </w:rPr>
              <w:t>6.43 tHM/TWhe</w:t>
            </w:r>
          </w:p>
        </w:tc>
      </w:tr>
    </w:tbl>
    <w:p/>
    <w:p>
      <w:pPr>
        <w:jc w:val="both"/>
      </w:pPr>
      <w:r>
        <w:rPr>
          <w:rFonts w:ascii="Arial" w:hAnsi="Arial"/>
          <w:b/>
        </w:rPr>
        <w:t>Aegis-40 produces ~2.1× less heavy metal per unit electricity than CAREM-25 (~53 % reduction)</w:t>
      </w:r>
      <w:r>
        <w:rPr>
          <w:rFonts w:ascii="Arial" w:hAnsi="Arial"/>
        </w:rPr>
        <w:t xml:space="preserve"> — the combined effect of ~1.8× higher burnup and higher thermal efficiency. Absolute arisings are tiny:</w:t>
      </w:r>
    </w:p>
    <w:p>
      <w:pPr>
        <w:jc w:val="both"/>
      </w:pPr>
      <w:r>
        <w:rPr>
          <w:rFonts w:ascii="Arial" w:hAnsi="Arial"/>
          <w:b/>
        </w:rPr>
        <w:t>&lt; 1 tHM/yr and &lt; 4 assemblies/yr</w:t>
      </w:r>
      <w:r>
        <w:rPr>
          <w:rFonts w:ascii="Arial" w:hAnsi="Arial"/>
        </w:rPr>
        <w:t>. Dropping to a CAREM-like ~3.1 wt% / ~24 GWd/t point would roughly double the arisings, which is the quantitative reason the high-burnup design is kept.</w:t>
      </w:r>
    </w:p>
    <w:p>
      <w:pPr>
        <w:spacing w:before="200" w:after="80"/>
      </w:pPr>
      <w:r>
        <w:rPr>
          <w:rFonts w:ascii="Arial Black" w:hAnsi="Arial Black"/>
          <w:b/>
          <w:color w:val="1F4E79"/>
          <w:sz w:val="25"/>
        </w:rPr>
        <w:t>8.11.2 Back-end fuel-cycle management plan</w:t>
      </w:r>
    </w:p>
    <w:p>
      <w:pPr>
        <w:jc w:val="both"/>
      </w:pPr>
      <w:r>
        <w:rPr>
          <w:rFonts w:ascii="Arial" w:hAnsi="Arial"/>
        </w:rPr>
        <w:t xml:space="preserve">Aegis-40 uses a </w:t>
      </w:r>
      <w:r>
        <w:rPr>
          <w:rFonts w:ascii="Arial" w:hAnsi="Arial"/>
          <w:b/>
        </w:rPr>
        <w:t>once-through</w:t>
      </w:r>
      <w:r>
        <w:rPr>
          <w:rFonts w:ascii="Arial" w:hAnsi="Arial"/>
        </w:rPr>
        <w:t xml:space="preserve"> fuel cycle. Discharged assemblies (~3.6 FA/yr) are cooled in the spent-fuel pool, then transferred to </w:t>
      </w:r>
      <w:r>
        <w:rPr>
          <w:rFonts w:ascii="Arial" w:hAnsi="Arial"/>
          <w:b/>
        </w:rPr>
        <w:t>on-site dry-cask interim storage</w:t>
      </w:r>
      <w:r>
        <w:rPr>
          <w:rFonts w:ascii="Arial" w:hAnsi="Arial"/>
        </w:rPr>
        <w:t xml:space="preserve"> after the decay-heat and dose criteria are met (§8.11.3). The very low arisings rate makes a single compact pool plus a small cask pad sufficient for the plant lifetime, deferring any repository transfer. No reprocessing is assumed; the discharged plutonium vector and safeguards attractiveness are addressed in the §5 proliferation-resistance assessment.</w:t>
      </w:r>
    </w:p>
    <w:p>
      <w:pPr>
        <w:spacing w:before="200" w:after="80"/>
      </w:pPr>
      <w:r>
        <w:rPr>
          <w:rFonts w:ascii="Arial Black" w:hAnsi="Arial Black"/>
          <w:b/>
          <w:color w:val="1F4E79"/>
          <w:sz w:val="25"/>
        </w:rPr>
        <w:t>8.11.3 Spent-fuel source term and decay heat (§4.3.2 analysis)</w:t>
      </w:r>
    </w:p>
    <w:p>
      <w:pPr>
        <w:jc w:val="both"/>
      </w:pPr>
      <w:r>
        <w:rPr>
          <w:rFonts w:ascii="Arial" w:hAnsi="Arial"/>
        </w:rPr>
        <w:t xml:space="preserve">The discharge source term and its decay are computed from the rev_3 depletion inventory (5.04 tHM at discharge). At discharge the spent fuel is </w:t>
      </w:r>
      <w:r>
        <w:rPr>
          <w:rFonts w:ascii="Arial" w:hAnsi="Arial"/>
          <w:b/>
        </w:rPr>
        <w:t>heat-generating high-level waste (HLW)</w:t>
      </w:r>
      <w:r>
        <w:rPr>
          <w:rFonts w:ascii="Arial" w:hAnsi="Arial"/>
        </w:rPr>
        <w:t xml:space="preserve"> (heat density ≫ 2000 W/m³). The activity, decay heat, and ingestion radiotoxicity decline by ~2 orders of magnitude over the first 100 years (Table 8.11-2, Figure 8.11-1) — the basis for pool→cask transfer timing and cask thermal sizing.</w:t>
      </w:r>
    </w:p>
    <w:p>
      <w:pPr>
        <w:jc w:val="both"/>
      </w:pPr>
      <w:r>
        <w:rPr>
          <w:rFonts w:ascii="Arial" w:hAnsi="Arial"/>
          <w:b/>
        </w:rPr>
        <w:t>Table 8.11-2 — Discharge source term vs cooling time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DDE3EA"/>
          </w:tcPr>
          <w:p>
            <w:r>
              <w:rPr>
                <w:rFonts w:ascii="Arial" w:hAnsi="Arial"/>
                <w:b/>
                <w:sz w:val="20"/>
              </w:rPr>
            </w:r>
            <w:r>
              <w:rPr>
                <w:rFonts w:ascii="Arial" w:hAnsi="Arial"/>
                <w:b/>
                <w:sz w:val="20"/>
              </w:rPr>
              <w:t>Cooling (yr)</w:t>
            </w:r>
          </w:p>
        </w:tc>
        <w:tc>
          <w:tcPr>
            <w:tcW w:type="dxa" w:w="2351"/>
            <w:shd w:val="clear" w:fill="DDE3EA"/>
          </w:tcPr>
          <w:p>
            <w:r>
              <w:rPr>
                <w:rFonts w:ascii="Arial" w:hAnsi="Arial"/>
                <w:b/>
                <w:sz w:val="20"/>
              </w:rPr>
            </w:r>
            <w:r>
              <w:rPr>
                <w:rFonts w:ascii="Arial" w:hAnsi="Arial"/>
                <w:b/>
                <w:sz w:val="20"/>
              </w:rPr>
              <w:t>Activity (Bq)</w:t>
            </w:r>
          </w:p>
        </w:tc>
        <w:tc>
          <w:tcPr>
            <w:tcW w:type="dxa" w:w="2351"/>
            <w:shd w:val="clear" w:fill="DDE3EA"/>
          </w:tcPr>
          <w:p>
            <w:r>
              <w:rPr>
                <w:rFonts w:ascii="Arial" w:hAnsi="Arial"/>
                <w:b/>
                <w:sz w:val="20"/>
              </w:rPr>
            </w:r>
            <w:r>
              <w:rPr>
                <w:rFonts w:ascii="Arial" w:hAnsi="Arial"/>
                <w:b/>
                <w:sz w:val="20"/>
              </w:rPr>
              <w:t>Decay heat (W)</w:t>
            </w:r>
          </w:p>
        </w:tc>
        <w:tc>
          <w:tcPr>
            <w:tcW w:type="dxa" w:w="2351"/>
            <w:shd w:val="clear" w:fill="DDE3EA"/>
          </w:tcPr>
          <w:p>
            <w:r>
              <w:rPr>
                <w:rFonts w:ascii="Arial" w:hAnsi="Arial"/>
                <w:b/>
                <w:sz w:val="20"/>
              </w:rPr>
            </w:r>
            <w:r>
              <w:rPr>
                <w:rFonts w:ascii="Arial" w:hAnsi="Arial"/>
                <w:b/>
                <w:sz w:val="20"/>
              </w:rPr>
              <w:t>Radiotoxicity (Sv)</w:t>
            </w:r>
          </w:p>
        </w:tc>
      </w:tr>
      <w:tr>
        <w:tc>
          <w:tcPr>
            <w:tcW w:type="dxa" w:w="2351"/>
          </w:tcPr>
          <w:p>
            <w:r>
              <w:rPr>
                <w:rFonts w:ascii="Arial" w:hAnsi="Arial"/>
                <w:sz w:val="20"/>
              </w:rPr>
            </w:r>
            <w:r>
              <w:rPr>
                <w:rFonts w:ascii="Arial" w:hAnsi="Arial"/>
                <w:sz w:val="20"/>
              </w:rPr>
              <w:t>0</w:t>
            </w:r>
          </w:p>
        </w:tc>
        <w:tc>
          <w:tcPr>
            <w:tcW w:type="dxa" w:w="2351"/>
          </w:tcPr>
          <w:p>
            <w:r>
              <w:rPr>
                <w:rFonts w:ascii="Arial" w:hAnsi="Arial"/>
                <w:sz w:val="20"/>
              </w:rPr>
            </w:r>
            <w:r>
              <w:rPr>
                <w:rFonts w:ascii="Arial" w:hAnsi="Arial"/>
                <w:sz w:val="20"/>
              </w:rPr>
              <w:t>1.20 × 10¹⁷</w:t>
            </w:r>
          </w:p>
        </w:tc>
        <w:tc>
          <w:tcPr>
            <w:tcW w:type="dxa" w:w="2351"/>
          </w:tcPr>
          <w:p>
            <w:r>
              <w:rPr>
                <w:rFonts w:ascii="Arial" w:hAnsi="Arial"/>
                <w:sz w:val="20"/>
              </w:rPr>
            </w:r>
            <w:r>
              <w:rPr>
                <w:rFonts w:ascii="Arial" w:hAnsi="Arial"/>
                <w:sz w:val="20"/>
              </w:rPr>
              <w:t>18,220</w:t>
            </w:r>
          </w:p>
        </w:tc>
        <w:tc>
          <w:tcPr>
            <w:tcW w:type="dxa" w:w="2351"/>
          </w:tcPr>
          <w:p>
            <w:r>
              <w:rPr>
                <w:rFonts w:ascii="Arial" w:hAnsi="Arial"/>
                <w:sz w:val="20"/>
              </w:rPr>
            </w:r>
            <w:r>
              <w:rPr>
                <w:rFonts w:ascii="Arial" w:hAnsi="Arial"/>
                <w:sz w:val="20"/>
              </w:rPr>
              <w:t>2.18 × 10⁹</w:t>
            </w:r>
          </w:p>
        </w:tc>
      </w:tr>
      <w:tr>
        <w:tc>
          <w:tcPr>
            <w:tcW w:type="dxa" w:w="2351"/>
          </w:tcPr>
          <w:p>
            <w:r>
              <w:rPr>
                <w:rFonts w:ascii="Arial" w:hAnsi="Arial"/>
                <w:sz w:val="20"/>
              </w:rPr>
            </w:r>
            <w:r>
              <w:rPr>
                <w:rFonts w:ascii="Arial" w:hAnsi="Arial"/>
                <w:sz w:val="20"/>
              </w:rPr>
              <w:t>1</w:t>
            </w:r>
          </w:p>
        </w:tc>
        <w:tc>
          <w:tcPr>
            <w:tcW w:type="dxa" w:w="2351"/>
          </w:tcPr>
          <w:p>
            <w:r>
              <w:rPr>
                <w:rFonts w:ascii="Arial" w:hAnsi="Arial"/>
                <w:sz w:val="20"/>
              </w:rPr>
            </w:r>
            <w:r>
              <w:rPr>
                <w:rFonts w:ascii="Arial" w:hAnsi="Arial"/>
                <w:sz w:val="20"/>
              </w:rPr>
              <w:t>1.06 × 10¹⁷</w:t>
            </w:r>
          </w:p>
        </w:tc>
        <w:tc>
          <w:tcPr>
            <w:tcW w:type="dxa" w:w="2351"/>
          </w:tcPr>
          <w:p>
            <w:r>
              <w:rPr>
                <w:rFonts w:ascii="Arial" w:hAnsi="Arial"/>
                <w:sz w:val="20"/>
              </w:rPr>
            </w:r>
            <w:r>
              <w:rPr>
                <w:rFonts w:ascii="Arial" w:hAnsi="Arial"/>
                <w:sz w:val="20"/>
              </w:rPr>
              <w:t>15,240</w:t>
            </w:r>
          </w:p>
        </w:tc>
        <w:tc>
          <w:tcPr>
            <w:tcW w:type="dxa" w:w="2351"/>
          </w:tcPr>
          <w:p>
            <w:r>
              <w:rPr>
                <w:rFonts w:ascii="Arial" w:hAnsi="Arial"/>
                <w:sz w:val="20"/>
              </w:rPr>
            </w:r>
            <w:r>
              <w:rPr>
                <w:rFonts w:ascii="Arial" w:hAnsi="Arial"/>
                <w:sz w:val="20"/>
              </w:rPr>
              <w:t>1.93 × 10⁹</w:t>
            </w:r>
          </w:p>
        </w:tc>
      </w:tr>
      <w:tr>
        <w:tc>
          <w:tcPr>
            <w:tcW w:type="dxa" w:w="2351"/>
          </w:tcPr>
          <w:p>
            <w:r>
              <w:rPr>
                <w:rFonts w:ascii="Arial" w:hAnsi="Arial"/>
                <w:sz w:val="20"/>
              </w:rPr>
            </w:r>
            <w:r>
              <w:rPr>
                <w:rFonts w:ascii="Arial" w:hAnsi="Arial"/>
                <w:sz w:val="20"/>
              </w:rPr>
              <w:t>5</w:t>
            </w:r>
          </w:p>
        </w:tc>
        <w:tc>
          <w:tcPr>
            <w:tcW w:type="dxa" w:w="2351"/>
          </w:tcPr>
          <w:p>
            <w:r>
              <w:rPr>
                <w:rFonts w:ascii="Arial" w:hAnsi="Arial"/>
                <w:sz w:val="20"/>
              </w:rPr>
            </w:r>
            <w:r>
              <w:rPr>
                <w:rFonts w:ascii="Arial" w:hAnsi="Arial"/>
                <w:sz w:val="20"/>
              </w:rPr>
              <w:t>7.59 × 10¹⁶</w:t>
            </w:r>
          </w:p>
        </w:tc>
        <w:tc>
          <w:tcPr>
            <w:tcW w:type="dxa" w:w="2351"/>
          </w:tcPr>
          <w:p>
            <w:r>
              <w:rPr>
                <w:rFonts w:ascii="Arial" w:hAnsi="Arial"/>
                <w:sz w:val="20"/>
              </w:rPr>
            </w:r>
            <w:r>
              <w:rPr>
                <w:rFonts w:ascii="Arial" w:hAnsi="Arial"/>
                <w:sz w:val="20"/>
              </w:rPr>
              <w:t>9,333</w:t>
            </w:r>
          </w:p>
        </w:tc>
        <w:tc>
          <w:tcPr>
            <w:tcW w:type="dxa" w:w="2351"/>
          </w:tcPr>
          <w:p>
            <w:r>
              <w:rPr>
                <w:rFonts w:ascii="Arial" w:hAnsi="Arial"/>
                <w:sz w:val="20"/>
              </w:rPr>
            </w:r>
            <w:r>
              <w:rPr>
                <w:rFonts w:ascii="Arial" w:hAnsi="Arial"/>
                <w:sz w:val="20"/>
              </w:rPr>
              <w:t>1.41 × 10⁹</w:t>
            </w:r>
          </w:p>
        </w:tc>
      </w:tr>
      <w:tr>
        <w:tc>
          <w:tcPr>
            <w:tcW w:type="dxa" w:w="2351"/>
          </w:tcPr>
          <w:p>
            <w:r>
              <w:rPr>
                <w:rFonts w:ascii="Arial" w:hAnsi="Arial"/>
                <w:sz w:val="20"/>
              </w:rPr>
            </w:r>
            <w:r>
              <w:rPr>
                <w:rFonts w:ascii="Arial" w:hAnsi="Arial"/>
                <w:sz w:val="20"/>
              </w:rPr>
              <w:t>10</w:t>
            </w:r>
          </w:p>
        </w:tc>
        <w:tc>
          <w:tcPr>
            <w:tcW w:type="dxa" w:w="2351"/>
          </w:tcPr>
          <w:p>
            <w:r>
              <w:rPr>
                <w:rFonts w:ascii="Arial" w:hAnsi="Arial"/>
                <w:sz w:val="20"/>
              </w:rPr>
            </w:r>
            <w:r>
              <w:rPr>
                <w:rFonts w:ascii="Arial" w:hAnsi="Arial"/>
                <w:sz w:val="20"/>
              </w:rPr>
              <w:t>5.98 × 10¹⁶</w:t>
            </w:r>
          </w:p>
        </w:tc>
        <w:tc>
          <w:tcPr>
            <w:tcW w:type="dxa" w:w="2351"/>
          </w:tcPr>
          <w:p>
            <w:r>
              <w:rPr>
                <w:rFonts w:ascii="Arial" w:hAnsi="Arial"/>
                <w:sz w:val="20"/>
              </w:rPr>
            </w:r>
            <w:r>
              <w:rPr>
                <w:rFonts w:ascii="Arial" w:hAnsi="Arial"/>
                <w:sz w:val="20"/>
              </w:rPr>
              <w:t>7,003</w:t>
            </w:r>
          </w:p>
        </w:tc>
        <w:tc>
          <w:tcPr>
            <w:tcW w:type="dxa" w:w="2351"/>
          </w:tcPr>
          <w:p>
            <w:r>
              <w:rPr>
                <w:rFonts w:ascii="Arial" w:hAnsi="Arial"/>
                <w:sz w:val="20"/>
              </w:rPr>
            </w:r>
            <w:r>
              <w:rPr>
                <w:rFonts w:ascii="Arial" w:hAnsi="Arial"/>
                <w:sz w:val="20"/>
              </w:rPr>
              <w:t>1.16 × 10⁹</w:t>
            </w:r>
          </w:p>
        </w:tc>
      </w:tr>
      <w:tr>
        <w:tc>
          <w:tcPr>
            <w:tcW w:type="dxa" w:w="2351"/>
          </w:tcPr>
          <w:p>
            <w:r>
              <w:rPr>
                <w:rFonts w:ascii="Arial" w:hAnsi="Arial"/>
                <w:sz w:val="20"/>
              </w:rPr>
            </w:r>
            <w:r>
              <w:rPr>
                <w:rFonts w:ascii="Arial" w:hAnsi="Arial"/>
                <w:sz w:val="20"/>
              </w:rPr>
              <w:t>30</w:t>
            </w:r>
          </w:p>
        </w:tc>
        <w:tc>
          <w:tcPr>
            <w:tcW w:type="dxa" w:w="2351"/>
          </w:tcPr>
          <w:p>
            <w:r>
              <w:rPr>
                <w:rFonts w:ascii="Arial" w:hAnsi="Arial"/>
                <w:sz w:val="20"/>
              </w:rPr>
            </w:r>
            <w:r>
              <w:rPr>
                <w:rFonts w:ascii="Arial" w:hAnsi="Arial"/>
                <w:sz w:val="20"/>
              </w:rPr>
              <w:t>3.20 × 10¹⁶</w:t>
            </w:r>
          </w:p>
        </w:tc>
        <w:tc>
          <w:tcPr>
            <w:tcW w:type="dxa" w:w="2351"/>
          </w:tcPr>
          <w:p>
            <w:r>
              <w:rPr>
                <w:rFonts w:ascii="Arial" w:hAnsi="Arial"/>
                <w:sz w:val="20"/>
              </w:rPr>
            </w:r>
            <w:r>
              <w:rPr>
                <w:rFonts w:ascii="Arial" w:hAnsi="Arial"/>
                <w:sz w:val="20"/>
              </w:rPr>
              <w:t>4,247</w:t>
            </w:r>
          </w:p>
        </w:tc>
        <w:tc>
          <w:tcPr>
            <w:tcW w:type="dxa" w:w="2351"/>
          </w:tcPr>
          <w:p>
            <w:r>
              <w:rPr>
                <w:rFonts w:ascii="Arial" w:hAnsi="Arial"/>
                <w:sz w:val="20"/>
              </w:rPr>
            </w:r>
            <w:r>
              <w:rPr>
                <w:rFonts w:ascii="Arial" w:hAnsi="Arial"/>
                <w:sz w:val="20"/>
              </w:rPr>
              <w:t>7.44 × 10⁸</w:t>
            </w:r>
          </w:p>
        </w:tc>
      </w:tr>
      <w:tr>
        <w:tc>
          <w:tcPr>
            <w:tcW w:type="dxa" w:w="2351"/>
          </w:tcPr>
          <w:p>
            <w:r>
              <w:rPr>
                <w:rFonts w:ascii="Arial" w:hAnsi="Arial"/>
                <w:sz w:val="20"/>
              </w:rPr>
            </w:r>
            <w:r>
              <w:rPr>
                <w:rFonts w:ascii="Arial" w:hAnsi="Arial"/>
                <w:sz w:val="20"/>
              </w:rPr>
              <w:t>100</w:t>
            </w:r>
          </w:p>
        </w:tc>
        <w:tc>
          <w:tcPr>
            <w:tcW w:type="dxa" w:w="2351"/>
          </w:tcPr>
          <w:p>
            <w:r>
              <w:rPr>
                <w:rFonts w:ascii="Arial" w:hAnsi="Arial"/>
                <w:sz w:val="20"/>
              </w:rPr>
            </w:r>
            <w:r>
              <w:rPr>
                <w:rFonts w:ascii="Arial" w:hAnsi="Arial"/>
                <w:sz w:val="20"/>
              </w:rPr>
              <w:t>5.51 × 10¹⁵</w:t>
            </w:r>
          </w:p>
        </w:tc>
        <w:tc>
          <w:tcPr>
            <w:tcW w:type="dxa" w:w="2351"/>
          </w:tcPr>
          <w:p>
            <w:r>
              <w:rPr>
                <w:rFonts w:ascii="Arial" w:hAnsi="Arial"/>
                <w:sz w:val="20"/>
              </w:rPr>
            </w:r>
            <w:r>
              <w:rPr>
                <w:rFonts w:ascii="Arial" w:hAnsi="Arial"/>
                <w:sz w:val="20"/>
              </w:rPr>
              <w:t>1,188</w:t>
            </w:r>
          </w:p>
        </w:tc>
        <w:tc>
          <w:tcPr>
            <w:tcW w:type="dxa" w:w="2351"/>
          </w:tcPr>
          <w:p>
            <w:r>
              <w:rPr>
                <w:rFonts w:ascii="Arial" w:hAnsi="Arial"/>
                <w:sz w:val="20"/>
              </w:rPr>
            </w:r>
            <w:r>
              <w:rPr>
                <w:rFonts w:ascii="Arial" w:hAnsi="Arial"/>
                <w:sz w:val="20"/>
              </w:rPr>
              <w:t>2.43 × 10⁸</w:t>
            </w:r>
          </w:p>
        </w:tc>
      </w:tr>
      <w:tr>
        <w:tc>
          <w:tcPr>
            <w:tcW w:type="dxa" w:w="2351"/>
          </w:tcPr>
          <w:p>
            <w:r>
              <w:rPr>
                <w:rFonts w:ascii="Arial" w:hAnsi="Arial"/>
                <w:sz w:val="20"/>
              </w:rPr>
            </w:r>
            <w:r>
              <w:rPr>
                <w:rFonts w:ascii="Arial" w:hAnsi="Arial"/>
                <w:sz w:val="20"/>
              </w:rPr>
              <w:t>1000</w:t>
            </w:r>
          </w:p>
        </w:tc>
        <w:tc>
          <w:tcPr>
            <w:tcW w:type="dxa" w:w="2351"/>
          </w:tcPr>
          <w:p>
            <w:r>
              <w:rPr>
                <w:rFonts w:ascii="Arial" w:hAnsi="Arial"/>
                <w:sz w:val="20"/>
              </w:rPr>
            </w:r>
            <w:r>
              <w:rPr>
                <w:rFonts w:ascii="Arial" w:hAnsi="Arial"/>
                <w:sz w:val="20"/>
              </w:rPr>
              <w:t>1.87 × 10¹⁴</w:t>
            </w:r>
          </w:p>
        </w:tc>
        <w:tc>
          <w:tcPr>
            <w:tcW w:type="dxa" w:w="2351"/>
          </w:tcPr>
          <w:p>
            <w:r>
              <w:rPr>
                <w:rFonts w:ascii="Arial" w:hAnsi="Arial"/>
                <w:sz w:val="20"/>
              </w:rPr>
            </w:r>
            <w:r>
              <w:rPr>
                <w:rFonts w:ascii="Arial" w:hAnsi="Arial"/>
                <w:sz w:val="20"/>
              </w:rPr>
              <w:t>155</w:t>
            </w:r>
          </w:p>
        </w:tc>
        <w:tc>
          <w:tcPr>
            <w:tcW w:type="dxa" w:w="2351"/>
          </w:tcPr>
          <w:p>
            <w:r>
              <w:rPr>
                <w:rFonts w:ascii="Arial" w:hAnsi="Arial"/>
                <w:sz w:val="20"/>
              </w:rPr>
            </w:r>
            <w:r>
              <w:rPr>
                <w:rFonts w:ascii="Arial" w:hAnsi="Arial"/>
                <w:sz w:val="20"/>
              </w:rPr>
              <w:t>4.50 × 10⁷</w:t>
            </w:r>
          </w:p>
        </w:tc>
      </w:tr>
    </w:tbl>
    <w:p/>
    <w:p>
      <w:pPr>
        <w:jc w:val="both"/>
      </w:pPr>
      <w:r>
        <w:rPr>
          <w:rFonts w:ascii="Arial" w:hAnsi="Arial"/>
        </w:rPr>
        <w:t xml:space="preserve">At discharge: total activity </w:t>
      </w:r>
      <w:r>
        <w:rPr>
          <w:rFonts w:ascii="Arial" w:hAnsi="Arial"/>
          <w:b/>
        </w:rPr>
        <w:t>1.20 × 10¹⁷ Bq</w:t>
      </w:r>
      <w:r>
        <w:rPr>
          <w:rFonts w:ascii="Arial" w:hAnsi="Arial"/>
        </w:rPr>
        <w:t xml:space="preserve">, decay heat </w:t>
      </w:r>
      <w:r>
        <w:rPr>
          <w:rFonts w:ascii="Arial" w:hAnsi="Arial"/>
          <w:b/>
        </w:rPr>
        <w:t>18.2 kW</w:t>
      </w:r>
      <w:r>
        <w:rPr>
          <w:rFonts w:ascii="Arial" w:hAnsi="Arial"/>
        </w:rPr>
        <w:t xml:space="preserve"> (3,615 W/tHM). The dominant early-time nuclides are Cs-134, Pu-241, Cs-137, and Sr-90; the long-term radiotoxicity is set by the transuranics (Pu, Am). The decay-heat curve is the input to the pool cooling-load and the dry-cask passive-cooling design.</w:t>
      </w:r>
    </w:p>
    <w:p>
      <w:pPr>
        <w:jc w:val="center"/>
      </w:pPr>
      <w:r>
        <w:drawing>
          <wp:inline xmlns:a="http://schemas.openxmlformats.org/drawingml/2006/main" xmlns:pic="http://schemas.openxmlformats.org/drawingml/2006/picture">
            <wp:extent cx="5486400" cy="3566160"/>
            <wp:docPr id="13" name="Picture 13"/>
            <wp:cNvGraphicFramePr>
              <a:graphicFrameLocks noChangeAspect="1"/>
            </wp:cNvGraphicFramePr>
            <a:graphic>
              <a:graphicData uri="http://schemas.openxmlformats.org/drawingml/2006/picture">
                <pic:pic>
                  <pic:nvPicPr>
                    <pic:cNvPr id="0" name="decay_heat_vs_cooling.png"/>
                    <pic:cNvPicPr/>
                  </pic:nvPicPr>
                  <pic:blipFill>
                    <a:blip r:embed="rId21"/>
                    <a:stretch>
                      <a:fillRect/>
                    </a:stretch>
                  </pic:blipFill>
                  <pic:spPr>
                    <a:xfrm>
                      <a:off x="0" y="0"/>
                      <a:ext cx="5486400" cy="3566160"/>
                    </a:xfrm>
                    <a:prstGeom prst="rect"/>
                  </pic:spPr>
                </pic:pic>
              </a:graphicData>
            </a:graphic>
          </wp:inline>
        </w:drawing>
      </w:r>
    </w:p>
    <w:p>
      <w:pPr>
        <w:jc w:val="center"/>
      </w:pPr>
      <w:r>
        <w:rPr>
          <w:i/>
          <w:color w:val="555555"/>
          <w:sz w:val="19"/>
        </w:rPr>
        <w:t>Figure 8.11-1 — decay heat and ingestion radiotoxicity vs cooling time (log–log)</w:t>
      </w:r>
    </w:p>
    <w:p>
      <w:pPr>
        <w:spacing w:before="200" w:after="80"/>
      </w:pPr>
      <w:r>
        <w:rPr>
          <w:rFonts w:ascii="Arial Black" w:hAnsi="Arial Black"/>
          <w:b/>
          <w:color w:val="1F4E79"/>
          <w:sz w:val="25"/>
        </w:rPr>
        <w:t>8.11.4 Spent-fuel storage criticality safety (§4.3.2 analysis)</w:t>
      </w:r>
    </w:p>
    <w:p>
      <w:pPr>
        <w:jc w:val="both"/>
      </w:pPr>
      <w:r>
        <w:rPr>
          <w:rFonts w:ascii="Arial" w:hAnsi="Arial"/>
        </w:rPr>
        <w:t xml:space="preserve">Storage criticality is evaluated under the SBF philosophy — </w:t>
      </w:r>
      <w:r>
        <w:rPr>
          <w:rFonts w:ascii="Arial" w:hAnsi="Arial"/>
          <w:b/>
        </w:rPr>
        <w:t>cold (20 °C), unborated water, no soluble-boron credit</w:t>
      </w:r>
      <w:r>
        <w:rPr>
          <w:rFonts w:ascii="Arial" w:hAnsi="Arial"/>
        </w:rPr>
        <w:t xml:space="preserve"> — so the result holds even on total loss of any boron source. The acceptance criterion is the regulatory </w:t>
      </w:r>
      <w:r>
        <w:rPr>
          <w:rFonts w:ascii="Arial" w:hAnsi="Arial"/>
          <w:b/>
        </w:rPr>
        <w:t>k_eff(95/95) ≤ 0.95</w:t>
      </w:r>
      <w:r>
        <w:rPr>
          <w:rFonts w:ascii="Arial" w:hAnsi="Arial"/>
        </w:rPr>
        <w:t xml:space="preserve"> (NUREG-0800 / 10 CFR 50.68). The design-basis configuration is burnup-credited (discharged) fuel in a Region-II absorber rack (17×17 cell, 23.5 cm pitch), modelled as a bounding infinite reflective array.</w:t>
      </w:r>
    </w:p>
    <w:p>
      <w:pPr>
        <w:jc w:val="both"/>
      </w:pPr>
      <w:r>
        <w:rPr>
          <w:rFonts w:ascii="Arial" w:hAnsi="Arial"/>
          <w:b/>
        </w:rPr>
        <w:t>Table 8.11-3 — Storage-rack criticality (burnup-credited spent fuel, infinite array)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fill="DDE3EA"/>
          </w:tcPr>
          <w:p>
            <w:r>
              <w:rPr>
                <w:rFonts w:ascii="Arial" w:hAnsi="Arial"/>
                <w:b/>
                <w:sz w:val="20"/>
              </w:rPr>
            </w:r>
            <w:r>
              <w:rPr>
                <w:rFonts w:ascii="Arial" w:hAnsi="Arial"/>
                <w:b/>
                <w:sz w:val="20"/>
              </w:rPr>
              <w:t>Configuration</w:t>
            </w:r>
          </w:p>
        </w:tc>
        <w:tc>
          <w:tcPr>
            <w:tcW w:type="dxa" w:w="2351"/>
            <w:shd w:val="clear" w:fill="DDE3EA"/>
          </w:tcPr>
          <w:p>
            <w:r>
              <w:rPr>
                <w:rFonts w:ascii="Arial" w:hAnsi="Arial"/>
                <w:b/>
                <w:sz w:val="20"/>
              </w:rPr>
            </w:r>
            <w:r>
              <w:rPr>
                <w:rFonts w:ascii="Arial" w:hAnsi="Arial"/>
                <w:b/>
                <w:sz w:val="20"/>
              </w:rPr>
              <w:t>k_calc ± σ</w:t>
            </w:r>
          </w:p>
        </w:tc>
        <w:tc>
          <w:tcPr>
            <w:tcW w:type="dxa" w:w="2351"/>
            <w:shd w:val="clear" w:fill="DDE3EA"/>
          </w:tcPr>
          <w:p>
            <w:r>
              <w:rPr>
                <w:rFonts w:ascii="Arial" w:hAnsi="Arial"/>
                <w:b/>
                <w:sz w:val="20"/>
              </w:rPr>
            </w:r>
            <w:r>
              <w:rPr>
                <w:rFonts w:ascii="Arial" w:hAnsi="Arial"/>
                <w:b/>
                <w:sz w:val="20"/>
              </w:rPr>
              <w:t>k(95/95)</w:t>
            </w:r>
          </w:p>
        </w:tc>
        <w:tc>
          <w:tcPr>
            <w:tcW w:type="dxa" w:w="2351"/>
            <w:shd w:val="clear" w:fill="DDE3EA"/>
          </w:tcPr>
          <w:p>
            <w:r>
              <w:rPr>
                <w:rFonts w:ascii="Arial" w:hAnsi="Arial"/>
                <w:b/>
                <w:sz w:val="20"/>
              </w:rPr>
            </w:r>
            <w:r>
              <w:rPr>
                <w:rFonts w:ascii="Arial" w:hAnsi="Arial"/>
                <w:b/>
                <w:sz w:val="20"/>
              </w:rPr>
              <w:t>Verdict</w:t>
            </w:r>
          </w:p>
        </w:tc>
      </w:tr>
      <w:tr>
        <w:tc>
          <w:tcPr>
            <w:tcW w:type="dxa" w:w="2351"/>
          </w:tcPr>
          <w:p>
            <w:r>
              <w:rPr>
                <w:rFonts w:ascii="Arial" w:hAnsi="Arial"/>
                <w:sz w:val="20"/>
              </w:rPr>
            </w:r>
            <w:r>
              <w:rPr>
                <w:rFonts w:ascii="Arial" w:hAnsi="Arial"/>
                <w:sz w:val="20"/>
              </w:rPr>
              <w:t>Spent fuel + Boral box (0.40 B₄C)</w:t>
            </w:r>
          </w:p>
        </w:tc>
        <w:tc>
          <w:tcPr>
            <w:tcW w:type="dxa" w:w="2351"/>
          </w:tcPr>
          <w:p>
            <w:r>
              <w:rPr>
                <w:rFonts w:ascii="Arial" w:hAnsi="Arial"/>
                <w:sz w:val="20"/>
              </w:rPr>
            </w:r>
            <w:r>
              <w:rPr>
                <w:rFonts w:ascii="Arial" w:hAnsi="Arial"/>
                <w:sz w:val="20"/>
              </w:rPr>
              <w:t>0.78099 ± 0.00054</w:t>
            </w:r>
          </w:p>
        </w:tc>
        <w:tc>
          <w:tcPr>
            <w:tcW w:type="dxa" w:w="2351"/>
          </w:tcPr>
          <w:p>
            <w:r>
              <w:rPr>
                <w:rFonts w:ascii="Arial" w:hAnsi="Arial"/>
                <w:sz w:val="20"/>
              </w:rPr>
            </w:r>
            <w:r>
              <w:rPr>
                <w:rFonts w:ascii="Arial" w:hAnsi="Arial"/>
                <w:b/>
                <w:sz w:val="20"/>
              </w:rPr>
              <w:t>0.782</w:t>
            </w:r>
          </w:p>
        </w:tc>
        <w:tc>
          <w:tcPr>
            <w:tcW w:type="dxa" w:w="2351"/>
          </w:tcPr>
          <w:p>
            <w:r>
              <w:rPr>
                <w:rFonts w:ascii="Arial" w:hAnsi="Arial"/>
                <w:sz w:val="20"/>
              </w:rPr>
            </w:r>
            <w:r>
              <w:rPr>
                <w:rFonts w:ascii="Arial" w:hAnsi="Arial"/>
                <w:sz w:val="20"/>
              </w:rPr>
              <w:t>✅ PASS</w:t>
            </w:r>
          </w:p>
        </w:tc>
      </w:tr>
      <w:tr>
        <w:tc>
          <w:tcPr>
            <w:tcW w:type="dxa" w:w="2351"/>
          </w:tcPr>
          <w:p>
            <w:r>
              <w:rPr>
                <w:rFonts w:ascii="Arial" w:hAnsi="Arial"/>
                <w:sz w:val="20"/>
              </w:rPr>
            </w:r>
            <w:r>
              <w:rPr>
                <w:rFonts w:ascii="Arial" w:hAnsi="Arial"/>
                <w:sz w:val="20"/>
              </w:rPr>
              <w:t>Spent fuel + Metamic box (0.31 B₄C)</w:t>
            </w:r>
          </w:p>
        </w:tc>
        <w:tc>
          <w:tcPr>
            <w:tcW w:type="dxa" w:w="2351"/>
          </w:tcPr>
          <w:p>
            <w:r>
              <w:rPr>
                <w:rFonts w:ascii="Arial" w:hAnsi="Arial"/>
                <w:sz w:val="20"/>
              </w:rPr>
            </w:r>
            <w:r>
              <w:rPr>
                <w:rFonts w:ascii="Arial" w:hAnsi="Arial"/>
                <w:sz w:val="20"/>
              </w:rPr>
              <w:t>0.78856 ± 0.00061</w:t>
            </w:r>
          </w:p>
        </w:tc>
        <w:tc>
          <w:tcPr>
            <w:tcW w:type="dxa" w:w="2351"/>
          </w:tcPr>
          <w:p>
            <w:r>
              <w:rPr>
                <w:rFonts w:ascii="Arial" w:hAnsi="Arial"/>
                <w:sz w:val="20"/>
              </w:rPr>
            </w:r>
            <w:r>
              <w:rPr>
                <w:rFonts w:ascii="Arial" w:hAnsi="Arial"/>
                <w:b/>
                <w:sz w:val="20"/>
              </w:rPr>
              <w:t>0.790</w:t>
            </w:r>
          </w:p>
        </w:tc>
        <w:tc>
          <w:tcPr>
            <w:tcW w:type="dxa" w:w="2351"/>
          </w:tcPr>
          <w:p>
            <w:r>
              <w:rPr>
                <w:rFonts w:ascii="Arial" w:hAnsi="Arial"/>
                <w:sz w:val="20"/>
              </w:rPr>
            </w:r>
            <w:r>
              <w:rPr>
                <w:rFonts w:ascii="Arial" w:hAnsi="Arial"/>
                <w:sz w:val="20"/>
              </w:rPr>
              <w:t>✅ PASS</w:t>
            </w:r>
          </w:p>
        </w:tc>
      </w:tr>
    </w:tbl>
    <w:p/>
    <w:p>
      <w:pPr>
        <w:jc w:val="both"/>
      </w:pPr>
      <w:r>
        <w:rPr>
          <w:rFonts w:ascii="Arial" w:hAnsi="Arial"/>
        </w:rPr>
        <w:t xml:space="preserve">Both credited designs sit </w:t>
      </w:r>
      <w:r>
        <w:rPr>
          <w:rFonts w:ascii="Arial" w:hAnsi="Arial"/>
          <w:b/>
        </w:rPr>
        <w:t>~0.16 below the 0.95 limit</w:t>
      </w:r>
      <w:r>
        <w:rPr>
          <w:rFonts w:ascii="Arial" w:hAnsi="Arial"/>
        </w:rPr>
        <w:t xml:space="preserve">, confirmed by two independent absorber materials. The reactivity ladder shows why: fresh bare touching fuel (1.50) → </w:t>
      </w:r>
      <w:r>
        <w:rPr>
          <w:rFonts w:ascii="Arial" w:hAnsi="Arial"/>
          <w:b/>
        </w:rPr>
        <w:t>burnup credit</w:t>
      </w:r>
      <w:r>
        <w:rPr>
          <w:rFonts w:ascii="Arial" w:hAnsi="Arial"/>
        </w:rPr>
        <w:t xml:space="preserve"> (1.075, −0.425) → </w:t>
      </w:r>
      <w:r>
        <w:rPr>
          <w:rFonts w:ascii="Arial" w:hAnsi="Arial"/>
          <w:b/>
        </w:rPr>
        <w:t>absorber panels + pitch</w:t>
      </w:r>
      <w:r>
        <w:rPr>
          <w:rFonts w:ascii="Arial" w:hAnsi="Arial"/>
        </w:rPr>
        <w:t xml:space="preserve"> (0.782, −0.293). Burnup credit removes most of the excess for free; the panels carry it well under the limit. Because the high-density rack relies on burnup credit, fresh/low-burnup assemblies are administratively excluded by a minimum-burnup loading curve and held in a separate Region-I (flux-trap) rack — the standard two-region pool layout. The result is consistent with, and more conservative than, the published SBF small-PWR storage envelope (Kim, Jung &amp; Yoon 2024, k ≈ 0.93–0.95 for racks designed up to the limit).</w:t>
      </w:r>
    </w:p>
    <w:p>
      <w:pPr>
        <w:spacing w:before="40"/>
        <w:ind w:left="340"/>
      </w:pPr>
      <w:r>
        <w:rPr>
          <w:rFonts w:ascii="Arial" w:hAnsi="Arial"/>
          <w:i/>
          <w:color w:val="555555"/>
          <w:sz w:val="21"/>
        </w:rPr>
        <w:t xml:space="preserve">▸ </w:t>
      </w:r>
      <w:r>
        <w:rPr>
          <w:rFonts w:ascii="Arial" w:hAnsi="Arial"/>
          <w:b/>
          <w:i/>
          <w:color w:val="555555"/>
          <w:sz w:val="21"/>
        </w:rPr>
        <w:t>V&amp;V note (Digital Appendix).</w:t>
      </w:r>
      <w:r>
        <w:rPr>
          <w:rFonts w:ascii="Arial" w:hAnsi="Arial"/>
          <w:i/>
          <w:color w:val="555555"/>
          <w:sz w:val="21"/>
        </w:rPr>
        <w:t xml:space="preserve"> The reported margins use Δ_bias = Δ_unc = 0 (raw calculated margin). A licensing-grade result adds the OpenMC + ENDF/B-VIII.0 bias from the </w:t>
      </w:r>
      <w:r>
        <w:rPr>
          <w:rFonts w:ascii="Arial" w:hAnsi="Arial"/>
          <w:b/>
          <w:i/>
          <w:color w:val="555555"/>
          <w:sz w:val="21"/>
        </w:rPr>
        <w:t>OECD/NEA Burnup- Credit Criticality Benchmark (Phase II)</w:t>
      </w:r>
      <w:r>
        <w:rPr>
          <w:rFonts w:ascii="Arial" w:hAnsi="Arial"/>
          <w:i/>
          <w:color w:val="555555"/>
          <w:sz w:val="21"/>
        </w:rPr>
        <w:t xml:space="preserve"> and </w:t>
      </w:r>
      <w:r>
        <w:rPr>
          <w:rFonts w:ascii="Arial" w:hAnsi="Arial"/>
          <w:b/>
          <w:i/>
          <w:color w:val="555555"/>
          <w:sz w:val="21"/>
        </w:rPr>
        <w:t>SFCOMPO 2.0</w:t>
      </w:r>
      <w:r>
        <w:rPr>
          <w:rFonts w:ascii="Arial" w:hAnsi="Arial"/>
          <w:i/>
          <w:color w:val="555555"/>
          <w:sz w:val="21"/>
        </w:rPr>
        <w:t xml:space="preserve"> assay validation; even a conservative Δ ≈ 0.02–0.05 leaves the 0.78 design comfortably under 0.95.</w:t>
      </w:r>
    </w:p>
    <w:p>
      <w:pPr>
        <w:spacing w:before="200" w:after="80"/>
      </w:pPr>
      <w:r>
        <w:rPr>
          <w:rFonts w:ascii="Arial Black" w:hAnsi="Arial Black"/>
          <w:b/>
          <w:color w:val="1F4E79"/>
          <w:sz w:val="25"/>
        </w:rPr>
        <w:t>8.11.5 Secondary radioactive waste minimisation</w:t>
      </w:r>
    </w:p>
    <w:p>
      <w:pPr>
        <w:jc w:val="both"/>
      </w:pPr>
      <w:r>
        <w:rPr>
          <w:rFonts w:ascii="Arial" w:hAnsi="Arial"/>
        </w:rPr>
        <w:t xml:space="preserve">The </w:t>
      </w:r>
      <w:r>
        <w:rPr>
          <w:rFonts w:ascii="Arial" w:hAnsi="Arial"/>
          <w:b/>
        </w:rPr>
        <w:t>soluble-boron-free</w:t>
      </w:r>
      <w:r>
        <w:rPr>
          <w:rFonts w:ascii="Arial" w:hAnsi="Arial"/>
        </w:rPr>
        <w:t xml:space="preserve"> design eliminates the borated-water secondary-waste streams that a boron-controlled PWR generates — spent ion-exchange resins, evaporator concentrates, and tritiated boron effluent from the chemical-and-volume-control system. This is a "reduce waste quantity" benefit not captured in the tHM/TWhe metric. Remaining operational wastes (filters, dry active waste, spent resins from coolant clean-up) are managed by best-available-technique segregation, volume reduction, and conditioning per IAEA GSR Part 5; the integral-vessel layout with no large primary penetrations further limits contaminated-component arisings.</w:t>
      </w:r>
    </w:p>
    <w:p>
      <w:pPr>
        <w:jc w:val="both"/>
      </w:pPr>
      <w:r>
        <w:rPr>
          <w:rFonts w:ascii="Arial" w:hAnsi="Arial"/>
        </w:rPr>
        <w:t>---</w:t>
      </w:r>
    </w:p>
    <w:p>
      <w:pPr>
        <w:spacing w:before="200" w:after="80"/>
      </w:pPr>
      <w:r>
        <w:rPr>
          <w:rFonts w:ascii="Arial Black" w:hAnsi="Arial Black"/>
          <w:b/>
          <w:color w:val="1F4E79"/>
          <w:sz w:val="28"/>
        </w:rPr>
        <w:t>References for §8.11</w:t>
      </w:r>
    </w:p>
    <w:p>
      <w:pPr>
        <w:pStyle w:val="ListBullet"/>
        <w:jc w:val="both"/>
      </w:pPr>
      <w:r>
        <w:rPr>
          <w:rFonts w:ascii="Arial" w:hAnsi="Arial"/>
        </w:rPr>
        <w:t>[W-1] OpenMC 0.15.3 (Romano et al., *Ann. Nucl. Energy* 82 (2015) 90) + ENDF/B-VIII.0 (Brown et al.,</w:t>
      </w:r>
    </w:p>
    <w:p>
      <w:pPr>
        <w:jc w:val="both"/>
      </w:pPr>
      <w:r>
        <w:rPr>
          <w:rFonts w:ascii="Arial" w:hAnsi="Arial"/>
        </w:rPr>
        <w:t>*Nucl. Data Sheets* 148 (2018) 1) — depletion / inventory and storage-criticality transport.</w:t>
      </w:r>
    </w:p>
    <w:p>
      <w:pPr>
        <w:pStyle w:val="ListBullet"/>
        <w:jc w:val="both"/>
      </w:pPr>
      <w:r>
        <w:rPr>
          <w:rFonts w:ascii="Arial" w:hAnsi="Arial"/>
        </w:rPr>
        <w:t>[W-2] CAREM-25 parameters: INVAP/CNEA, IAEA ARIS / IAEA SMR Book — waste-intensity reference point.</w:t>
      </w:r>
    </w:p>
    <w:p>
      <w:pPr>
        <w:pStyle w:val="ListBullet"/>
        <w:jc w:val="both"/>
      </w:pPr>
      <w:r>
        <w:rPr>
          <w:rFonts w:ascii="Arial" w:hAnsi="Arial"/>
        </w:rPr>
        <w:t>[W-3] US NRC, NUREG-0800 §9.1.1 and 10 CFR 50.68 — spent-fuel storage criticality (k_eff(95/95) ≤ 0.95).</w:t>
      </w:r>
    </w:p>
    <w:p>
      <w:pPr>
        <w:pStyle w:val="ListBullet"/>
        <w:jc w:val="both"/>
      </w:pPr>
      <w:r>
        <w:rPr>
          <w:rFonts w:ascii="Arial" w:hAnsi="Arial"/>
        </w:rPr>
        <w:t xml:space="preserve">[W-4] OECD/NEA, *Burnup Credit Criticality Benchmark* (Phase II) and </w:t>
      </w:r>
      <w:r>
        <w:rPr>
          <w:rFonts w:ascii="Arial" w:hAnsi="Arial"/>
          <w:b/>
        </w:rPr>
        <w:t>SFCOMPO 2.0</w:t>
      </w:r>
      <w:r>
        <w:rPr>
          <w:rFonts w:ascii="Arial" w:hAnsi="Arial"/>
        </w:rPr>
        <w:t xml:space="preserve"> — burnup-credit V&amp;V basis (Digital Appendix).</w:t>
      </w:r>
    </w:p>
    <w:p>
      <w:pPr>
        <w:pStyle w:val="ListBullet"/>
        <w:jc w:val="both"/>
      </w:pPr>
      <w:r>
        <w:rPr>
          <w:rFonts w:ascii="Arial" w:hAnsi="Arial"/>
        </w:rPr>
        <w:t>[W-5] IAEA GSR Part 5, *Predisposal Management of Radioactive Waste* — secondary-waste management.</w:t>
      </w:r>
    </w:p>
    <w:p>
      <w:pPr>
        <w:pStyle w:val="ListBullet"/>
        <w:jc w:val="both"/>
      </w:pPr>
      <w:r>
        <w:rPr>
          <w:rFonts w:ascii="Arial" w:hAnsi="Arial"/>
        </w:rPr>
        <w:t>[W-6] Kim, Jung &amp; Yoon, *Nucl. Eng. Tech.* 56 (2024) 3144 — SBF small-PWR storage subcriticality envelope (cross-check).</w:t>
      </w:r>
    </w:p>
    <w:p>
      <w:r>
        <w:br w:type="page"/>
      </w:r>
    </w:p>
    <w:p>
      <w:pPr>
        <w:spacing w:before="200" w:after="80"/>
      </w:pPr>
      <w:r>
        <w:rPr>
          <w:rFonts w:ascii="Arial Black" w:hAnsi="Arial Black"/>
          <w:b/>
          <w:color w:val="1F4E79"/>
          <w:sz w:val="28"/>
        </w:rPr>
        <w:t>§8.12 Economics</w:t>
      </w:r>
    </w:p>
    <w:p>
      <w:pPr>
        <w:jc w:val="both"/>
      </w:pPr>
      <w:r>
        <w:rPr>
          <w:rFonts w:ascii="Arial" w:hAnsi="Arial"/>
        </w:rPr>
        <w:t>This section levelises the lifetime cost of the Aegis-40 plant into a single</w:t>
      </w:r>
    </w:p>
    <w:p>
      <w:pPr>
        <w:jc w:val="both"/>
      </w:pPr>
      <w:r>
        <w:rPr>
          <w:rFonts w:ascii="Arial" w:hAnsi="Arial"/>
          <w:b/>
        </w:rPr>
        <w:t>levelised cost of electricity (LCOE)</w:t>
      </w:r>
      <w:r>
        <w:rPr>
          <w:rFonts w:ascii="Arial" w:hAnsi="Arial"/>
        </w:rPr>
        <w:t xml:space="preserve"> and shows the </w:t>
      </w:r>
      <w:r>
        <w:rPr>
          <w:rFonts w:ascii="Arial" w:hAnsi="Arial"/>
          <w:b/>
        </w:rPr>
        <w:t>levelised fuel-cycle cost (LFCC)</w:t>
      </w:r>
      <w:r>
        <w:rPr>
          <w:rFonts w:ascii="Arial" w:hAnsi="Arial"/>
        </w:rPr>
        <w:t xml:space="preserve"> that feeds it. The intent is a transparent, reproducible cost model — not a bankable estimate — that locates the dominant cost drivers for a 40 MWe iPWR.</w:t>
      </w:r>
    </w:p>
    <w:p>
      <w:pPr>
        <w:spacing w:before="200" w:after="80"/>
      </w:pPr>
      <w:r>
        <w:rPr>
          <w:rFonts w:ascii="Arial Black" w:hAnsi="Arial Black"/>
          <w:b/>
          <w:color w:val="1F4E79"/>
          <w:sz w:val="25"/>
        </w:rPr>
        <w:t>8.12.1 Methodology</w:t>
      </w:r>
    </w:p>
    <w:p>
      <w:pPr>
        <w:jc w:val="both"/>
      </w:pPr>
      <w:r>
        <w:rPr>
          <w:rFonts w:ascii="Arial" w:hAnsi="Arial"/>
        </w:rPr>
        <w:t xml:space="preserve">The LCOE is the constant electricity price that, discounted over the plant life, just recovers all discounted costs (OECD-NEA 1994). With a real discount rate *r* and an economic life *N*, costs are annualised through the </w:t>
      </w:r>
      <w:r>
        <w:rPr>
          <w:rFonts w:ascii="Arial" w:hAnsi="Arial"/>
          <w:b/>
        </w:rPr>
        <w:t>capital recovery factor</w:t>
      </w:r>
      <w:r>
        <w:rPr>
          <w:rFonts w:ascii="Arial" w:hAnsi="Arial"/>
        </w:rPr>
        <w:t>:</w:t>
      </w:r>
    </w:p>
    <w:p>
      <w:pPr>
        <w:jc w:val="both"/>
      </w:pPr>
      <w:r>
        <w:rPr>
          <w:rFonts w:ascii="Consolas" w:hAnsi="Consolas"/>
          <w:sz w:val="21"/>
        </w:rPr>
        <w:t>`</w:t>
      </w:r>
      <w:r>
        <w:rPr>
          <w:rFonts w:ascii="Arial" w:hAnsi="Arial"/>
        </w:rPr>
        <w:t xml:space="preserve"> CRF = r(1+r)^N / [(1+r)^N − 1] LCOE = [ OCC·IDC·CRF + FixedO&amp;M ] / (8760·CF) + VarO&amp;M + Fuel + Decommissioning   [$/MWh] </w:t>
      </w:r>
      <w:r>
        <w:rPr>
          <w:rFonts w:ascii="Consolas" w:hAnsi="Consolas"/>
          <w:sz w:val="21"/>
        </w:rPr>
        <w:t>`</w:t>
      </w:r>
    </w:p>
    <w:p>
      <w:pPr>
        <w:jc w:val="both"/>
      </w:pPr>
      <w:r>
        <w:rPr>
          <w:rFonts w:ascii="Arial" w:hAnsi="Arial"/>
        </w:rPr>
        <w:t>where *OCC* is the overnight capital cost ($/kWe), *IDC* the interest-during-construction multiplier, *CF* the capacity factor, and the fuel term is the LFCC of §8.12.3. The</w:t>
      </w:r>
    </w:p>
    <w:p>
      <w:pPr>
        <w:jc w:val="both"/>
      </w:pPr>
      <w:r>
        <w:rPr>
          <w:rFonts w:ascii="Arial" w:hAnsi="Arial"/>
          <w:b/>
        </w:rPr>
        <w:t>LFCC</w:t>
      </w:r>
      <w:r>
        <w:rPr>
          <w:rFonts w:ascii="Arial" w:hAnsi="Arial"/>
        </w:rPr>
        <w:t xml:space="preserve"> itself follows the same discounted-cash-flow form (Ashley et al. 2014, Eq. 3):</w:t>
      </w:r>
    </w:p>
    <w:p>
      <w:pPr>
        <w:jc w:val="both"/>
      </w:pPr>
      <w:r>
        <w:rPr>
          <w:rFonts w:ascii="Consolas" w:hAnsi="Consolas"/>
          <w:sz w:val="21"/>
        </w:rPr>
        <w:t>`</w:t>
      </w:r>
      <w:r>
        <w:rPr>
          <w:rFonts w:ascii="Arial" w:hAnsi="Arial"/>
        </w:rPr>
        <w:t xml:space="preserve"> LFCC = Σ_i Σ_t [ F_i(t) / (1+r)^(t−t0) ]  /  Σ_t [ E(t) / (1+r)^(t−t0) ] F_i = x_i · c_i · l_i · (1 + s_i)^(t−t0) </w:t>
      </w:r>
      <w:r>
        <w:rPr>
          <w:rFonts w:ascii="Consolas" w:hAnsi="Consolas"/>
          <w:sz w:val="21"/>
        </w:rPr>
        <w:t>`</w:t>
      </w:r>
    </w:p>
    <w:p>
      <w:pPr>
        <w:jc w:val="both"/>
      </w:pPr>
      <w:r>
        <w:rPr>
          <w:rFonts w:ascii="Arial" w:hAnsi="Arial"/>
        </w:rPr>
        <w:t>summed over front-end and back-end fuel-cycle stages *i* (mining/conversion, enrichment, fabrication; interim storage, encapsulation, disposal), where *x* is the mass or SWU at each stage, *c* its unit cost, *l* the process loss factor, and *s* an escalation rate.</w:t>
      </w:r>
    </w:p>
    <w:p>
      <w:pPr>
        <w:spacing w:before="200" w:after="80"/>
      </w:pPr>
      <w:r>
        <w:rPr>
          <w:rFonts w:ascii="Arial Black" w:hAnsi="Arial Black"/>
          <w:b/>
          <w:color w:val="1F4E79"/>
          <w:sz w:val="25"/>
        </w:rPr>
        <w:t>8.12.2 Inputs (Tier-B, ⚠CONFIRM)</w:t>
      </w:r>
    </w:p>
    <w:tbl>
      <w:tblPr>
        <w:tblStyle w:val="TableGrid"/>
        <w:tblW w:type="auto" w:w="0"/>
        <w:jc w:val="center"/>
        <w:tblLook w:firstColumn="1" w:firstRow="1" w:lastColumn="0" w:lastRow="0" w:noHBand="0" w:noVBand="1" w:val="04A0"/>
      </w:tblPr>
      <w:tblGrid>
        <w:gridCol w:w="4703"/>
        <w:gridCol w:w="4703"/>
      </w:tblGrid>
      <w:tr>
        <w:tc>
          <w:tcPr>
            <w:tcW w:type="dxa" w:w="4703"/>
            <w:shd w:val="clear" w:fill="DDE3EA"/>
          </w:tcPr>
          <w:p>
            <w:r>
              <w:rPr>
                <w:rFonts w:ascii="Arial" w:hAnsi="Arial"/>
                <w:b/>
                <w:sz w:val="20"/>
              </w:rPr>
            </w:r>
            <w:r>
              <w:rPr>
                <w:rFonts w:ascii="Arial" w:hAnsi="Arial"/>
                <w:b/>
                <w:sz w:val="20"/>
              </w:rPr>
              <w:t>Parameter</w:t>
            </w:r>
          </w:p>
        </w:tc>
        <w:tc>
          <w:tcPr>
            <w:tcW w:type="dxa" w:w="4703"/>
            <w:shd w:val="clear" w:fill="DDE3EA"/>
          </w:tcPr>
          <w:p>
            <w:r>
              <w:rPr>
                <w:rFonts w:ascii="Arial" w:hAnsi="Arial"/>
                <w:b/>
                <w:sz w:val="20"/>
              </w:rPr>
            </w:r>
            <w:r>
              <w:rPr>
                <w:rFonts w:ascii="Arial" w:hAnsi="Arial"/>
                <w:b/>
                <w:sz w:val="20"/>
              </w:rPr>
              <w:t>Value</w:t>
            </w:r>
          </w:p>
        </w:tc>
      </w:tr>
      <w:tr>
        <w:tc>
          <w:tcPr>
            <w:tcW w:type="dxa" w:w="4703"/>
          </w:tcPr>
          <w:p>
            <w:r>
              <w:rPr>
                <w:rFonts w:ascii="Arial" w:hAnsi="Arial"/>
                <w:sz w:val="20"/>
              </w:rPr>
            </w:r>
            <w:r>
              <w:rPr>
                <w:rFonts w:ascii="Arial" w:hAnsi="Arial"/>
                <w:sz w:val="20"/>
              </w:rPr>
              <w:t>Net electric capacity</w:t>
            </w:r>
          </w:p>
        </w:tc>
        <w:tc>
          <w:tcPr>
            <w:tcW w:type="dxa" w:w="4703"/>
          </w:tcPr>
          <w:p>
            <w:r>
              <w:rPr>
                <w:rFonts w:ascii="Arial" w:hAnsi="Arial"/>
                <w:sz w:val="20"/>
              </w:rPr>
            </w:r>
            <w:r>
              <w:rPr>
                <w:rFonts w:ascii="Arial" w:hAnsi="Arial"/>
                <w:sz w:val="20"/>
              </w:rPr>
              <w:t>40 MWe</w:t>
            </w:r>
          </w:p>
        </w:tc>
      </w:tr>
      <w:tr>
        <w:tc>
          <w:tcPr>
            <w:tcW w:type="dxa" w:w="4703"/>
          </w:tcPr>
          <w:p>
            <w:r>
              <w:rPr>
                <w:rFonts w:ascii="Arial" w:hAnsi="Arial"/>
                <w:sz w:val="20"/>
              </w:rPr>
            </w:r>
            <w:r>
              <w:rPr>
                <w:rFonts w:ascii="Arial" w:hAnsi="Arial"/>
                <w:sz w:val="20"/>
              </w:rPr>
              <w:t>Capacity factor (CF)</w:t>
            </w:r>
          </w:p>
        </w:tc>
        <w:tc>
          <w:tcPr>
            <w:tcW w:type="dxa" w:w="4703"/>
          </w:tcPr>
          <w:p>
            <w:r>
              <w:rPr>
                <w:rFonts w:ascii="Arial" w:hAnsi="Arial"/>
                <w:sz w:val="20"/>
              </w:rPr>
            </w:r>
            <w:r>
              <w:rPr>
                <w:rFonts w:ascii="Arial" w:hAnsi="Arial"/>
                <w:sz w:val="20"/>
              </w:rPr>
              <w:t>0.90</w:t>
            </w:r>
          </w:p>
        </w:tc>
      </w:tr>
      <w:tr>
        <w:tc>
          <w:tcPr>
            <w:tcW w:type="dxa" w:w="4703"/>
          </w:tcPr>
          <w:p>
            <w:r>
              <w:rPr>
                <w:rFonts w:ascii="Arial" w:hAnsi="Arial"/>
                <w:sz w:val="20"/>
              </w:rPr>
            </w:r>
            <w:r>
              <w:rPr>
                <w:rFonts w:ascii="Arial" w:hAnsi="Arial"/>
                <w:sz w:val="20"/>
              </w:rPr>
              <w:t>Economic life (N)</w:t>
            </w:r>
          </w:p>
        </w:tc>
        <w:tc>
          <w:tcPr>
            <w:tcW w:type="dxa" w:w="4703"/>
          </w:tcPr>
          <w:p>
            <w:r>
              <w:rPr>
                <w:rFonts w:ascii="Arial" w:hAnsi="Arial"/>
                <w:sz w:val="20"/>
              </w:rPr>
            </w:r>
            <w:r>
              <w:rPr>
                <w:rFonts w:ascii="Arial" w:hAnsi="Arial"/>
                <w:sz w:val="20"/>
              </w:rPr>
              <w:t>60 yr</w:t>
            </w:r>
          </w:p>
        </w:tc>
      </w:tr>
      <w:tr>
        <w:tc>
          <w:tcPr>
            <w:tcW w:type="dxa" w:w="4703"/>
          </w:tcPr>
          <w:p>
            <w:r>
              <w:rPr>
                <w:rFonts w:ascii="Arial" w:hAnsi="Arial"/>
                <w:sz w:val="20"/>
              </w:rPr>
            </w:r>
            <w:r>
              <w:rPr>
                <w:rFonts w:ascii="Arial" w:hAnsi="Arial"/>
                <w:sz w:val="20"/>
              </w:rPr>
              <w:t>Real discount rate (r)</w:t>
            </w:r>
          </w:p>
        </w:tc>
        <w:tc>
          <w:tcPr>
            <w:tcW w:type="dxa" w:w="4703"/>
          </w:tcPr>
          <w:p>
            <w:r>
              <w:rPr>
                <w:rFonts w:ascii="Arial" w:hAnsi="Arial"/>
                <w:sz w:val="20"/>
              </w:rPr>
            </w:r>
            <w:r>
              <w:rPr>
                <w:rFonts w:ascii="Arial" w:hAnsi="Arial"/>
                <w:sz w:val="20"/>
              </w:rPr>
              <w:t>7 %</w:t>
            </w:r>
          </w:p>
        </w:tc>
      </w:tr>
      <w:tr>
        <w:tc>
          <w:tcPr>
            <w:tcW w:type="dxa" w:w="4703"/>
          </w:tcPr>
          <w:p>
            <w:r>
              <w:rPr>
                <w:rFonts w:ascii="Arial" w:hAnsi="Arial"/>
                <w:sz w:val="20"/>
              </w:rPr>
            </w:r>
            <w:r>
              <w:rPr>
                <w:rFonts w:ascii="Arial" w:hAnsi="Arial"/>
                <w:sz w:val="20"/>
              </w:rPr>
              <w:t>Construction duration</w:t>
            </w:r>
          </w:p>
        </w:tc>
        <w:tc>
          <w:tcPr>
            <w:tcW w:type="dxa" w:w="4703"/>
          </w:tcPr>
          <w:p>
            <w:r>
              <w:rPr>
                <w:rFonts w:ascii="Arial" w:hAnsi="Arial"/>
                <w:sz w:val="20"/>
              </w:rPr>
            </w:r>
            <w:r>
              <w:rPr>
                <w:rFonts w:ascii="Arial" w:hAnsi="Arial"/>
                <w:sz w:val="20"/>
              </w:rPr>
              <w:t>4 yr</w:t>
            </w:r>
          </w:p>
        </w:tc>
      </w:tr>
      <w:tr>
        <w:tc>
          <w:tcPr>
            <w:tcW w:type="dxa" w:w="4703"/>
          </w:tcPr>
          <w:p>
            <w:r>
              <w:rPr>
                <w:rFonts w:ascii="Arial" w:hAnsi="Arial"/>
                <w:sz w:val="20"/>
              </w:rPr>
            </w:r>
            <w:r>
              <w:rPr>
                <w:rFonts w:ascii="Arial" w:hAnsi="Arial"/>
                <w:sz w:val="20"/>
              </w:rPr>
              <w:t>Overnight capital (OCC)</w:t>
            </w:r>
          </w:p>
        </w:tc>
        <w:tc>
          <w:tcPr>
            <w:tcW w:type="dxa" w:w="4703"/>
          </w:tcPr>
          <w:p>
            <w:r>
              <w:rPr>
                <w:rFonts w:ascii="Arial" w:hAnsi="Arial"/>
                <w:sz w:val="20"/>
              </w:rPr>
            </w:r>
            <w:r>
              <w:rPr>
                <w:rFonts w:ascii="Arial" w:hAnsi="Arial"/>
                <w:sz w:val="20"/>
              </w:rPr>
              <w:t xml:space="preserve">5 000 / </w:t>
            </w:r>
            <w:r>
              <w:rPr>
                <w:rFonts w:ascii="Arial" w:hAnsi="Arial"/>
                <w:b/>
                <w:sz w:val="20"/>
              </w:rPr>
              <w:t>7 200</w:t>
            </w:r>
            <w:r>
              <w:rPr>
                <w:rFonts w:ascii="Arial" w:hAnsi="Arial"/>
                <w:sz w:val="20"/>
              </w:rPr>
              <w:t xml:space="preserve"> / 10 500 $/kWe</w:t>
            </w:r>
          </w:p>
        </w:tc>
      </w:tr>
      <w:tr>
        <w:tc>
          <w:tcPr>
            <w:tcW w:type="dxa" w:w="4703"/>
          </w:tcPr>
          <w:p>
            <w:r>
              <w:rPr>
                <w:rFonts w:ascii="Arial" w:hAnsi="Arial"/>
                <w:sz w:val="20"/>
              </w:rPr>
            </w:r>
            <w:r>
              <w:rPr>
                <w:rFonts w:ascii="Arial" w:hAnsi="Arial"/>
                <w:sz w:val="20"/>
              </w:rPr>
              <w:t>Fixed O&amp;M</w:t>
            </w:r>
          </w:p>
        </w:tc>
        <w:tc>
          <w:tcPr>
            <w:tcW w:type="dxa" w:w="4703"/>
          </w:tcPr>
          <w:p>
            <w:r>
              <w:rPr>
                <w:rFonts w:ascii="Arial" w:hAnsi="Arial"/>
                <w:sz w:val="20"/>
              </w:rPr>
            </w:r>
            <w:r>
              <w:rPr>
                <w:rFonts w:ascii="Arial" w:hAnsi="Arial"/>
                <w:sz w:val="20"/>
              </w:rPr>
              <w:t>130 $/kWe·yr</w:t>
            </w:r>
          </w:p>
        </w:tc>
      </w:tr>
      <w:tr>
        <w:tc>
          <w:tcPr>
            <w:tcW w:type="dxa" w:w="4703"/>
          </w:tcPr>
          <w:p>
            <w:r>
              <w:rPr>
                <w:rFonts w:ascii="Arial" w:hAnsi="Arial"/>
                <w:sz w:val="20"/>
              </w:rPr>
            </w:r>
            <w:r>
              <w:rPr>
                <w:rFonts w:ascii="Arial" w:hAnsi="Arial"/>
                <w:sz w:val="20"/>
              </w:rPr>
              <w:t>Variable O&amp;M</w:t>
            </w:r>
          </w:p>
        </w:tc>
        <w:tc>
          <w:tcPr>
            <w:tcW w:type="dxa" w:w="4703"/>
          </w:tcPr>
          <w:p>
            <w:r>
              <w:rPr>
                <w:rFonts w:ascii="Arial" w:hAnsi="Arial"/>
                <w:sz w:val="20"/>
              </w:rPr>
            </w:r>
            <w:r>
              <w:rPr>
                <w:rFonts w:ascii="Arial" w:hAnsi="Arial"/>
                <w:sz w:val="20"/>
              </w:rPr>
              <w:t>3 $/MWh</w:t>
            </w:r>
          </w:p>
        </w:tc>
      </w:tr>
      <w:tr>
        <w:tc>
          <w:tcPr>
            <w:tcW w:type="dxa" w:w="4703"/>
          </w:tcPr>
          <w:p>
            <w:r>
              <w:rPr>
                <w:rFonts w:ascii="Arial" w:hAnsi="Arial"/>
                <w:sz w:val="20"/>
              </w:rPr>
            </w:r>
            <w:r>
              <w:rPr>
                <w:rFonts w:ascii="Arial" w:hAnsi="Arial"/>
                <w:sz w:val="20"/>
              </w:rPr>
              <w:t>Fuel (LFCC)</w:t>
            </w:r>
          </w:p>
        </w:tc>
        <w:tc>
          <w:tcPr>
            <w:tcW w:type="dxa" w:w="4703"/>
          </w:tcPr>
          <w:p>
            <w:r>
              <w:rPr>
                <w:rFonts w:ascii="Arial" w:hAnsi="Arial"/>
                <w:sz w:val="20"/>
              </w:rPr>
            </w:r>
            <w:r>
              <w:rPr>
                <w:rFonts w:ascii="Arial" w:hAnsi="Arial"/>
                <w:sz w:val="20"/>
              </w:rPr>
              <w:t>7.5 $/MWh</w:t>
            </w:r>
          </w:p>
        </w:tc>
      </w:tr>
      <w:tr>
        <w:tc>
          <w:tcPr>
            <w:tcW w:type="dxa" w:w="4703"/>
          </w:tcPr>
          <w:p>
            <w:r>
              <w:rPr>
                <w:rFonts w:ascii="Arial" w:hAnsi="Arial"/>
                <w:sz w:val="20"/>
              </w:rPr>
            </w:r>
            <w:r>
              <w:rPr>
                <w:rFonts w:ascii="Arial" w:hAnsi="Arial"/>
                <w:sz w:val="20"/>
              </w:rPr>
              <w:t>Decommissioning fund</w:t>
            </w:r>
          </w:p>
        </w:tc>
        <w:tc>
          <w:tcPr>
            <w:tcW w:type="dxa" w:w="4703"/>
          </w:tcPr>
          <w:p>
            <w:r>
              <w:rPr>
                <w:rFonts w:ascii="Arial" w:hAnsi="Arial"/>
                <w:sz w:val="20"/>
              </w:rPr>
            </w:r>
            <w:r>
              <w:rPr>
                <w:rFonts w:ascii="Arial" w:hAnsi="Arial"/>
                <w:sz w:val="20"/>
              </w:rPr>
              <w:t>700 $/kWe</w:t>
            </w:r>
          </w:p>
        </w:tc>
      </w:tr>
    </w:tbl>
    <w:p/>
    <w:p>
      <w:pPr>
        <w:jc w:val="both"/>
      </w:pPr>
      <w:r>
        <w:rPr>
          <w:rFonts w:ascii="Arial" w:hAnsi="Arial"/>
        </w:rPr>
        <w:t xml:space="preserve">The </w:t>
      </w:r>
      <w:r>
        <w:rPr>
          <w:rFonts w:ascii="Arial" w:hAnsi="Arial"/>
          <w:b/>
        </w:rPr>
        <w:t>small-unit premium</w:t>
      </w:r>
      <w:r>
        <w:rPr>
          <w:rFonts w:ascii="Arial" w:hAnsi="Arial"/>
        </w:rPr>
        <w:t xml:space="preserve"> is deliberate: a 40 MWe unit has a higher $/kWe than a GW-class PWR because fixed engineering, licensing and staffing are spread over less capacity. The offsetting SMR advantages — factory fabrication, shorter build, lower absolute capital-at-risk, and the natural-circulation / soluble-boron-free simplification (fewer pumps, no CVCS boron plant) — are reflected in the shorter construction period and are discussed qualitatively in §8.12.4.</w:t>
      </w:r>
    </w:p>
    <w:p>
      <w:pPr>
        <w:spacing w:before="200" w:after="80"/>
      </w:pPr>
      <w:r>
        <w:rPr>
          <w:rFonts w:ascii="Arial Black" w:hAnsi="Arial Black"/>
          <w:b/>
          <w:color w:val="1F4E79"/>
          <w:sz w:val="25"/>
        </w:rPr>
        <w:t>8.12.3 Levelised fuel-cycle cost (LFCC)</w:t>
      </w:r>
    </w:p>
    <w:p>
      <w:pPr>
        <w:jc w:val="both"/>
      </w:pPr>
      <w:r>
        <w:rPr>
          <w:rFonts w:ascii="Arial" w:hAnsi="Arial"/>
        </w:rPr>
        <w:t xml:space="preserve">The Aegis-40 cycle is </w:t>
      </w:r>
      <w:r>
        <w:rPr>
          <w:rFonts w:ascii="Arial" w:hAnsi="Arial"/>
          <w:b/>
        </w:rPr>
        <w:t>once-through (open)</w:t>
      </w:r>
      <w:r>
        <w:rPr>
          <w:rFonts w:ascii="Arial" w:hAnsi="Arial"/>
        </w:rPr>
        <w:t>: no reprocessing, consistent with the non-proliferation posture of §8.7. The LFCC therefore comprises front-end stages (natural-U purchase, conversion, enrichment to the §8.2 average, fabrication including the Gd₂O₃/Er₂O₃ integral burnable absorber) and back-end stages (on-site wet/dry interim storage per §8.11, encapsulation, geological disposal levy). With the discharge burnup of</w:t>
      </w:r>
    </w:p>
    <w:p>
      <w:pPr>
        <w:jc w:val="both"/>
      </w:pPr>
      <w:r>
        <w:rPr>
          <w:rFonts w:ascii="Arial" w:hAnsi="Arial"/>
          <w:b/>
        </w:rPr>
        <w:t>42.8 GWd/tHM</w:t>
      </w:r>
      <w:r>
        <w:rPr>
          <w:rFonts w:ascii="Arial" w:hAnsi="Arial"/>
        </w:rPr>
        <w:t xml:space="preserve"> (§8.11) spreading the front-end mass cost over more energy than a 33 GWd/t LWR, the levelised fuel contribution is </w:t>
      </w:r>
      <w:r>
        <w:rPr>
          <w:rFonts w:ascii="Arial" w:hAnsi="Arial"/>
          <w:b/>
        </w:rPr>
        <w:t>≈ 7.5 $/MWh</w:t>
      </w:r>
      <w:r>
        <w:rPr>
          <w:rFonts w:ascii="Arial" w:hAnsi="Arial"/>
        </w:rPr>
        <w:t xml:space="preserve"> — a small share of LCOE, typical of LWR-class once-through cycles. (A stage-by-stage table is produced by </w:t>
      </w:r>
      <w:r>
        <w:rPr>
          <w:rFonts w:ascii="Consolas" w:hAnsi="Consolas"/>
          <w:sz w:val="21"/>
        </w:rPr>
        <w:t>fuel_cycle.py</w:t>
      </w:r>
      <w:r>
        <w:rPr>
          <w:rFonts w:ascii="Arial" w:hAnsi="Arial"/>
        </w:rPr>
        <w:t>; populate once the enrichment/SWU per cycle is locked with §8.2.)</w:t>
      </w:r>
    </w:p>
    <w:p>
      <w:pPr>
        <w:spacing w:before="200" w:after="80"/>
      </w:pPr>
      <w:r>
        <w:rPr>
          <w:rFonts w:ascii="Arial Black" w:hAnsi="Arial Black"/>
          <w:b/>
          <w:color w:val="1F4E79"/>
          <w:sz w:val="25"/>
        </w:rPr>
        <w:t>8.12.4 LCOE result and sensitivity</w:t>
      </w:r>
    </w:p>
    <w:p>
      <w:pPr>
        <w:jc w:val="both"/>
      </w:pPr>
      <w:r>
        <w:rPr>
          <w:rFonts w:ascii="Arial" w:hAnsi="Arial"/>
          <w:b/>
        </w:rPr>
        <w:t>Table 8.12-1 — LCOE breakdown</w:t>
      </w:r>
      <w:r>
        <w:rPr>
          <w:rFonts w:ascii="Arial" w:hAnsi="Arial"/>
        </w:rPr>
        <w:t xml:space="preserve"> (</w:t>
      </w:r>
      <w:r>
        <w:rPr>
          <w:rFonts w:ascii="Consolas" w:hAnsi="Consolas"/>
          <w:sz w:val="21"/>
        </w:rPr>
        <w:t>scripts/economics_lcoe.py</w:t>
      </w:r>
      <w:r>
        <w:rPr>
          <w:rFonts w:ascii="Arial" w:hAnsi="Arial"/>
        </w:rPr>
        <w:t>):</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fill="DDE3EA"/>
          </w:tcPr>
          <w:p>
            <w:r>
              <w:rPr>
                <w:rFonts w:ascii="Arial" w:hAnsi="Arial"/>
                <w:b/>
                <w:sz w:val="20"/>
              </w:rPr>
            </w:r>
            <w:r>
              <w:rPr>
                <w:rFonts w:ascii="Arial" w:hAnsi="Arial"/>
                <w:b/>
                <w:sz w:val="20"/>
              </w:rPr>
              <w:t>CAPEX scenario</w:t>
            </w:r>
          </w:p>
        </w:tc>
        <w:tc>
          <w:tcPr>
            <w:tcW w:type="dxa" w:w="1176"/>
            <w:shd w:val="clear" w:fill="DDE3EA"/>
          </w:tcPr>
          <w:p>
            <w:r>
              <w:rPr>
                <w:rFonts w:ascii="Arial" w:hAnsi="Arial"/>
                <w:b/>
                <w:sz w:val="20"/>
              </w:rPr>
            </w:r>
            <w:r>
              <w:rPr>
                <w:rFonts w:ascii="Arial" w:hAnsi="Arial"/>
                <w:b/>
                <w:sz w:val="20"/>
              </w:rPr>
              <w:t>OCC ($/kWe)</w:t>
            </w:r>
          </w:p>
        </w:tc>
        <w:tc>
          <w:tcPr>
            <w:tcW w:type="dxa" w:w="1176"/>
            <w:shd w:val="clear" w:fill="DDE3EA"/>
          </w:tcPr>
          <w:p>
            <w:r>
              <w:rPr>
                <w:rFonts w:ascii="Arial" w:hAnsi="Arial"/>
                <w:b/>
                <w:sz w:val="20"/>
              </w:rPr>
            </w:r>
            <w:r>
              <w:rPr>
                <w:rFonts w:ascii="Arial" w:hAnsi="Arial"/>
                <w:b/>
                <w:sz w:val="20"/>
              </w:rPr>
              <w:t>Capital</w:t>
            </w:r>
          </w:p>
        </w:tc>
        <w:tc>
          <w:tcPr>
            <w:tcW w:type="dxa" w:w="1176"/>
            <w:shd w:val="clear" w:fill="DDE3EA"/>
          </w:tcPr>
          <w:p>
            <w:r>
              <w:rPr>
                <w:rFonts w:ascii="Arial" w:hAnsi="Arial"/>
                <w:b/>
                <w:sz w:val="20"/>
              </w:rPr>
            </w:r>
            <w:r>
              <w:rPr>
                <w:rFonts w:ascii="Arial" w:hAnsi="Arial"/>
                <w:b/>
                <w:sz w:val="20"/>
              </w:rPr>
              <w:t>Fixed O&amp;M</w:t>
            </w:r>
          </w:p>
        </w:tc>
        <w:tc>
          <w:tcPr>
            <w:tcW w:type="dxa" w:w="1176"/>
            <w:shd w:val="clear" w:fill="DDE3EA"/>
          </w:tcPr>
          <w:p>
            <w:r>
              <w:rPr>
                <w:rFonts w:ascii="Arial" w:hAnsi="Arial"/>
                <w:b/>
                <w:sz w:val="20"/>
              </w:rPr>
            </w:r>
            <w:r>
              <w:rPr>
                <w:rFonts w:ascii="Arial" w:hAnsi="Arial"/>
                <w:b/>
                <w:sz w:val="20"/>
              </w:rPr>
              <w:t>Var O&amp;M</w:t>
            </w:r>
          </w:p>
        </w:tc>
        <w:tc>
          <w:tcPr>
            <w:tcW w:type="dxa" w:w="1176"/>
            <w:shd w:val="clear" w:fill="DDE3EA"/>
          </w:tcPr>
          <w:p>
            <w:r>
              <w:rPr>
                <w:rFonts w:ascii="Arial" w:hAnsi="Arial"/>
                <w:b/>
                <w:sz w:val="20"/>
              </w:rPr>
            </w:r>
            <w:r>
              <w:rPr>
                <w:rFonts w:ascii="Arial" w:hAnsi="Arial"/>
                <w:b/>
                <w:sz w:val="20"/>
              </w:rPr>
              <w:t>Fuel</w:t>
            </w:r>
          </w:p>
        </w:tc>
        <w:tc>
          <w:tcPr>
            <w:tcW w:type="dxa" w:w="1176"/>
            <w:shd w:val="clear" w:fill="DDE3EA"/>
          </w:tcPr>
          <w:p>
            <w:r>
              <w:rPr>
                <w:rFonts w:ascii="Arial" w:hAnsi="Arial"/>
                <w:b/>
                <w:sz w:val="20"/>
              </w:rPr>
            </w:r>
            <w:r>
              <w:rPr>
                <w:rFonts w:ascii="Arial" w:hAnsi="Arial"/>
                <w:b/>
                <w:sz w:val="20"/>
              </w:rPr>
              <w:t>Decom.</w:t>
            </w:r>
          </w:p>
        </w:tc>
        <w:tc>
          <w:tcPr>
            <w:tcW w:type="dxa" w:w="1176"/>
            <w:shd w:val="clear" w:fill="DDE3EA"/>
          </w:tcPr>
          <w:p>
            <w:r>
              <w:rPr>
                <w:rFonts w:ascii="Arial" w:hAnsi="Arial"/>
                <w:b/>
                <w:sz w:val="20"/>
              </w:rPr>
            </w:r>
            <w:r>
              <w:rPr>
                <w:rFonts w:ascii="Arial" w:hAnsi="Arial"/>
                <w:b/>
                <w:sz w:val="20"/>
              </w:rPr>
              <w:t>LCOE ($/MWh)</w:t>
            </w:r>
          </w:p>
        </w:tc>
      </w:tr>
      <w:tr>
        <w:tc>
          <w:tcPr>
            <w:tcW w:type="dxa" w:w="1176"/>
          </w:tcPr>
          <w:p>
            <w:r>
              <w:rPr>
                <w:rFonts w:ascii="Arial" w:hAnsi="Arial"/>
                <w:sz w:val="20"/>
              </w:rPr>
            </w:r>
            <w:r>
              <w:rPr>
                <w:rFonts w:ascii="Arial" w:hAnsi="Arial"/>
                <w:sz w:val="20"/>
              </w:rPr>
              <w:t>low</w:t>
            </w:r>
          </w:p>
        </w:tc>
        <w:tc>
          <w:tcPr>
            <w:tcW w:type="dxa" w:w="1176"/>
          </w:tcPr>
          <w:p>
            <w:r>
              <w:rPr>
                <w:rFonts w:ascii="Arial" w:hAnsi="Arial"/>
                <w:sz w:val="20"/>
              </w:rPr>
            </w:r>
            <w:r>
              <w:rPr>
                <w:rFonts w:ascii="Arial" w:hAnsi="Arial"/>
                <w:sz w:val="20"/>
              </w:rPr>
              <w:t>5 000</w:t>
            </w:r>
          </w:p>
        </w:tc>
        <w:tc>
          <w:tcPr>
            <w:tcW w:type="dxa" w:w="1176"/>
          </w:tcPr>
          <w:p>
            <w:r>
              <w:rPr>
                <w:rFonts w:ascii="Arial" w:hAnsi="Arial"/>
                <w:sz w:val="20"/>
              </w:rPr>
            </w:r>
            <w:r>
              <w:rPr>
                <w:rFonts w:ascii="Arial" w:hAnsi="Arial"/>
                <w:sz w:val="20"/>
              </w:rPr>
              <w:t>51.7</w:t>
            </w:r>
          </w:p>
        </w:tc>
        <w:tc>
          <w:tcPr>
            <w:tcW w:type="dxa" w:w="1176"/>
          </w:tcPr>
          <w:p>
            <w:r>
              <w:rPr>
                <w:rFonts w:ascii="Arial" w:hAnsi="Arial"/>
                <w:sz w:val="20"/>
              </w:rPr>
            </w:r>
            <w:r>
              <w:rPr>
                <w:rFonts w:ascii="Arial" w:hAnsi="Arial"/>
                <w:sz w:val="20"/>
              </w:rPr>
              <w:t>16.5</w:t>
            </w:r>
          </w:p>
        </w:tc>
        <w:tc>
          <w:tcPr>
            <w:tcW w:type="dxa" w:w="1176"/>
          </w:tcPr>
          <w:p>
            <w:r>
              <w:rPr>
                <w:rFonts w:ascii="Arial" w:hAnsi="Arial"/>
                <w:sz w:val="20"/>
              </w:rPr>
            </w:r>
            <w:r>
              <w:rPr>
                <w:rFonts w:ascii="Arial" w:hAnsi="Arial"/>
                <w:sz w:val="20"/>
              </w:rPr>
              <w:t>3.0</w:t>
            </w:r>
          </w:p>
        </w:tc>
        <w:tc>
          <w:tcPr>
            <w:tcW w:type="dxa" w:w="1176"/>
          </w:tcPr>
          <w:p>
            <w:r>
              <w:rPr>
                <w:rFonts w:ascii="Arial" w:hAnsi="Arial"/>
                <w:sz w:val="20"/>
              </w:rPr>
            </w:r>
            <w:r>
              <w:rPr>
                <w:rFonts w:ascii="Arial" w:hAnsi="Arial"/>
                <w:sz w:val="20"/>
              </w:rPr>
              <w:t>7.5</w:t>
            </w:r>
          </w:p>
        </w:tc>
        <w:tc>
          <w:tcPr>
            <w:tcW w:type="dxa" w:w="1176"/>
          </w:tcPr>
          <w:p>
            <w:r>
              <w:rPr>
                <w:rFonts w:ascii="Arial" w:hAnsi="Arial"/>
                <w:sz w:val="20"/>
              </w:rPr>
            </w:r>
            <w:r>
              <w:rPr>
                <w:rFonts w:ascii="Arial" w:hAnsi="Arial"/>
                <w:sz w:val="20"/>
              </w:rPr>
              <w:t>6.3</w:t>
            </w:r>
          </w:p>
        </w:tc>
        <w:tc>
          <w:tcPr>
            <w:tcW w:type="dxa" w:w="1176"/>
          </w:tcPr>
          <w:p>
            <w:r>
              <w:rPr>
                <w:rFonts w:ascii="Arial" w:hAnsi="Arial"/>
                <w:sz w:val="20"/>
              </w:rPr>
            </w:r>
            <w:r>
              <w:rPr>
                <w:rFonts w:ascii="Arial" w:hAnsi="Arial"/>
                <w:b/>
                <w:sz w:val="20"/>
              </w:rPr>
              <w:t>85.0</w:t>
            </w:r>
          </w:p>
        </w:tc>
      </w:tr>
      <w:tr>
        <w:tc>
          <w:tcPr>
            <w:tcW w:type="dxa" w:w="1176"/>
          </w:tcPr>
          <w:p>
            <w:r>
              <w:rPr>
                <w:rFonts w:ascii="Arial" w:hAnsi="Arial"/>
                <w:sz w:val="20"/>
              </w:rPr>
            </w:r>
            <w:r>
              <w:rPr>
                <w:rFonts w:ascii="Arial" w:hAnsi="Arial"/>
                <w:b/>
                <w:sz w:val="20"/>
              </w:rPr>
              <w:t>mid</w:t>
            </w:r>
          </w:p>
        </w:tc>
        <w:tc>
          <w:tcPr>
            <w:tcW w:type="dxa" w:w="1176"/>
          </w:tcPr>
          <w:p>
            <w:r>
              <w:rPr>
                <w:rFonts w:ascii="Arial" w:hAnsi="Arial"/>
                <w:sz w:val="20"/>
              </w:rPr>
            </w:r>
            <w:r>
              <w:rPr>
                <w:rFonts w:ascii="Arial" w:hAnsi="Arial"/>
                <w:b/>
                <w:sz w:val="20"/>
              </w:rPr>
              <w:t>7 200</w:t>
            </w:r>
          </w:p>
        </w:tc>
        <w:tc>
          <w:tcPr>
            <w:tcW w:type="dxa" w:w="1176"/>
          </w:tcPr>
          <w:p>
            <w:r>
              <w:rPr>
                <w:rFonts w:ascii="Arial" w:hAnsi="Arial"/>
                <w:sz w:val="20"/>
              </w:rPr>
            </w:r>
            <w:r>
              <w:rPr>
                <w:rFonts w:ascii="Arial" w:hAnsi="Arial"/>
                <w:b/>
                <w:sz w:val="20"/>
              </w:rPr>
              <w:t>74.5</w:t>
            </w:r>
          </w:p>
        </w:tc>
        <w:tc>
          <w:tcPr>
            <w:tcW w:type="dxa" w:w="1176"/>
          </w:tcPr>
          <w:p>
            <w:r>
              <w:rPr>
                <w:rFonts w:ascii="Arial" w:hAnsi="Arial"/>
                <w:sz w:val="20"/>
              </w:rPr>
            </w:r>
            <w:r>
              <w:rPr>
                <w:rFonts w:ascii="Arial" w:hAnsi="Arial"/>
                <w:b/>
                <w:sz w:val="20"/>
              </w:rPr>
              <w:t>16.5</w:t>
            </w:r>
          </w:p>
        </w:tc>
        <w:tc>
          <w:tcPr>
            <w:tcW w:type="dxa" w:w="1176"/>
          </w:tcPr>
          <w:p>
            <w:r>
              <w:rPr>
                <w:rFonts w:ascii="Arial" w:hAnsi="Arial"/>
                <w:sz w:val="20"/>
              </w:rPr>
            </w:r>
            <w:r>
              <w:rPr>
                <w:rFonts w:ascii="Arial" w:hAnsi="Arial"/>
                <w:b/>
                <w:sz w:val="20"/>
              </w:rPr>
              <w:t>3.0</w:t>
            </w:r>
          </w:p>
        </w:tc>
        <w:tc>
          <w:tcPr>
            <w:tcW w:type="dxa" w:w="1176"/>
          </w:tcPr>
          <w:p>
            <w:r>
              <w:rPr>
                <w:rFonts w:ascii="Arial" w:hAnsi="Arial"/>
                <w:sz w:val="20"/>
              </w:rPr>
            </w:r>
            <w:r>
              <w:rPr>
                <w:rFonts w:ascii="Arial" w:hAnsi="Arial"/>
                <w:b/>
                <w:sz w:val="20"/>
              </w:rPr>
              <w:t>7.5</w:t>
            </w:r>
          </w:p>
        </w:tc>
        <w:tc>
          <w:tcPr>
            <w:tcW w:type="dxa" w:w="1176"/>
          </w:tcPr>
          <w:p>
            <w:r>
              <w:rPr>
                <w:rFonts w:ascii="Arial" w:hAnsi="Arial"/>
                <w:sz w:val="20"/>
              </w:rPr>
            </w:r>
            <w:r>
              <w:rPr>
                <w:rFonts w:ascii="Arial" w:hAnsi="Arial"/>
                <w:b/>
                <w:sz w:val="20"/>
              </w:rPr>
              <w:t>6.3</w:t>
            </w:r>
          </w:p>
        </w:tc>
        <w:tc>
          <w:tcPr>
            <w:tcW w:type="dxa" w:w="1176"/>
          </w:tcPr>
          <w:p>
            <w:r>
              <w:rPr>
                <w:rFonts w:ascii="Arial" w:hAnsi="Arial"/>
                <w:sz w:val="20"/>
              </w:rPr>
            </w:r>
            <w:r>
              <w:rPr>
                <w:rFonts w:ascii="Arial" w:hAnsi="Arial"/>
                <w:b/>
                <w:sz w:val="20"/>
              </w:rPr>
              <w:t>107.8</w:t>
            </w:r>
          </w:p>
        </w:tc>
      </w:tr>
      <w:tr>
        <w:tc>
          <w:tcPr>
            <w:tcW w:type="dxa" w:w="1176"/>
          </w:tcPr>
          <w:p>
            <w:r>
              <w:rPr>
                <w:rFonts w:ascii="Arial" w:hAnsi="Arial"/>
                <w:sz w:val="20"/>
              </w:rPr>
            </w:r>
            <w:r>
              <w:rPr>
                <w:rFonts w:ascii="Arial" w:hAnsi="Arial"/>
                <w:sz w:val="20"/>
              </w:rPr>
              <w:t>high</w:t>
            </w:r>
          </w:p>
        </w:tc>
        <w:tc>
          <w:tcPr>
            <w:tcW w:type="dxa" w:w="1176"/>
          </w:tcPr>
          <w:p>
            <w:r>
              <w:rPr>
                <w:rFonts w:ascii="Arial" w:hAnsi="Arial"/>
                <w:sz w:val="20"/>
              </w:rPr>
            </w:r>
            <w:r>
              <w:rPr>
                <w:rFonts w:ascii="Arial" w:hAnsi="Arial"/>
                <w:sz w:val="20"/>
              </w:rPr>
              <w:t>10 500</w:t>
            </w:r>
          </w:p>
        </w:tc>
        <w:tc>
          <w:tcPr>
            <w:tcW w:type="dxa" w:w="1176"/>
          </w:tcPr>
          <w:p>
            <w:r>
              <w:rPr>
                <w:rFonts w:ascii="Arial" w:hAnsi="Arial"/>
                <w:sz w:val="20"/>
              </w:rPr>
            </w:r>
            <w:r>
              <w:rPr>
                <w:rFonts w:ascii="Arial" w:hAnsi="Arial"/>
                <w:sz w:val="20"/>
              </w:rPr>
              <w:t>108.6</w:t>
            </w:r>
          </w:p>
        </w:tc>
        <w:tc>
          <w:tcPr>
            <w:tcW w:type="dxa" w:w="1176"/>
          </w:tcPr>
          <w:p>
            <w:r>
              <w:rPr>
                <w:rFonts w:ascii="Arial" w:hAnsi="Arial"/>
                <w:sz w:val="20"/>
              </w:rPr>
            </w:r>
            <w:r>
              <w:rPr>
                <w:rFonts w:ascii="Arial" w:hAnsi="Arial"/>
                <w:sz w:val="20"/>
              </w:rPr>
              <w:t>16.5</w:t>
            </w:r>
          </w:p>
        </w:tc>
        <w:tc>
          <w:tcPr>
            <w:tcW w:type="dxa" w:w="1176"/>
          </w:tcPr>
          <w:p>
            <w:r>
              <w:rPr>
                <w:rFonts w:ascii="Arial" w:hAnsi="Arial"/>
                <w:sz w:val="20"/>
              </w:rPr>
            </w:r>
            <w:r>
              <w:rPr>
                <w:rFonts w:ascii="Arial" w:hAnsi="Arial"/>
                <w:sz w:val="20"/>
              </w:rPr>
              <w:t>3.0</w:t>
            </w:r>
          </w:p>
        </w:tc>
        <w:tc>
          <w:tcPr>
            <w:tcW w:type="dxa" w:w="1176"/>
          </w:tcPr>
          <w:p>
            <w:r>
              <w:rPr>
                <w:rFonts w:ascii="Arial" w:hAnsi="Arial"/>
                <w:sz w:val="20"/>
              </w:rPr>
            </w:r>
            <w:r>
              <w:rPr>
                <w:rFonts w:ascii="Arial" w:hAnsi="Arial"/>
                <w:sz w:val="20"/>
              </w:rPr>
              <w:t>7.5</w:t>
            </w:r>
          </w:p>
        </w:tc>
        <w:tc>
          <w:tcPr>
            <w:tcW w:type="dxa" w:w="1176"/>
          </w:tcPr>
          <w:p>
            <w:r>
              <w:rPr>
                <w:rFonts w:ascii="Arial" w:hAnsi="Arial"/>
                <w:sz w:val="20"/>
              </w:rPr>
            </w:r>
            <w:r>
              <w:rPr>
                <w:rFonts w:ascii="Arial" w:hAnsi="Arial"/>
                <w:sz w:val="20"/>
              </w:rPr>
              <w:t>6.3</w:t>
            </w:r>
          </w:p>
        </w:tc>
        <w:tc>
          <w:tcPr>
            <w:tcW w:type="dxa" w:w="1176"/>
          </w:tcPr>
          <w:p>
            <w:r>
              <w:rPr>
                <w:rFonts w:ascii="Arial" w:hAnsi="Arial"/>
                <w:sz w:val="20"/>
              </w:rPr>
            </w:r>
            <w:r>
              <w:rPr>
                <w:rFonts w:ascii="Arial" w:hAnsi="Arial"/>
                <w:b/>
                <w:sz w:val="20"/>
              </w:rPr>
              <w:t>141.9</w:t>
            </w:r>
          </w:p>
        </w:tc>
      </w:tr>
    </w:tbl>
    <w:p/>
    <w:p>
      <w:pPr>
        <w:jc w:val="both"/>
      </w:pPr>
      <w:r>
        <w:rPr>
          <w:rFonts w:ascii="Arial" w:hAnsi="Arial"/>
        </w:rPr>
        <w:t xml:space="preserve">The </w:t>
      </w:r>
      <w:r>
        <w:rPr>
          <w:rFonts w:ascii="Arial" w:hAnsi="Arial"/>
          <w:b/>
        </w:rPr>
        <w:t>mid-case LCOE is ≈ 108 $/MWh</w:t>
      </w:r>
      <w:r>
        <w:rPr>
          <w:rFonts w:ascii="Arial" w:hAnsi="Arial"/>
        </w:rPr>
        <w:t xml:space="preserve">, of which </w:t>
      </w:r>
      <w:r>
        <w:rPr>
          <w:rFonts w:ascii="Arial" w:hAnsi="Arial"/>
          <w:b/>
        </w:rPr>
        <w:t>capital is ~69 %</w:t>
      </w:r>
      <w:r>
        <w:rPr>
          <w:rFonts w:ascii="Arial" w:hAnsi="Arial"/>
        </w:rPr>
        <w:t>. Two conclusions follow directly:</w:t>
      </w:r>
    </w:p>
    <w:p>
      <w:pPr>
        <w:pStyle w:val="ListNumber"/>
        <w:jc w:val="both"/>
      </w:pPr>
      <w:r>
        <w:rPr>
          <w:rFonts w:ascii="Arial" w:hAnsi="Arial"/>
          <w:b/>
        </w:rPr>
        <w:t>LCOE is capital-dominated.</w:t>
      </w:r>
      <w:r>
        <w:rPr>
          <w:rFonts w:ascii="Arial" w:hAnsi="Arial"/>
        </w:rPr>
        <w:t xml:space="preserve"> Fuel (7 %) and O&amp;M (18 %) are secondary; the result is driven almost entirely by OCC and the discount rate. The honest uncertainty band (85 → 142 $/MWh) is set by the ±FOAK CAPEX spread, not by operating cost.</w:t>
      </w:r>
    </w:p>
    <w:p>
      <w:pPr>
        <w:pStyle w:val="ListNumber"/>
        <w:jc w:val="both"/>
      </w:pPr>
      <w:r>
        <w:rPr>
          <w:rFonts w:ascii="Arial" w:hAnsi="Arial"/>
          <w:b/>
        </w:rPr>
        <w:t>The design levers that matter are the capital ones</w:t>
      </w:r>
      <w:r>
        <w:rPr>
          <w:rFonts w:ascii="Arial" w:hAnsi="Arial"/>
        </w:rPr>
        <w:t xml:space="preserve"> — capacity factor, construction schedule and OCC. The SBF / natural-circulation simplification helps here (fewer safety-grade pumps and no boron-recovery plant lower both OCC and O&amp;M), and a high CF from the long SBF cycle directly dilutes the fixed charges.</w:t>
      </w:r>
    </w:p>
    <w:p>
      <w:pPr>
        <w:jc w:val="both"/>
      </w:pPr>
      <w:r>
        <w:rPr>
          <w:rFonts w:ascii="Arial" w:hAnsi="Arial"/>
        </w:rPr>
        <w:t xml:space="preserve">This places Aegis-40 in the expected FOAK-SMR range (typically 90–150 $/MWh in the open literature) — uncompetitive with GW-class nuclear on $/MWh alone, but that is the wrong comparison: the SMR value proposition (§7 broader impacts) is </w:t>
      </w:r>
      <w:r>
        <w:rPr>
          <w:rFonts w:ascii="Arial" w:hAnsi="Arial"/>
          <w:b/>
        </w:rPr>
        <w:t>dispatchable cogeneration</w:t>
      </w:r>
      <w:r>
        <w:rPr>
          <w:rFonts w:ascii="Arial" w:hAnsi="Arial"/>
        </w:rPr>
        <w:t xml:space="preserve"> (electricity + the §8.9 district-heat / H₂ revenue streams), </w:t>
      </w:r>
      <w:r>
        <w:rPr>
          <w:rFonts w:ascii="Arial" w:hAnsi="Arial"/>
          <w:b/>
        </w:rPr>
        <w:t>grid-independent siting</w:t>
      </w:r>
      <w:r>
        <w:rPr>
          <w:rFonts w:ascii="Arial" w:hAnsi="Arial"/>
        </w:rPr>
        <w:t xml:space="preserve">, and </w:t>
      </w:r>
      <w:r>
        <w:rPr>
          <w:rFonts w:ascii="Arial" w:hAnsi="Arial"/>
          <w:b/>
        </w:rPr>
        <w:t>low absolute capital-at-risk</w:t>
      </w:r>
      <w:r>
        <w:rPr>
          <w:rFonts w:ascii="Arial" w:hAnsi="Arial"/>
        </w:rPr>
        <w:t>, none of which a single-product LCOE captures.</w:t>
      </w:r>
    </w:p>
    <w:p>
      <w:pPr>
        <w:spacing w:before="200" w:after="80"/>
      </w:pPr>
      <w:r>
        <w:rPr>
          <w:rFonts w:ascii="Arial Black" w:hAnsi="Arial Black"/>
          <w:b/>
          <w:color w:val="1F4E79"/>
          <w:sz w:val="25"/>
        </w:rPr>
        <w:t>8.12.5 Open items (⚠CONFIRM)</w:t>
      </w:r>
    </w:p>
    <w:p>
      <w:pPr>
        <w:pStyle w:val="ListNumber"/>
        <w:jc w:val="both"/>
      </w:pPr>
      <w:r>
        <w:rPr>
          <w:rFonts w:ascii="Arial" w:hAnsi="Arial"/>
          <w:b/>
        </w:rPr>
        <w:t>OCC anchor</w:t>
      </w:r>
      <w:r>
        <w:rPr>
          <w:rFonts w:ascii="Arial" w:hAnsi="Arial"/>
        </w:rPr>
        <w:t xml:space="preserve"> — replace the literature triangular with a bottom-up account once the §8.10 layout and major-equipment list are fixed.</w:t>
      </w:r>
    </w:p>
    <w:p>
      <w:pPr>
        <w:pStyle w:val="ListNumber"/>
        <w:jc w:val="both"/>
      </w:pPr>
      <w:r>
        <w:rPr>
          <w:rFonts w:ascii="Arial" w:hAnsi="Arial"/>
          <w:b/>
        </w:rPr>
        <w:t>LFCC stage table</w:t>
      </w:r>
      <w:r>
        <w:rPr>
          <w:rFonts w:ascii="Arial" w:hAnsi="Arial"/>
        </w:rPr>
        <w:t xml:space="preserve"> — populate </w:t>
      </w:r>
      <w:r>
        <w:rPr>
          <w:rFonts w:ascii="Consolas" w:hAnsi="Consolas"/>
          <w:sz w:val="21"/>
        </w:rPr>
        <w:t>fuel_cycle.py</w:t>
      </w:r>
      <w:r>
        <w:rPr>
          <w:rFonts w:ascii="Arial" w:hAnsi="Arial"/>
        </w:rPr>
        <w:t xml:space="preserve"> with the per-cycle enrichment/SWU, fabrication and disposal-levy unit costs from §8.2/§8.11.</w:t>
      </w:r>
    </w:p>
    <w:p>
      <w:pPr>
        <w:pStyle w:val="ListNumber"/>
        <w:jc w:val="both"/>
      </w:pPr>
      <w:r>
        <w:rPr>
          <w:rFonts w:ascii="Arial" w:hAnsi="Arial"/>
          <w:b/>
        </w:rPr>
        <w:t>Cogeneration credit</w:t>
      </w:r>
      <w:r>
        <w:rPr>
          <w:rFonts w:ascii="Arial" w:hAnsi="Arial"/>
        </w:rPr>
        <w:t xml:space="preserve"> — add the district-heat and H₂ revenue offset (§8.9) as an effective-LCOE reduction once those duty factors are set.</w:t>
      </w:r>
    </w:p>
    <w:p>
      <w:pPr>
        <w:pStyle w:val="ListNumber"/>
        <w:jc w:val="both"/>
      </w:pPr>
      <w:r>
        <w:rPr>
          <w:rFonts w:ascii="Arial" w:hAnsi="Arial"/>
          <w:b/>
        </w:rPr>
        <w:t>Discount-rate sensitivity</w:t>
      </w:r>
      <w:r>
        <w:rPr>
          <w:rFonts w:ascii="Arial" w:hAnsi="Arial"/>
        </w:rPr>
        <w:t xml:space="preserve"> — add r = 5 % / 10 % rows for the final FER.</w:t>
      </w:r>
    </w:p>
    <w:p>
      <w:pPr>
        <w:spacing w:before="200" w:after="80"/>
      </w:pPr>
      <w:r>
        <w:rPr>
          <w:rFonts w:ascii="Arial Black" w:hAnsi="Arial Black"/>
          <w:b/>
          <w:color w:val="1F4E79"/>
          <w:sz w:val="28"/>
        </w:rPr>
        <w:t>References (§8.12)</w:t>
      </w:r>
    </w:p>
    <w:p>
      <w:pPr>
        <w:pStyle w:val="ListBullet"/>
        <w:jc w:val="both"/>
      </w:pPr>
      <w:r>
        <w:rPr>
          <w:rFonts w:ascii="Arial" w:hAnsi="Arial"/>
        </w:rPr>
        <w:t>OECD-NEA, *The Economics of the Nuclear Fuel Cycle*, OECD, Paris (1994).</w:t>
      </w:r>
    </w:p>
    <w:p>
      <w:pPr>
        <w:pStyle w:val="ListBullet"/>
        <w:jc w:val="both"/>
      </w:pPr>
      <w:r>
        <w:rPr>
          <w:rFonts w:ascii="Arial" w:hAnsi="Arial"/>
        </w:rPr>
        <w:t xml:space="preserve">S.F. Ashley et al., "Fuel cycle modelling of open cycle thorium-fuelled nuclear energy systems," *Ann. Nucl. Energy* </w:t>
      </w:r>
      <w:r>
        <w:rPr>
          <w:rFonts w:ascii="Arial" w:hAnsi="Arial"/>
          <w:b/>
        </w:rPr>
        <w:t>69</w:t>
      </w:r>
      <w:r>
        <w:rPr>
          <w:rFonts w:ascii="Arial" w:hAnsi="Arial"/>
        </w:rPr>
        <w:t xml:space="preserve"> (2014) 314–330 — levelised-cost methodology adopted here.</w:t>
      </w:r>
    </w:p>
    <w:p>
      <w:pPr>
        <w:pStyle w:val="ListBullet"/>
        <w:jc w:val="both"/>
      </w:pPr>
      <w:r>
        <w:rPr>
          <w:rFonts w:ascii="Arial" w:hAnsi="Arial"/>
        </w:rPr>
        <w:t>IAEA, *Approaches to Assess Competitiveness of Small Modular Reactors*, IAEA-TECDOC (2018).</w:t>
      </w:r>
    </w:p>
    <w:p>
      <w:pPr>
        <w:pStyle w:val="ListBullet"/>
        <w:jc w:val="both"/>
      </w:pPr>
      <w:r>
        <w:rPr>
          <w:rFonts w:ascii="Arial" w:hAnsi="Arial"/>
        </w:rPr>
        <w:t>IEA/NEA, *Projected Costs of Generating Electricity* (2020) — discount-rate and CF conventions.</w:t>
      </w:r>
    </w:p>
    <w:p>
      <w:r>
        <w:br w:type="page"/>
      </w:r>
    </w:p>
    <w:p>
      <w:pPr>
        <w:spacing w:before="200" w:after="80"/>
      </w:pPr>
      <w:r>
        <w:rPr>
          <w:rFonts w:ascii="Arial Black" w:hAnsi="Arial Black"/>
          <w:b/>
          <w:color w:val="1F4E79"/>
          <w:sz w:val="28"/>
        </w:rPr>
        <w:t>Non-proliferation assessment (3S)</w:t>
      </w:r>
    </w:p>
    <w:p>
      <w:pPr>
        <w:spacing w:before="40"/>
        <w:ind w:left="340"/>
      </w:pPr>
      <w:r>
        <w:rPr>
          <w:rFonts w:ascii="Arial" w:hAnsi="Arial"/>
          <w:i/>
          <w:color w:val="555555"/>
          <w:sz w:val="21"/>
        </w:rPr>
        <w:t xml:space="preserve">▸ </w:t>
      </w:r>
      <w:r>
        <w:rPr>
          <w:rFonts w:ascii="Arial" w:hAnsi="Arial"/>
          <w:b/>
          <w:i/>
          <w:color w:val="555555"/>
          <w:sz w:val="21"/>
        </w:rPr>
        <w:t>Placement:</w:t>
      </w:r>
      <w:r>
        <w:rPr>
          <w:rFonts w:ascii="Arial" w:hAnsi="Arial"/>
          <w:i/>
          <w:color w:val="555555"/>
          <w:sz w:val="21"/>
        </w:rPr>
        <w:t xml:space="preserve"> slots into §7 (broader impacts — Safety/Security/Safeguards) and is cross-referenced from §8.11 (back-end). Owner: [3S], data from NEU. Data: </w:t>
      </w:r>
      <w:r>
        <w:rPr>
          <w:rFonts w:ascii="Consolas" w:hAnsi="Consolas"/>
          <w:i/>
          <w:color w:val="555555"/>
          <w:sz w:val="21"/>
        </w:rPr>
        <w:t>docs/competition/safeguards/safeguards_attractiveness.md</w:t>
      </w:r>
      <w:r>
        <w:rPr>
          <w:rFonts w:ascii="Arial" w:hAnsi="Arial"/>
          <w:i/>
          <w:color w:val="555555"/>
          <w:sz w:val="21"/>
        </w:rPr>
        <w:t xml:space="preserve"> + </w:t>
      </w:r>
      <w:r>
        <w:rPr>
          <w:rFonts w:ascii="Consolas" w:hAnsi="Consolas"/>
          <w:i/>
          <w:color w:val="555555"/>
          <w:sz w:val="21"/>
        </w:rPr>
        <w:t>docs/competition/waste/discharge_inventory.csv</w:t>
      </w:r>
      <w:r>
        <w:rPr>
          <w:rFonts w:ascii="Arial" w:hAnsi="Arial"/>
          <w:i/>
          <w:color w:val="555555"/>
          <w:sz w:val="21"/>
        </w:rPr>
        <w:t xml:space="preserve"> (whole-core discharge, 42.8 GWd/tHM, OpenMC depletion). Method follows the NNL proliferation-resistance scoring as applied by Ashley et al. (2014, *Ann. Nucl. Energy* 69, 314), itself built on the Generation-IV PR&amp;PP framework (GIF 2006) and the IAEA significant-quantity definitions.</w:t>
      </w:r>
    </w:p>
    <w:p>
      <w:pPr>
        <w:jc w:val="both"/>
      </w:pPr>
      <w:r>
        <w:rPr>
          <w:rFonts w:ascii="Arial" w:hAnsi="Arial"/>
        </w:rPr>
        <w:t xml:space="preserve">A proliferation-resistance assessment is a </w:t>
      </w:r>
      <w:r>
        <w:rPr>
          <w:rFonts w:ascii="Arial" w:hAnsi="Arial"/>
          <w:b/>
        </w:rPr>
        <w:t>qualitative judgement of quantitative data</w:t>
      </w:r>
      <w:r>
        <w:rPr>
          <w:rFonts w:ascii="Arial" w:hAnsi="Arial"/>
        </w:rPr>
        <w:t xml:space="preserve"> (Ashley et al. 2014). We adopt the NNL resistance score</w:t>
      </w:r>
    </w:p>
    <w:p>
      <w:pPr>
        <w:jc w:val="both"/>
      </w:pPr>
      <w:r>
        <w:rPr>
          <w:rFonts w:ascii="Consolas" w:hAnsi="Consolas"/>
          <w:sz w:val="21"/>
        </w:rPr>
        <w:t>`</w:t>
      </w:r>
      <w:r>
        <w:rPr>
          <w:rFonts w:ascii="Arial" w:hAnsi="Arial"/>
        </w:rPr>
        <w:t xml:space="preserve"> U(x) = − log [ V(x) · A(x) ]            (higher U  →  more proliferation-resistant) </w:t>
      </w:r>
      <w:r>
        <w:rPr>
          <w:rFonts w:ascii="Consolas" w:hAnsi="Consolas"/>
          <w:sz w:val="21"/>
        </w:rPr>
        <w:t>`</w:t>
      </w:r>
    </w:p>
    <w:p>
      <w:pPr>
        <w:jc w:val="both"/>
      </w:pPr>
      <w:r>
        <w:rPr>
          <w:rFonts w:ascii="Arial" w:hAnsi="Arial"/>
        </w:rPr>
        <w:t xml:space="preserve">where the </w:t>
      </w:r>
      <w:r>
        <w:rPr>
          <w:rFonts w:ascii="Arial" w:hAnsi="Arial"/>
          <w:b/>
        </w:rPr>
        <w:t>value function</w:t>
      </w:r>
      <w:r>
        <w:rPr>
          <w:rFonts w:ascii="Arial" w:hAnsi="Arial"/>
        </w:rPr>
        <w:t xml:space="preserve"> V(x) is the significant quantities (SQ) of special nuclear material discharged per unit energy, and the </w:t>
      </w:r>
      <w:r>
        <w:rPr>
          <w:rFonts w:ascii="Arial" w:hAnsi="Arial"/>
          <w:b/>
        </w:rPr>
        <w:t>access function</w:t>
      </w:r>
      <w:r>
        <w:rPr>
          <w:rFonts w:ascii="Arial" w:hAnsi="Arial"/>
        </w:rPr>
        <w:t xml:space="preserve"> A(x) discounts that value by the accessibility barriers an adversary must overcome. The two are developed below for the Aegis-40 once-through discharge.</w:t>
      </w:r>
    </w:p>
    <w:p>
      <w:pPr>
        <w:spacing w:before="200" w:after="80"/>
      </w:pPr>
      <w:r>
        <w:rPr>
          <w:rFonts w:ascii="Arial Black" w:hAnsi="Arial Black"/>
          <w:b/>
          <w:color w:val="1F4E79"/>
          <w:sz w:val="28"/>
        </w:rPr>
        <w:t>1. Value function — significant quantities discharged</w:t>
      </w:r>
    </w:p>
    <w:p>
      <w:pPr>
        <w:jc w:val="both"/>
      </w:pPr>
      <w:r>
        <w:rPr>
          <w:rFonts w:ascii="Arial" w:hAnsi="Arial"/>
        </w:rPr>
        <w:t>The discharged plutonium vector (whole 21-FA core, 42.8 GWd/tHM) and its SQ accounting (1 SQ Pu = 8 kg, IAEA):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Isotope</w:t>
            </w:r>
          </w:p>
        </w:tc>
        <w:tc>
          <w:tcPr>
            <w:tcW w:type="dxa" w:w="3135"/>
            <w:shd w:val="clear" w:fill="DDE3EA"/>
          </w:tcPr>
          <w:p>
            <w:r>
              <w:rPr>
                <w:rFonts w:ascii="Arial" w:hAnsi="Arial"/>
                <w:b/>
                <w:sz w:val="20"/>
              </w:rPr>
            </w:r>
            <w:r>
              <w:rPr>
                <w:rFonts w:ascii="Arial" w:hAnsi="Arial"/>
                <w:b/>
                <w:sz w:val="20"/>
              </w:rPr>
              <w:t>grams</w:t>
            </w:r>
          </w:p>
        </w:tc>
        <w:tc>
          <w:tcPr>
            <w:tcW w:type="dxa" w:w="3135"/>
            <w:shd w:val="clear" w:fill="DDE3EA"/>
          </w:tcPr>
          <w:p>
            <w:r>
              <w:rPr>
                <w:rFonts w:ascii="Arial" w:hAnsi="Arial"/>
                <w:b/>
                <w:sz w:val="20"/>
              </w:rPr>
            </w:r>
            <w:r>
              <w:rPr>
                <w:rFonts w:ascii="Arial" w:hAnsi="Arial"/>
                <w:b/>
                <w:sz w:val="20"/>
              </w:rPr>
              <w:t>wt % of Pu</w:t>
            </w:r>
          </w:p>
        </w:tc>
      </w:tr>
      <w:tr>
        <w:tc>
          <w:tcPr>
            <w:tcW w:type="dxa" w:w="3135"/>
          </w:tcPr>
          <w:p>
            <w:r>
              <w:rPr>
                <w:rFonts w:ascii="Arial" w:hAnsi="Arial"/>
                <w:sz w:val="20"/>
              </w:rPr>
            </w:r>
            <w:r>
              <w:rPr>
                <w:rFonts w:ascii="Arial" w:hAnsi="Arial"/>
                <w:sz w:val="20"/>
              </w:rPr>
              <w:t>Pu-238</w:t>
            </w:r>
          </w:p>
        </w:tc>
        <w:tc>
          <w:tcPr>
            <w:tcW w:type="dxa" w:w="3135"/>
          </w:tcPr>
          <w:p>
            <w:r>
              <w:rPr>
                <w:rFonts w:ascii="Arial" w:hAnsi="Arial"/>
                <w:sz w:val="20"/>
              </w:rPr>
            </w:r>
            <w:r>
              <w:rPr>
                <w:rFonts w:ascii="Arial" w:hAnsi="Arial"/>
                <w:sz w:val="20"/>
              </w:rPr>
              <w:t>1 507</w:t>
            </w:r>
          </w:p>
        </w:tc>
        <w:tc>
          <w:tcPr>
            <w:tcW w:type="dxa" w:w="3135"/>
          </w:tcPr>
          <w:p>
            <w:r>
              <w:rPr>
                <w:rFonts w:ascii="Arial" w:hAnsi="Arial"/>
                <w:sz w:val="20"/>
              </w:rPr>
            </w:r>
            <w:r>
              <w:rPr>
                <w:rFonts w:ascii="Arial" w:hAnsi="Arial"/>
                <w:sz w:val="20"/>
              </w:rPr>
              <w:t>2.72</w:t>
            </w:r>
          </w:p>
        </w:tc>
      </w:tr>
      <w:tr>
        <w:tc>
          <w:tcPr>
            <w:tcW w:type="dxa" w:w="3135"/>
          </w:tcPr>
          <w:p>
            <w:r>
              <w:rPr>
                <w:rFonts w:ascii="Arial" w:hAnsi="Arial"/>
                <w:sz w:val="20"/>
              </w:rPr>
            </w:r>
            <w:r>
              <w:rPr>
                <w:rFonts w:ascii="Arial" w:hAnsi="Arial"/>
                <w:sz w:val="20"/>
              </w:rPr>
              <w:t>Pu-239</w:t>
            </w:r>
          </w:p>
        </w:tc>
        <w:tc>
          <w:tcPr>
            <w:tcW w:type="dxa" w:w="3135"/>
          </w:tcPr>
          <w:p>
            <w:r>
              <w:rPr>
                <w:rFonts w:ascii="Arial" w:hAnsi="Arial"/>
                <w:sz w:val="20"/>
              </w:rPr>
            </w:r>
            <w:r>
              <w:rPr>
                <w:rFonts w:ascii="Arial" w:hAnsi="Arial"/>
                <w:sz w:val="20"/>
              </w:rPr>
              <w:t>28 935</w:t>
            </w:r>
          </w:p>
        </w:tc>
        <w:tc>
          <w:tcPr>
            <w:tcW w:type="dxa" w:w="3135"/>
          </w:tcPr>
          <w:p>
            <w:r>
              <w:rPr>
                <w:rFonts w:ascii="Arial" w:hAnsi="Arial"/>
                <w:sz w:val="20"/>
              </w:rPr>
            </w:r>
            <w:r>
              <w:rPr>
                <w:rFonts w:ascii="Arial" w:hAnsi="Arial"/>
                <w:sz w:val="20"/>
              </w:rPr>
              <w:t>52.29</w:t>
            </w:r>
          </w:p>
        </w:tc>
      </w:tr>
      <w:tr>
        <w:tc>
          <w:tcPr>
            <w:tcW w:type="dxa" w:w="3135"/>
          </w:tcPr>
          <w:p>
            <w:r>
              <w:rPr>
                <w:rFonts w:ascii="Arial" w:hAnsi="Arial"/>
                <w:sz w:val="20"/>
              </w:rPr>
            </w:r>
            <w:r>
              <w:rPr>
                <w:rFonts w:ascii="Arial" w:hAnsi="Arial"/>
                <w:sz w:val="20"/>
              </w:rPr>
              <w:t>Pu-240</w:t>
            </w:r>
          </w:p>
        </w:tc>
        <w:tc>
          <w:tcPr>
            <w:tcW w:type="dxa" w:w="3135"/>
          </w:tcPr>
          <w:p>
            <w:r>
              <w:rPr>
                <w:rFonts w:ascii="Arial" w:hAnsi="Arial"/>
                <w:sz w:val="20"/>
              </w:rPr>
            </w:r>
            <w:r>
              <w:rPr>
                <w:rFonts w:ascii="Arial" w:hAnsi="Arial"/>
                <w:sz w:val="20"/>
              </w:rPr>
              <w:t>13 623</w:t>
            </w:r>
          </w:p>
        </w:tc>
        <w:tc>
          <w:tcPr>
            <w:tcW w:type="dxa" w:w="3135"/>
          </w:tcPr>
          <w:p>
            <w:r>
              <w:rPr>
                <w:rFonts w:ascii="Arial" w:hAnsi="Arial"/>
                <w:sz w:val="20"/>
              </w:rPr>
            </w:r>
            <w:r>
              <w:rPr>
                <w:rFonts w:ascii="Arial" w:hAnsi="Arial"/>
                <w:sz w:val="20"/>
              </w:rPr>
              <w:t>24.62</w:t>
            </w:r>
          </w:p>
        </w:tc>
      </w:tr>
      <w:tr>
        <w:tc>
          <w:tcPr>
            <w:tcW w:type="dxa" w:w="3135"/>
          </w:tcPr>
          <w:p>
            <w:r>
              <w:rPr>
                <w:rFonts w:ascii="Arial" w:hAnsi="Arial"/>
                <w:sz w:val="20"/>
              </w:rPr>
            </w:r>
            <w:r>
              <w:rPr>
                <w:rFonts w:ascii="Arial" w:hAnsi="Arial"/>
                <w:sz w:val="20"/>
              </w:rPr>
              <w:t>Pu-241</w:t>
            </w:r>
          </w:p>
        </w:tc>
        <w:tc>
          <w:tcPr>
            <w:tcW w:type="dxa" w:w="3135"/>
          </w:tcPr>
          <w:p>
            <w:r>
              <w:rPr>
                <w:rFonts w:ascii="Arial" w:hAnsi="Arial"/>
                <w:sz w:val="20"/>
              </w:rPr>
            </w:r>
            <w:r>
              <w:rPr>
                <w:rFonts w:ascii="Arial" w:hAnsi="Arial"/>
                <w:sz w:val="20"/>
              </w:rPr>
              <w:t>7 697</w:t>
            </w:r>
          </w:p>
        </w:tc>
        <w:tc>
          <w:tcPr>
            <w:tcW w:type="dxa" w:w="3135"/>
          </w:tcPr>
          <w:p>
            <w:r>
              <w:rPr>
                <w:rFonts w:ascii="Arial" w:hAnsi="Arial"/>
                <w:sz w:val="20"/>
              </w:rPr>
            </w:r>
            <w:r>
              <w:rPr>
                <w:rFonts w:ascii="Arial" w:hAnsi="Arial"/>
                <w:sz w:val="20"/>
              </w:rPr>
              <w:t>13.91</w:t>
            </w:r>
          </w:p>
        </w:tc>
      </w:tr>
      <w:tr>
        <w:tc>
          <w:tcPr>
            <w:tcW w:type="dxa" w:w="3135"/>
          </w:tcPr>
          <w:p>
            <w:r>
              <w:rPr>
                <w:rFonts w:ascii="Arial" w:hAnsi="Arial"/>
                <w:sz w:val="20"/>
              </w:rPr>
            </w:r>
            <w:r>
              <w:rPr>
                <w:rFonts w:ascii="Arial" w:hAnsi="Arial"/>
                <w:sz w:val="20"/>
              </w:rPr>
              <w:t>Pu-242</w:t>
            </w:r>
          </w:p>
        </w:tc>
        <w:tc>
          <w:tcPr>
            <w:tcW w:type="dxa" w:w="3135"/>
          </w:tcPr>
          <w:p>
            <w:r>
              <w:rPr>
                <w:rFonts w:ascii="Arial" w:hAnsi="Arial"/>
                <w:sz w:val="20"/>
              </w:rPr>
            </w:r>
            <w:r>
              <w:rPr>
                <w:rFonts w:ascii="Arial" w:hAnsi="Arial"/>
                <w:sz w:val="20"/>
              </w:rPr>
              <w:t>3 571</w:t>
            </w:r>
          </w:p>
        </w:tc>
        <w:tc>
          <w:tcPr>
            <w:tcW w:type="dxa" w:w="3135"/>
          </w:tcPr>
          <w:p>
            <w:r>
              <w:rPr>
                <w:rFonts w:ascii="Arial" w:hAnsi="Arial"/>
                <w:sz w:val="20"/>
              </w:rPr>
            </w:r>
            <w:r>
              <w:rPr>
                <w:rFonts w:ascii="Arial" w:hAnsi="Arial"/>
                <w:sz w:val="20"/>
              </w:rPr>
              <w:t>6.45</w:t>
            </w:r>
          </w:p>
        </w:tc>
      </w:tr>
      <w:tr>
        <w:tc>
          <w:tcPr>
            <w:tcW w:type="dxa" w:w="3135"/>
          </w:tcPr>
          <w:p>
            <w:r>
              <w:rPr>
                <w:rFonts w:ascii="Arial" w:hAnsi="Arial"/>
                <w:sz w:val="20"/>
              </w:rPr>
            </w:r>
            <w:r>
              <w:rPr>
                <w:rFonts w:ascii="Arial" w:hAnsi="Arial"/>
                <w:b/>
                <w:sz w:val="20"/>
              </w:rPr>
              <w:t>Total Pu</w:t>
            </w:r>
          </w:p>
        </w:tc>
        <w:tc>
          <w:tcPr>
            <w:tcW w:type="dxa" w:w="3135"/>
          </w:tcPr>
          <w:p>
            <w:r>
              <w:rPr>
                <w:rFonts w:ascii="Arial" w:hAnsi="Arial"/>
                <w:sz w:val="20"/>
              </w:rPr>
            </w:r>
            <w:r>
              <w:rPr>
                <w:rFonts w:ascii="Arial" w:hAnsi="Arial"/>
                <w:b/>
                <w:sz w:val="20"/>
              </w:rPr>
              <w:t>55 334 (55.3 kg)</w:t>
            </w:r>
          </w:p>
        </w:tc>
        <w:tc>
          <w:tcPr>
            <w:tcW w:type="dxa" w:w="3135"/>
          </w:tcPr>
          <w:p>
            <w:r>
              <w:rPr>
                <w:rFonts w:ascii="Arial" w:hAnsi="Arial"/>
                <w:sz w:val="20"/>
              </w:rPr>
            </w:r>
            <w:r>
              <w:rPr>
                <w:rFonts w:ascii="Arial" w:hAnsi="Arial"/>
                <w:sz w:val="20"/>
              </w:rPr>
              <w:t>100.00</w:t>
            </w:r>
          </w:p>
        </w:tc>
      </w:tr>
    </w:tbl>
    <w:p/>
    <w:p>
      <w:pPr>
        <w:pStyle w:val="ListBullet"/>
        <w:jc w:val="both"/>
      </w:pPr>
      <w:r>
        <w:rPr>
          <w:rFonts w:ascii="Arial" w:hAnsi="Arial"/>
          <w:b/>
        </w:rPr>
        <w:t>Whole-core Pu = 55.3 kg = 6.9 SQ</w:t>
      </w:r>
      <w:r>
        <w:rPr>
          <w:rFonts w:ascii="Arial" w:hAnsi="Arial"/>
        </w:rPr>
        <w:t xml:space="preserve">; per reload batch (¼ core) = 13.8 kg = </w:t>
      </w:r>
      <w:r>
        <w:rPr>
          <w:rFonts w:ascii="Arial" w:hAnsi="Arial"/>
          <w:b/>
        </w:rPr>
        <w:t>1.7 SQ</w:t>
      </w:r>
      <w:r>
        <w:rPr>
          <w:rFonts w:ascii="Arial" w:hAnsi="Arial"/>
        </w:rPr>
        <w:t>.</w:t>
      </w:r>
    </w:p>
    <w:p>
      <w:pPr>
        <w:pStyle w:val="ListBullet"/>
        <w:jc w:val="both"/>
      </w:pPr>
      <w:r>
        <w:rPr>
          <w:rFonts w:ascii="Arial" w:hAnsi="Arial"/>
        </w:rPr>
        <w:t xml:space="preserve">Normalised to energy: </w:t>
      </w:r>
      <w:r>
        <w:rPr>
          <w:rFonts w:ascii="Arial" w:hAnsi="Arial"/>
          <w:b/>
        </w:rPr>
        <w:t>≈ 37 SQ-Pu / GWy(e)</w:t>
      </w:r>
      <w:r>
        <w:rPr>
          <w:rFonts w:ascii="Arial" w:hAnsi="Arial"/>
        </w:rPr>
        <w:t xml:space="preserve"> (11.7 SQ / GWy-th) — the same order as a conventional LWR once-through discharge (~25–31 SQ/GWy(e)). The value function is therefore</w:t>
      </w:r>
    </w:p>
    <w:p>
      <w:pPr>
        <w:jc w:val="both"/>
      </w:pPr>
      <w:r>
        <w:rPr>
          <w:rFonts w:ascii="Arial" w:hAnsi="Arial"/>
          <w:b/>
        </w:rPr>
        <w:t>not</w:t>
      </w:r>
      <w:r>
        <w:rPr>
          <w:rFonts w:ascii="Arial" w:hAnsi="Arial"/>
        </w:rPr>
        <w:t xml:space="preserve"> anomalously low; the resistance of this design lives in the access function, not in a small SNM inventory.</w:t>
      </w:r>
    </w:p>
    <w:p>
      <w:pPr>
        <w:pStyle w:val="ListBullet"/>
        <w:jc w:val="both"/>
      </w:pPr>
      <w:r>
        <w:rPr>
          <w:rFonts w:ascii="Arial" w:hAnsi="Arial"/>
        </w:rPr>
        <w:t xml:space="preserve">Spent uranium is </w:t>
      </w:r>
      <w:r>
        <w:rPr>
          <w:rFonts w:ascii="Arial" w:hAnsi="Arial"/>
          <w:b/>
        </w:rPr>
        <w:t>non-attractive</w:t>
      </w:r>
      <w:r>
        <w:rPr>
          <w:rFonts w:ascii="Arial" w:hAnsi="Arial"/>
        </w:rPr>
        <w:t xml:space="preserve">: U-235 at discharge is </w:t>
      </w:r>
      <w:r>
        <w:rPr>
          <w:rFonts w:ascii="Arial" w:hAnsi="Arial"/>
          <w:b/>
        </w:rPr>
        <w:t>1.10 wt %</w:t>
      </w:r>
      <w:r>
        <w:rPr>
          <w:rFonts w:ascii="Arial" w:hAnsi="Arial"/>
        </w:rPr>
        <w:t>, far below the 20 % LEU/HEU line — the recovered uranium is not a usable enrichment.</w:t>
      </w:r>
    </w:p>
    <w:p>
      <w:pPr>
        <w:pStyle w:val="ListBullet"/>
        <w:jc w:val="both"/>
      </w:pPr>
      <w:r>
        <w:rPr>
          <w:rFonts w:ascii="Arial" w:hAnsi="Arial"/>
        </w:rPr>
        <w:t>Minor actinides (Np-237 3.34 kg, Am-241 0.37 kg, Am-243 0.71 kg) are materials of safeguards interest but require reprocessing to separate — see access function.</w:t>
      </w:r>
    </w:p>
    <w:p>
      <w:pPr>
        <w:spacing w:before="200" w:after="80"/>
      </w:pPr>
      <w:r>
        <w:rPr>
          <w:rFonts w:ascii="Arial Black" w:hAnsi="Arial Black"/>
          <w:b/>
          <w:color w:val="1F4E79"/>
          <w:sz w:val="28"/>
        </w:rPr>
        <w:t>2. Access function — accessibility barriers</w:t>
      </w:r>
    </w:p>
    <w:p>
      <w:pPr>
        <w:jc w:val="both"/>
      </w:pPr>
      <w:r>
        <w:rPr>
          <w:rFonts w:ascii="Arial" w:hAnsi="Arial"/>
        </w:rPr>
        <w:t>The access function multiplies five PR&amp;PP barrier terms (GIF 2006), each scored on a Likert scale (higher score = stronger barrier; lower A = higher resistance):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DDE3EA"/>
          </w:tcPr>
          <w:p>
            <w:r>
              <w:rPr>
                <w:rFonts w:ascii="Arial" w:hAnsi="Arial"/>
                <w:b/>
                <w:sz w:val="20"/>
              </w:rPr>
            </w:r>
            <w:r>
              <w:rPr>
                <w:rFonts w:ascii="Arial" w:hAnsi="Arial"/>
                <w:b/>
                <w:sz w:val="20"/>
              </w:rPr>
              <w:t>Barrier</w:t>
            </w:r>
          </w:p>
        </w:tc>
        <w:tc>
          <w:tcPr>
            <w:tcW w:type="dxa" w:w="3135"/>
            <w:shd w:val="clear" w:fill="DDE3EA"/>
          </w:tcPr>
          <w:p>
            <w:r>
              <w:rPr>
                <w:rFonts w:ascii="Arial" w:hAnsi="Arial"/>
                <w:b/>
                <w:sz w:val="20"/>
              </w:rPr>
            </w:r>
            <w:r>
              <w:rPr>
                <w:rFonts w:ascii="Arial" w:hAnsi="Arial"/>
                <w:b/>
                <w:sz w:val="20"/>
              </w:rPr>
              <w:t>Aegis-40 condition</w:t>
            </w:r>
          </w:p>
        </w:tc>
        <w:tc>
          <w:tcPr>
            <w:tcW w:type="dxa" w:w="3135"/>
            <w:shd w:val="clear" w:fill="DDE3EA"/>
          </w:tcPr>
          <w:p>
            <w:r>
              <w:rPr>
                <w:rFonts w:ascii="Arial" w:hAnsi="Arial"/>
                <w:b/>
                <w:sz w:val="20"/>
              </w:rPr>
            </w:r>
            <w:r>
              <w:rPr>
                <w:rFonts w:ascii="Arial" w:hAnsi="Arial"/>
                <w:b/>
                <w:sz w:val="20"/>
              </w:rPr>
              <w:t>Assessment</w:t>
            </w:r>
          </w:p>
        </w:tc>
      </w:tr>
      <w:tr>
        <w:tc>
          <w:tcPr>
            <w:tcW w:type="dxa" w:w="3135"/>
          </w:tcPr>
          <w:p>
            <w:r>
              <w:rPr>
                <w:rFonts w:ascii="Arial" w:hAnsi="Arial"/>
                <w:sz w:val="20"/>
              </w:rPr>
            </w:r>
            <w:r>
              <w:rPr>
                <w:rFonts w:ascii="Arial" w:hAnsi="Arial"/>
                <w:b/>
                <w:sz w:val="20"/>
              </w:rPr>
              <w:t>Material type (MT)</w:t>
            </w:r>
          </w:p>
        </w:tc>
        <w:tc>
          <w:tcPr>
            <w:tcW w:type="dxa" w:w="3135"/>
          </w:tcPr>
          <w:p>
            <w:r>
              <w:rPr>
                <w:rFonts w:ascii="Arial" w:hAnsi="Arial"/>
                <w:sz w:val="20"/>
              </w:rPr>
            </w:r>
            <w:r>
              <w:rPr>
                <w:rFonts w:ascii="Arial" w:hAnsi="Arial"/>
                <w:sz w:val="20"/>
              </w:rPr>
              <w:t xml:space="preserve">Pu-240 = 24.6 wt %, fissile (Pu-239+241) = </w:t>
            </w:r>
            <w:r>
              <w:rPr>
                <w:rFonts w:ascii="Arial" w:hAnsi="Arial"/>
                <w:b/>
                <w:sz w:val="20"/>
              </w:rPr>
              <w:t>66.2 %</w:t>
            </w:r>
            <w:r>
              <w:rPr>
                <w:rFonts w:ascii="Arial" w:hAnsi="Arial"/>
                <w:sz w:val="20"/>
              </w:rPr>
              <w:t xml:space="preserve"> → </w:t>
            </w:r>
            <w:r>
              <w:rPr>
                <w:rFonts w:ascii="Arial" w:hAnsi="Arial"/>
                <w:b/>
                <w:sz w:val="20"/>
              </w:rPr>
              <w:t>reactor-grade</w:t>
            </w:r>
            <w:r>
              <w:rPr>
                <w:rFonts w:ascii="Arial" w:hAnsi="Arial"/>
                <w:sz w:val="20"/>
              </w:rPr>
              <w:t xml:space="preserve"> Pu (weapons-grade is ≥ 93 % fissile, &lt; 7 % Pu-240). High burnup *degrades* the vector relative to a 33 GWd/t LWR.</w:t>
            </w:r>
          </w:p>
        </w:tc>
        <w:tc>
          <w:tcPr>
            <w:tcW w:type="dxa" w:w="3135"/>
          </w:tcPr>
          <w:p>
            <w:r>
              <w:rPr>
                <w:rFonts w:ascii="Arial" w:hAnsi="Arial"/>
                <w:sz w:val="20"/>
              </w:rPr>
            </w:r>
            <w:r>
              <w:rPr>
                <w:rFonts w:ascii="Arial" w:hAnsi="Arial"/>
                <w:sz w:val="20"/>
              </w:rPr>
              <w:t xml:space="preserve">Modest intrinsic barrier — reactor-grade Pu remains weapons-usable in principle, so MT alone is </w:t>
            </w:r>
            <w:r>
              <w:rPr>
                <w:rFonts w:ascii="Arial" w:hAnsi="Arial"/>
                <w:b/>
                <w:sz w:val="20"/>
              </w:rPr>
              <w:t>not</w:t>
            </w:r>
            <w:r>
              <w:rPr>
                <w:rFonts w:ascii="Arial" w:hAnsi="Arial"/>
                <w:sz w:val="20"/>
              </w:rPr>
              <w:t xml:space="preserve"> decisive.</w:t>
            </w:r>
          </w:p>
        </w:tc>
      </w:tr>
      <w:tr>
        <w:tc>
          <w:tcPr>
            <w:tcW w:type="dxa" w:w="3135"/>
          </w:tcPr>
          <w:p>
            <w:r>
              <w:rPr>
                <w:rFonts w:ascii="Arial" w:hAnsi="Arial"/>
                <w:sz w:val="20"/>
              </w:rPr>
            </w:r>
            <w:r>
              <w:rPr>
                <w:rFonts w:ascii="Arial" w:hAnsi="Arial"/>
                <w:b/>
                <w:sz w:val="20"/>
              </w:rPr>
              <w:t>Detectability (TD)</w:t>
            </w:r>
          </w:p>
        </w:tc>
        <w:tc>
          <w:tcPr>
            <w:tcW w:type="dxa" w:w="3135"/>
          </w:tcPr>
          <w:p>
            <w:r>
              <w:rPr>
                <w:rFonts w:ascii="Arial" w:hAnsi="Arial"/>
                <w:sz w:val="20"/>
              </w:rPr>
            </w:r>
            <w:r>
              <w:rPr>
                <w:rFonts w:ascii="Arial" w:hAnsi="Arial"/>
                <w:sz w:val="20"/>
              </w:rPr>
              <w:t xml:space="preserve">Pu locked inside </w:t>
            </w:r>
            <w:r>
              <w:rPr>
                <w:rFonts w:ascii="Arial" w:hAnsi="Arial"/>
                <w:b/>
                <w:sz w:val="20"/>
              </w:rPr>
              <w:t>intact, intensely radioactive spent-fuel assemblies</w:t>
            </w:r>
            <w:r>
              <w:rPr>
                <w:rFonts w:ascii="Arial" w:hAnsi="Arial"/>
                <w:sz w:val="20"/>
              </w:rPr>
              <w:t>; whole-assembly dose ≫ the 1 Gy/h self-protecting threshold.</w:t>
            </w:r>
          </w:p>
        </w:tc>
        <w:tc>
          <w:tcPr>
            <w:tcW w:type="dxa" w:w="3135"/>
          </w:tcPr>
          <w:p>
            <w:r>
              <w:rPr>
                <w:rFonts w:ascii="Arial" w:hAnsi="Arial"/>
                <w:sz w:val="20"/>
              </w:rPr>
            </w:r>
            <w:r>
              <w:rPr>
                <w:rFonts w:ascii="Arial" w:hAnsi="Arial"/>
                <w:sz w:val="20"/>
              </w:rPr>
              <w:t>Strong — diversion of an assembly is readily detectable.</w:t>
            </w:r>
          </w:p>
        </w:tc>
      </w:tr>
      <w:tr>
        <w:tc>
          <w:tcPr>
            <w:tcW w:type="dxa" w:w="3135"/>
          </w:tcPr>
          <w:p>
            <w:r>
              <w:rPr>
                <w:rFonts w:ascii="Arial" w:hAnsi="Arial"/>
                <w:sz w:val="20"/>
              </w:rPr>
            </w:r>
            <w:r>
              <w:rPr>
                <w:rFonts w:ascii="Arial" w:hAnsi="Arial"/>
                <w:b/>
                <w:sz w:val="20"/>
              </w:rPr>
              <w:t>Process / concealment cost (PC)</w:t>
            </w:r>
          </w:p>
        </w:tc>
        <w:tc>
          <w:tcPr>
            <w:tcW w:type="dxa" w:w="3135"/>
          </w:tcPr>
          <w:p>
            <w:r>
              <w:rPr>
                <w:rFonts w:ascii="Arial" w:hAnsi="Arial"/>
                <w:sz w:val="20"/>
              </w:rPr>
            </w:r>
            <w:r>
              <w:rPr>
                <w:rFonts w:ascii="Arial" w:hAnsi="Arial"/>
                <w:sz w:val="20"/>
              </w:rPr>
              <w:t xml:space="preserve">Recovery requires </w:t>
            </w:r>
            <w:r>
              <w:rPr>
                <w:rFonts w:ascii="Arial" w:hAnsi="Arial"/>
                <w:b/>
                <w:sz w:val="20"/>
              </w:rPr>
              <w:t>reprocessing</w:t>
            </w:r>
            <w:r>
              <w:rPr>
                <w:rFonts w:ascii="Arial" w:hAnsi="Arial"/>
                <w:sz w:val="20"/>
              </w:rPr>
              <w:t xml:space="preserve">; the plant has </w:t>
            </w:r>
            <w:r>
              <w:rPr>
                <w:rFonts w:ascii="Arial" w:hAnsi="Arial"/>
                <w:b/>
                <w:sz w:val="20"/>
              </w:rPr>
              <w:t>no reprocessing and no separated-fissile stream</w:t>
            </w:r>
            <w:r>
              <w:rPr>
                <w:rFonts w:ascii="Arial" w:hAnsi="Arial"/>
                <w:sz w:val="20"/>
              </w:rPr>
              <w:t xml:space="preserve"> (once-through).</w:t>
            </w:r>
          </w:p>
        </w:tc>
        <w:tc>
          <w:tcPr>
            <w:tcW w:type="dxa" w:w="3135"/>
          </w:tcPr>
          <w:p>
            <w:r>
              <w:rPr>
                <w:rFonts w:ascii="Arial" w:hAnsi="Arial"/>
                <w:sz w:val="20"/>
              </w:rPr>
            </w:r>
            <w:r>
              <w:rPr>
                <w:rFonts w:ascii="Arial" w:hAnsi="Arial"/>
                <w:sz w:val="20"/>
              </w:rPr>
              <w:t>Strong — there is nothing to divert without building a reprocessing capability.</w:t>
            </w:r>
          </w:p>
        </w:tc>
      </w:tr>
      <w:tr>
        <w:tc>
          <w:tcPr>
            <w:tcW w:type="dxa" w:w="3135"/>
          </w:tcPr>
          <w:p>
            <w:r>
              <w:rPr>
                <w:rFonts w:ascii="Arial" w:hAnsi="Arial"/>
                <w:sz w:val="20"/>
              </w:rPr>
            </w:r>
            <w:r>
              <w:rPr>
                <w:rFonts w:ascii="Arial" w:hAnsi="Arial"/>
                <w:b/>
                <w:sz w:val="20"/>
              </w:rPr>
              <w:t>Proliferation time (PT)</w:t>
            </w:r>
          </w:p>
        </w:tc>
        <w:tc>
          <w:tcPr>
            <w:tcW w:type="dxa" w:w="3135"/>
          </w:tcPr>
          <w:p>
            <w:r>
              <w:rPr>
                <w:rFonts w:ascii="Arial" w:hAnsi="Arial"/>
                <w:sz w:val="20"/>
              </w:rPr>
            </w:r>
            <w:r>
              <w:rPr>
                <w:rFonts w:ascii="Arial" w:hAnsi="Arial"/>
                <w:sz w:val="20"/>
              </w:rPr>
              <w:t xml:space="preserve">Self-protecting decay heat </w:t>
            </w:r>
            <w:r>
              <w:rPr>
                <w:rFonts w:ascii="Arial" w:hAnsi="Arial"/>
                <w:b/>
                <w:sz w:val="20"/>
              </w:rPr>
              <w:t>19.5 W/kg-Pu</w:t>
            </w:r>
            <w:r>
              <w:rPr>
                <w:rFonts w:ascii="Arial" w:hAnsi="Arial"/>
                <w:sz w:val="20"/>
              </w:rPr>
              <w:t xml:space="preserve"> (≫ ~2 W/kg) and a high spontaneous-fission neutron background (4.3 × 10⁵ n/s/kg-Pu bare; 5.4 × 10⁷ n/s/kg incl. Cm-244) degrade any device and lengthen handling.</w:t>
            </w:r>
          </w:p>
        </w:tc>
        <w:tc>
          <w:tcPr>
            <w:tcW w:type="dxa" w:w="3135"/>
          </w:tcPr>
          <w:p>
            <w:r>
              <w:rPr>
                <w:rFonts w:ascii="Arial" w:hAnsi="Arial"/>
                <w:sz w:val="20"/>
              </w:rPr>
            </w:r>
            <w:r>
              <w:rPr>
                <w:rFonts w:ascii="Arial" w:hAnsi="Arial"/>
                <w:sz w:val="20"/>
              </w:rPr>
              <w:t>Strong intrinsic barrier (the Bathke-FOM "self-protection" terms).</w:t>
            </w:r>
          </w:p>
        </w:tc>
      </w:tr>
      <w:tr>
        <w:tc>
          <w:tcPr>
            <w:tcW w:type="dxa" w:w="3135"/>
          </w:tcPr>
          <w:p>
            <w:r>
              <w:rPr>
                <w:rFonts w:ascii="Arial" w:hAnsi="Arial"/>
                <w:sz w:val="20"/>
              </w:rPr>
            </w:r>
            <w:r>
              <w:rPr>
                <w:rFonts w:ascii="Arial" w:hAnsi="Arial"/>
                <w:b/>
                <w:sz w:val="20"/>
              </w:rPr>
              <w:t>Detection probability (DP)</w:t>
            </w:r>
          </w:p>
        </w:tc>
        <w:tc>
          <w:tcPr>
            <w:tcW w:type="dxa" w:w="3135"/>
          </w:tcPr>
          <w:p>
            <w:r>
              <w:rPr>
                <w:rFonts w:ascii="Arial" w:hAnsi="Arial"/>
                <w:sz w:val="20"/>
              </w:rPr>
            </w:r>
            <w:r>
              <w:rPr>
                <w:rFonts w:ascii="Arial" w:hAnsi="Arial"/>
                <w:sz w:val="20"/>
              </w:rPr>
              <w:t xml:space="preserve">Whole core under </w:t>
            </w:r>
            <w:r>
              <w:rPr>
                <w:rFonts w:ascii="Arial" w:hAnsi="Arial"/>
                <w:b/>
                <w:sz w:val="20"/>
              </w:rPr>
              <w:t>IAEA safeguards</w:t>
            </w:r>
            <w:r>
              <w:rPr>
                <w:rFonts w:ascii="Arial" w:hAnsi="Arial"/>
                <w:sz w:val="20"/>
              </w:rPr>
              <w:t>, item-counted intact assemblies, continuity-of-knowledge maintained in wet/dry storage (§8.11).</w:t>
            </w:r>
          </w:p>
        </w:tc>
        <w:tc>
          <w:tcPr>
            <w:tcW w:type="dxa" w:w="3135"/>
          </w:tcPr>
          <w:p>
            <w:r>
              <w:rPr>
                <w:rFonts w:ascii="Arial" w:hAnsi="Arial"/>
                <w:sz w:val="20"/>
              </w:rPr>
            </w:r>
            <w:r>
              <w:rPr>
                <w:rFonts w:ascii="Arial" w:hAnsi="Arial"/>
                <w:sz w:val="20"/>
              </w:rPr>
              <w:t>Strong — extrinsic, institutional.</w:t>
            </w:r>
          </w:p>
        </w:tc>
      </w:tr>
    </w:tbl>
    <w:p/>
    <w:p>
      <w:pPr>
        <w:jc w:val="both"/>
      </w:pPr>
      <w:r>
        <w:rPr>
          <w:rFonts w:ascii="Arial" w:hAnsi="Arial"/>
        </w:rPr>
        <w:t xml:space="preserve">The </w:t>
      </w:r>
      <w:r>
        <w:rPr>
          <w:rFonts w:ascii="Arial" w:hAnsi="Arial"/>
          <w:b/>
        </w:rPr>
        <w:t>Bathke figure-of-merit (FOM)</w:t>
      </w:r>
      <w:r>
        <w:rPr>
          <w:rFonts w:ascii="Arial" w:hAnsi="Arial"/>
        </w:rPr>
        <w:t xml:space="preserve"> inputs are exactly the PT/MT terms above: the combination of reactor-grade isotopics, 19.5 W/kg-Pu decay heat and the Cm-244-dominated neutron field place the discharged material in the </w:t>
      </w:r>
      <w:r>
        <w:rPr>
          <w:rFonts w:ascii="Arial" w:hAnsi="Arial"/>
          <w:b/>
        </w:rPr>
        <w:t>low-attractiveness</w:t>
      </w:r>
      <w:r>
        <w:rPr>
          <w:rFonts w:ascii="Arial" w:hAnsi="Arial"/>
        </w:rPr>
        <w:t xml:space="preserve"> band of the Bathke attractiveness scale (the material is "unattractive/protected", not "attractive").</w:t>
      </w:r>
    </w:p>
    <w:p>
      <w:pPr>
        <w:spacing w:before="200" w:after="80"/>
      </w:pPr>
      <w:r>
        <w:rPr>
          <w:rFonts w:ascii="Arial Black" w:hAnsi="Arial Black"/>
          <w:b/>
          <w:color w:val="1F4E79"/>
          <w:sz w:val="28"/>
        </w:rPr>
        <w:t>3. Resistance score and honest framing</w:t>
      </w:r>
    </w:p>
    <w:p>
      <w:pPr>
        <w:jc w:val="both"/>
      </w:pPr>
      <w:r>
        <w:rPr>
          <w:rFonts w:ascii="Arial" w:hAnsi="Arial"/>
        </w:rPr>
        <w:t xml:space="preserve">Combining the two functions, the Aegis-40 discharge scores </w:t>
      </w:r>
      <w:r>
        <w:rPr>
          <w:rFonts w:ascii="Arial" w:hAnsi="Arial"/>
          <w:b/>
        </w:rPr>
        <w:t>high U(x)</w:t>
      </w:r>
      <w:r>
        <w:rPr>
          <w:rFonts w:ascii="Arial" w:hAnsi="Arial"/>
        </w:rPr>
        <w:t xml:space="preserve"> — proliferation- resistant — but the assessment must be honest about *why*:</w:t>
      </w:r>
    </w:p>
    <w:p>
      <w:pPr>
        <w:pStyle w:val="ListBullet"/>
        <w:jc w:val="both"/>
      </w:pPr>
      <w:r>
        <w:rPr>
          <w:rFonts w:ascii="Arial" w:hAnsi="Arial"/>
          <w:b/>
        </w:rPr>
        <w:t>Intrinsic barriers (raised by high burnup, SBF long cycle):</w:t>
      </w:r>
      <w:r>
        <w:rPr>
          <w:rFonts w:ascii="Arial" w:hAnsi="Arial"/>
        </w:rPr>
        <w:t xml:space="preserve"> reactor-grade, degraded Pu vector (Pu-239 52 %, Pu-240 25 %, fissile 66 %); 19 W/kg-Pu decay heat; high SF-neutron background; spent U at 1.10 % U-235. These are *real but modest* — reactor-grade Pu is not a usable enrichment barrier the way LEU is.</w:t>
      </w:r>
    </w:p>
    <w:p>
      <w:pPr>
        <w:pStyle w:val="ListBullet"/>
        <w:jc w:val="both"/>
      </w:pPr>
      <w:r>
        <w:rPr>
          <w:rFonts w:ascii="Arial" w:hAnsi="Arial"/>
          <w:b/>
        </w:rPr>
        <w:t>Extrinsic barriers (decisive):</w:t>
      </w:r>
      <w:r>
        <w:rPr>
          <w:rFonts w:ascii="Arial" w:hAnsi="Arial"/>
        </w:rPr>
        <w:t xml:space="preserve"> the value is gated almost entirely by the access function — Pu is immobilised in </w:t>
      </w:r>
      <w:r>
        <w:rPr>
          <w:rFonts w:ascii="Arial" w:hAnsi="Arial"/>
          <w:b/>
        </w:rPr>
        <w:t>self-protecting intact assemblies</w:t>
      </w:r>
      <w:r>
        <w:rPr>
          <w:rFonts w:ascii="Arial" w:hAnsi="Arial"/>
        </w:rPr>
        <w:t xml:space="preserve">, in a </w:t>
      </w:r>
      <w:r>
        <w:rPr>
          <w:rFonts w:ascii="Arial" w:hAnsi="Arial"/>
          <w:b/>
        </w:rPr>
        <w:t>once-through cycle with no reprocessing and no separated-Pu stream</w:t>
      </w:r>
      <w:r>
        <w:rPr>
          <w:rFonts w:ascii="Arial" w:hAnsi="Arial"/>
        </w:rPr>
        <w:t xml:space="preserve">, under </w:t>
      </w:r>
      <w:r>
        <w:rPr>
          <w:rFonts w:ascii="Arial" w:hAnsi="Arial"/>
          <w:b/>
        </w:rPr>
        <w:t>IAEA safeguards</w:t>
      </w:r>
      <w:r>
        <w:rPr>
          <w:rFonts w:ascii="Arial" w:hAnsi="Arial"/>
        </w:rPr>
        <w:t>. There is no diversion pathway that does not require a state-level reprocessing capability and defeat of item accountancy.</w:t>
      </w:r>
    </w:p>
    <w:p>
      <w:pPr>
        <w:jc w:val="both"/>
      </w:pPr>
      <w:r>
        <w:rPr>
          <w:rFonts w:ascii="Arial" w:hAnsi="Arial"/>
          <w:b/>
        </w:rPr>
        <w:t>Net:</w:t>
      </w:r>
      <w:r>
        <w:rPr>
          <w:rFonts w:ascii="Arial" w:hAnsi="Arial"/>
        </w:rPr>
        <w:t xml:space="preserve"> the design adds proliferation resistance the cheapest possible way — by *not creating* an attractive material stream. High burnup + soluble-boron-free long cycle + once-through compound the standard spent-fuel resistance; the plant introduces no reprocessing, no separated fissile material, and no fresh-fuel HEU. The honest headline for the FER is: </w:t>
      </w:r>
      <w:r>
        <w:rPr>
          <w:rFonts w:ascii="Arial" w:hAnsi="Arial"/>
          <w:b/>
        </w:rPr>
        <w:t>resistance here is dominated by the extrinsic/institutional barriers (no reprocessing, safeguards, self-protecting assemblies), with the intrinsic isotopic barriers a real but secondary contributor.</w:t>
      </w:r>
    </w:p>
    <w:p>
      <w:pPr>
        <w:spacing w:before="200" w:after="80"/>
      </w:pPr>
      <w:r>
        <w:rPr>
          <w:rFonts w:ascii="Arial Black" w:hAnsi="Arial Black"/>
          <w:b/>
          <w:color w:val="1F4E79"/>
          <w:sz w:val="28"/>
        </w:rPr>
        <w:t>References</w:t>
      </w:r>
    </w:p>
    <w:p>
      <w:pPr>
        <w:pStyle w:val="ListBullet"/>
        <w:jc w:val="both"/>
      </w:pPr>
      <w:r>
        <w:rPr>
          <w:rFonts w:ascii="Arial" w:hAnsi="Arial"/>
        </w:rPr>
        <w:t xml:space="preserve">S.F. Ashley et al., *Ann. Nucl. Energy* </w:t>
      </w:r>
      <w:r>
        <w:rPr>
          <w:rFonts w:ascii="Arial" w:hAnsi="Arial"/>
          <w:b/>
        </w:rPr>
        <w:t>69</w:t>
      </w:r>
      <w:r>
        <w:rPr>
          <w:rFonts w:ascii="Arial" w:hAnsi="Arial"/>
        </w:rPr>
        <w:t xml:space="preserve"> (2014) 314–330 — NNL value×access scoring.</w:t>
      </w:r>
    </w:p>
    <w:p>
      <w:pPr>
        <w:pStyle w:val="ListBullet"/>
        <w:jc w:val="both"/>
      </w:pPr>
      <w:r>
        <w:rPr>
          <w:rFonts w:ascii="Arial" w:hAnsi="Arial"/>
        </w:rPr>
        <w:t>Generation IV International Forum, *Evaluation Methodology for PR&amp;PP*, Rev. 5 (2006).</w:t>
      </w:r>
    </w:p>
    <w:p>
      <w:pPr>
        <w:pStyle w:val="ListBullet"/>
        <w:jc w:val="both"/>
      </w:pPr>
      <w:r>
        <w:rPr>
          <w:rFonts w:ascii="Arial" w:hAnsi="Arial"/>
        </w:rPr>
        <w:t>C.G. Bathke et al., "The Attractiveness of Materials in Advanced Nuclear Fuel Cycles,"</w:t>
      </w:r>
    </w:p>
    <w:p>
      <w:pPr>
        <w:jc w:val="both"/>
      </w:pPr>
      <w:r>
        <w:rPr>
          <w:rFonts w:ascii="Arial" w:hAnsi="Arial"/>
        </w:rPr>
        <w:t xml:space="preserve">*Nucl. Technol.* </w:t>
      </w:r>
      <w:r>
        <w:rPr>
          <w:rFonts w:ascii="Arial" w:hAnsi="Arial"/>
          <w:b/>
        </w:rPr>
        <w:t>179</w:t>
      </w:r>
      <w:r>
        <w:rPr>
          <w:rFonts w:ascii="Arial" w:hAnsi="Arial"/>
        </w:rPr>
        <w:t xml:space="preserve"> (2012) 5–30 — attractiveness FOM.</w:t>
      </w:r>
    </w:p>
    <w:p>
      <w:pPr>
        <w:pStyle w:val="ListBullet"/>
        <w:jc w:val="both"/>
      </w:pPr>
      <w:r>
        <w:rPr>
          <w:rFonts w:ascii="Arial" w:hAnsi="Arial"/>
        </w:rPr>
        <w:t>IAEA, *Safeguards Glossary*, 2001 Ed. — significant quantities.</w:t>
      </w:r>
    </w:p>
    <w:p>
      <w:r>
        <w:br w:type="page"/>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