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Aegis-40 iPWR — Final Engineering Report (FER), Section 8 (Master)</w:t>
      </w:r>
    </w:p>
    <w:p>
      <w:r>
        <w:rPr>
          <w:b/>
        </w:rPr>
        <w:t>Project:</w:t>
      </w:r>
      <w:r>
        <w:t xml:space="preserve"> Aegis-40 — 40 MWe / 125 MWth soluble-boron-free integral PWR (iPWR-SMR)</w:t>
      </w:r>
    </w:p>
    <w:p>
      <w:r>
        <w:rPr>
          <w:b/>
        </w:rPr>
        <w:t>Category:</w:t>
      </w:r>
      <w:r>
        <w:t xml:space="preserve"> TEKNOFEST 2026 Nuclear Energy Technologies — Detailed Design (40 MWe PWR)</w:t>
      </w:r>
    </w:p>
    <w:p>
      <w:r>
        <w:rPr>
          <w:b/>
        </w:rPr>
        <w:t>Document:</w:t>
      </w:r>
      <w:r>
        <w:t xml:space="preserve"> Consolidated master of the §8 technical body (§8.1 – §8.12) + mandatory Digital-Appendix</w:t>
      </w:r>
    </w:p>
    <w:p>
      <w:r>
        <w:t>plan + full requirements-coverage matrix.</w:t>
      </w:r>
    </w:p>
    <w:p>
      <w:r>
        <w:rPr>
          <w:b/>
        </w:rPr>
        <w:t>Revision:</w:t>
      </w:r>
      <w:r>
        <w:t xml:space="preserve"> master r1, 2026-06-22. </w:t>
      </w:r>
      <w:r>
        <w:rPr>
          <w:b/>
        </w:rPr>
        <w:t>Supersedes</w:t>
      </w:r>
      <w:r>
        <w:t xml:space="preserve"> the per-section drafts</w:t>
      </w:r>
    </w:p>
    <w:p>
      <w:r>
        <w:t>(</w:t>
      </w:r>
      <w:r>
        <w:rPr>
          <w:rFonts w:ascii="Consolas" w:hAnsi="Consolas"/>
          <w:sz w:val="18"/>
        </w:rPr>
        <w:t>section-8.1-…</w:t>
      </w:r>
      <w:r>
        <w:t xml:space="preserve">, </w:t>
      </w:r>
      <w:r>
        <w:rPr>
          <w:rFonts w:ascii="Consolas" w:hAnsi="Consolas"/>
          <w:sz w:val="18"/>
        </w:rPr>
        <w:t>section-8.2-8.3-…</w:t>
      </w:r>
      <w:r>
        <w:t xml:space="preserve">, </w:t>
      </w:r>
      <w:r>
        <w:rPr>
          <w:rFonts w:ascii="Consolas" w:hAnsi="Consolas"/>
          <w:sz w:val="18"/>
        </w:rPr>
        <w:t>section-8.4-…</w:t>
      </w:r>
      <w:r>
        <w:t xml:space="preserve">, </w:t>
      </w:r>
      <w:r>
        <w:rPr>
          <w:rFonts w:ascii="Consolas" w:hAnsi="Consolas"/>
          <w:sz w:val="18"/>
        </w:rPr>
        <w:t>section-8.9-…</w:t>
      </w:r>
      <w:r>
        <w:t xml:space="preserve">, </w:t>
      </w:r>
      <w:r>
        <w:rPr>
          <w:rFonts w:ascii="Consolas" w:hAnsi="Consolas"/>
          <w:sz w:val="18"/>
        </w:rPr>
        <w:t>section-8.11-…</w:t>
      </w:r>
      <w:r>
        <w:t>,</w:t>
      </w:r>
    </w:p>
    <w:p>
      <w:r>
        <w:rPr>
          <w:rFonts w:ascii="Consolas" w:hAnsi="Consolas"/>
          <w:sz w:val="18"/>
        </w:rPr>
        <w:t>section-8.12-…</w:t>
      </w:r>
      <w:r>
        <w:t xml:space="preserve">, and </w:t>
      </w:r>
      <w:r>
        <w:rPr>
          <w:rFonts w:ascii="Consolas" w:hAnsi="Consolas"/>
          <w:sz w:val="18"/>
        </w:rPr>
        <w:t>FER_Aegis40_safety_ic_layout_draft.md</w:t>
      </w:r>
      <w:r>
        <w:t>), which are archived under</w:t>
      </w:r>
    </w:p>
    <w:p>
      <w:r>
        <w:rPr>
          <w:rFonts w:ascii="Consolas" w:hAnsi="Consolas"/>
          <w:sz w:val="18"/>
        </w:rPr>
        <w:t>fer/archive/</w:t>
      </w:r>
      <w:r>
        <w:t>.</w:t>
      </w:r>
    </w:p>
    <w:p>
      <w:pPr>
        <w:pStyle w:val="Heading2"/>
      </w:pPr>
      <w:r>
        <w:t>0. Reading guide, design basis, and marker convention</w:t>
      </w:r>
    </w:p>
    <w:p>
      <w:pPr>
        <w:pStyle w:val="Heading3"/>
      </w:pPr>
      <w:r>
        <w:t>0.1 Design basis of this revision — the 37-FA / 7×7 core</w:t>
      </w:r>
    </w:p>
    <w:p>
      <w:r>
        <w:t xml:space="preserve">This FER is written on the </w:t>
      </w:r>
      <w:r>
        <w:rPr>
          <w:b/>
        </w:rPr>
        <w:t>37-fuel-assembly, 7-wide octagonal core</w:t>
      </w:r>
      <w:r>
        <w:t xml:space="preserve"> (the latest locked geometry;</w:t>
      </w:r>
    </w:p>
    <w:p>
      <w:r>
        <w:t xml:space="preserve">CAD spec </w:t>
      </w:r>
      <w:r>
        <w:rPr>
          <w:rFonts w:ascii="Consolas" w:hAnsi="Consolas"/>
          <w:sz w:val="18"/>
        </w:rPr>
        <w:t>cad/aegis40-geometry-spec-37fa.md</w:t>
      </w:r>
      <w:r>
        <w:t>). The pivot from the earlier 21-FA core to 37 FA was</w:t>
      </w:r>
    </w:p>
    <w:p>
      <w:r>
        <w:t xml:space="preserve">made </w:t>
      </w:r>
      <w:r>
        <w:rPr>
          <w:b/>
        </w:rPr>
        <w:t>at constant core power (125 MWth)</w:t>
      </w:r>
      <w:r>
        <w:t xml:space="preserve"> to flatten the radial power distribution and roughly halve</w:t>
      </w:r>
    </w:p>
    <w:p>
      <w:r>
        <w:t>the core specific power (≈ 12.7 vs ≈ 22 MW/tHM), buying thermal margin. Because power, primary flow,</w:t>
      </w:r>
    </w:p>
    <w:p>
      <w:r>
        <w:t>the once-through steam-generator (OTSG) duty and the natural-circulation thermal height are all</w:t>
      </w:r>
    </w:p>
    <w:p>
      <w:r>
        <w:rPr>
          <w:b/>
        </w:rPr>
        <w:t>preserved</w:t>
      </w:r>
      <w:r>
        <w:t>, every axial / flow / heat-balance result carries over unchanged; **only the radial</w:t>
      </w:r>
    </w:p>
    <w:p>
      <w:r>
        <w:t>build and the heavy-metal inventory grow** (§8.1, §8.2.2).</w:t>
      </w:r>
    </w:p>
    <w:p>
      <w:pPr>
        <w:pStyle w:val="Heading3"/>
      </w:pPr>
      <w:r>
        <w:t>0.2 "Results-pending" convention (honesty gate)</w:t>
      </w:r>
    </w:p>
    <w:p>
      <w:r>
        <w:t>The 37-FA **geometry, materials, thermal-hydraulics, balance-of-plant, safety architecture, I&amp;C,</w:t>
      </w:r>
    </w:p>
    <w:p>
      <w:r>
        <w:t>layout and economics</w:t>
      </w:r>
      <w:r>
        <w:rPr>
          <w:b/>
        </w:rPr>
        <w:t xml:space="preserve"> are complete and presented in full. The 37-FA </w:t>
      </w:r>
      <w:r>
        <w:t>neutronic results** —</w:t>
      </w:r>
    </w:p>
    <w:p>
      <w:r>
        <w:t>k_eff(BU), discharge burnup, cycle length, the peaking factors, the reactivity coefficients, the</w:t>
      </w:r>
    </w:p>
    <w:p>
      <w:r>
        <w:t>rod worth / shutdown margin, and the discharge actinide inventory — are produced by a full-core</w:t>
      </w:r>
    </w:p>
    <w:p>
      <w:r>
        <w:t>OpenMC depletion run (</w:t>
      </w:r>
      <w:r>
        <w:rPr>
          <w:rFonts w:ascii="Consolas" w:hAnsi="Consolas"/>
          <w:sz w:val="18"/>
        </w:rPr>
        <w:t>aegis40_neutronics_FER.ipynb</w:t>
      </w:r>
      <w:r>
        <w:t>, executed in WSL) that is **in progress at the</w:t>
      </w:r>
    </w:p>
    <w:p>
      <w:r>
        <w:t>STAT_FINAL statistics**. Until that run lands, every neutronics-derived number is shown with the</w:t>
      </w:r>
    </w:p>
    <w:p>
      <w:r>
        <w:t xml:space="preserve">marker </w:t>
      </w:r>
      <w:r>
        <w:rPr>
          <w:b/>
        </w:rPr>
        <w:t>⏳[37FA-PENDING]</w:t>
      </w:r>
      <w:r>
        <w:t xml:space="preserve"> and is accompanied by the </w:t>
      </w:r>
      <w:r>
        <w:rPr>
          <w:b/>
        </w:rPr>
        <w:t>21-FA predecessor value</w:t>
      </w:r>
      <w:r>
        <w:t xml:space="preserve"> (the previously</w:t>
      </w:r>
    </w:p>
    <w:p>
      <w:r>
        <w:t>*locked, fully-run* rev_3 result) in the form *[21-FA ref: …]*, which serves as a defensible</w:t>
      </w:r>
    </w:p>
    <w:p>
      <w:r>
        <w:rPr>
          <w:b/>
        </w:rPr>
        <w:t>conservative reference</w:t>
      </w:r>
      <w:r>
        <w:t xml:space="preserve"> (the 37-FA core, being larger and lower-power-density, is expected to be</w:t>
      </w:r>
    </w:p>
    <w:p>
      <w:r>
        <w:rPr>
          <w:b/>
        </w:rPr>
        <w:t>flatter in peaking and richer in thermal margin</w:t>
      </w:r>
      <w:r>
        <w:t>, never worse on the safety-relevant metrics).</w:t>
      </w:r>
    </w:p>
    <w:p>
      <w:r>
        <w:t>This is disclosed deliberately, not hidden.</w:t>
      </w:r>
    </w:p>
    <w:p>
      <w:r>
        <w:t>Other markers used below (carried from the source drafts, all to be closed before final submission):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Marker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⏳[37FA-PENDING]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value awaits the 37-FA STAT_FINAL OpenMC run (21-FA reference quoted)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[SIM-PENDING]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value awaits a scoped-but-unrun simulation (T-H / containment)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[ANALYSIS-PENDING]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analysis identified, not yet performed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[VERIFY]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claim believed correct, citable anchor to be attached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[CONFIRM]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engineering value to be confirmed with the owning lead</w:t>
            </w:r>
          </w:p>
        </w:tc>
      </w:tr>
    </w:tbl>
    <w:p/>
    <w:p>
      <w:pPr>
        <w:pStyle w:val="Heading3"/>
      </w:pPr>
      <w:r>
        <w:t>0.3 Mandatory Digital Appendix (spec p. 8, second paragraph)</w:t>
      </w:r>
    </w:p>
    <w:p>
      <w:r>
        <w:t xml:space="preserve">For every code used in the analyses, the competition requires </w:t>
      </w:r>
      <w:r>
        <w:rPr>
          <w:b/>
        </w:rPr>
        <w:t>one sample input file</w:t>
      </w:r>
      <w:r>
        <w:t xml:space="preserve"> plus an</w:t>
      </w:r>
    </w:p>
    <w:p>
      <w:r>
        <w:t xml:space="preserve">explanation of the case/approach/outputs </w:t>
      </w:r>
      <w:r>
        <w:rPr>
          <w:b/>
        </w:rPr>
        <w:t>and</w:t>
      </w:r>
      <w:r>
        <w:t xml:space="preserve"> reproducibility, benchmarking and repeatability</w:t>
      </w:r>
    </w:p>
    <w:p>
      <w:r>
        <w:t>evidence against reliable (IAEA / OECD-NEA) data, packaged as a separate ZIP. The Aegis-40</w:t>
      </w:r>
    </w:p>
    <w:p>
      <w:r>
        <w:t>Digital-Appendix plan, sample-input index, and the cite-vs-run V&amp;V strategy are consolidated in</w:t>
      </w:r>
    </w:p>
    <w:p>
      <w:r>
        <w:rPr>
          <w:b/>
        </w:rPr>
        <w:t>§8.13</w:t>
      </w:r>
      <w:r>
        <w:t xml:space="preserve"> of this document. Each technical section below names the code it uses and points at the</w:t>
      </w:r>
    </w:p>
    <w:p>
      <w:r>
        <w:t>corresponding V&amp;V leg.</w:t>
      </w:r>
    </w:p>
    <w:p>
      <w:pPr>
        <w:pStyle w:val="Heading1"/>
      </w:pPr>
      <w:r>
        <w:t>8.1 Design Preparation Phase and General Description of the Facility</w:t>
      </w:r>
    </w:p>
    <w:p>
      <w:pPr>
        <w:pStyle w:val="Heading2"/>
      </w:pPr>
      <w:r>
        <w:t>8.1.0 General description</w:t>
      </w:r>
    </w:p>
    <w:p>
      <w:r>
        <w:t xml:space="preserve">The Aegis-40 is an </w:t>
      </w:r>
      <w:r>
        <w:rPr>
          <w:b/>
        </w:rPr>
        <w:t>integral, soluble-boron-free pressurised-water small modular reactor</w:t>
      </w:r>
    </w:p>
    <w:p>
      <w:r>
        <w:t xml:space="preserve">(iPWR-SMR) rated </w:t>
      </w:r>
      <w:r>
        <w:rPr>
          <w:b/>
        </w:rPr>
        <w:t>125 MWth / 40 MWe net</w:t>
      </w:r>
      <w:r>
        <w:t xml:space="preserve"> (32.0 % nameplate net efficiency). All primary</w:t>
      </w:r>
    </w:p>
    <w:p>
      <w:r>
        <w:t>equipment — core, helical-coil once-through steam generator, self-pressuriser and the control-rod</w:t>
      </w:r>
    </w:p>
    <w:p>
      <w:r>
        <w:t xml:space="preserve">drives — is housed within a </w:t>
      </w:r>
      <w:r>
        <w:rPr>
          <w:b/>
        </w:rPr>
        <w:t>single reactor pressure vessel (RPV)</w:t>
      </w:r>
      <w:r>
        <w:t>; the primary coolant moves by</w:t>
      </w:r>
    </w:p>
    <w:p>
      <w:r>
        <w:rPr>
          <w:b/>
        </w:rPr>
        <w:t>natural circulation</w:t>
      </w:r>
      <w:r>
        <w:t xml:space="preserve"> (no reactor coolant pumps). The plant is designed for a 60-year life, a small</w:t>
      </w:r>
    </w:p>
    <w:p>
      <w:r>
        <w:t>(~0.5 km) emergency-planning zone enabled by passive safety, factory-modular construction, and</w:t>
      </w:r>
    </w:p>
    <w:p>
      <w:r>
        <w:rPr>
          <w:b/>
        </w:rPr>
        <w:t>polygeneration</w:t>
      </w:r>
      <w:r>
        <w:t xml:space="preserve"> (electricity + district heat via thermochemical storage + off-peak hydrogen).</w:t>
      </w:r>
    </w:p>
    <w:p>
      <w:r>
        <w:t xml:space="preserve">The candidate site is the </w:t>
      </w:r>
      <w:r>
        <w:rPr>
          <w:b/>
        </w:rPr>
        <w:t>Sinop Black-Sea coast</w:t>
      </w:r>
      <w:r>
        <w:t xml:space="preserve"> (once-through seawater ultimate heat sink).</w:t>
      </w:r>
    </w:p>
    <w:p>
      <w:r>
        <w:t xml:space="preserve">The two defining design choices are (i) </w:t>
      </w:r>
      <w:r>
        <w:rPr>
          <w:b/>
        </w:rPr>
        <w:t>operation without soluble boron</w:t>
      </w:r>
      <w:r>
        <w:t>, which removes the</w:t>
      </w:r>
    </w:p>
    <w:p>
      <w:r>
        <w:t>chemical-shim system and its boron-dilution accident pathway and transfers reactivity hold-down to</w:t>
      </w:r>
    </w:p>
    <w:p>
      <w:r>
        <w:t>solid burnable absorbers (Gd₂O₃ + Er₂O₃) and control rods, and (ii) the **integral natural-circulation</w:t>
      </w:r>
    </w:p>
    <w:p>
      <w:r>
        <w:t>architecture**, which eliminates large-bore primary piping and the reactor coolant pumps and so</w:t>
      </w:r>
    </w:p>
    <w:p>
      <w:r>
        <w:t>*design-eliminates* the large-break LOCA, the rod-ejection and the surge-line-break accident classes</w:t>
      </w:r>
    </w:p>
    <w:p>
      <w:r>
        <w:t>(§8.6.1).</w:t>
      </w:r>
    </w:p>
    <w:p>
      <w:pPr>
        <w:pStyle w:val="Heading2"/>
      </w:pPr>
      <w:r>
        <w:t>8.1.1 Plant and power — Table 8.1-1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Unit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Plant 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Integral PWR (iPWR), soluble-boron-free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Thermal power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MWth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Net electrical output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MWe (net to grid)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Net thermal efficiency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32.0 (nameplate) / 31.8 (computed, §8.9)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Design lifetime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Capacity factor — design target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Capacity factor — used in fuel-cycle/waste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(conservative)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Non-electric output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district heat (TCES) + off-peak H₂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Available process-heat temperature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100–260 (flexible)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Modular design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factory-fabricated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Construction duration (n-th unit)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months (first concrete → criticality)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Emergency planning zone (radius)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km (design goal; closed by dose case §8.5)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Seismic design (SSE)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 (Safe-Shutdown Earthquake)</w:t>
            </w:r>
          </w:p>
        </w:tc>
      </w:tr>
    </w:tbl>
    <w:p/>
    <w:p>
      <w:pPr>
        <w:pStyle w:val="Heading2"/>
      </w:pPr>
      <w:r>
        <w:t>8.1.2 Primary system and thermal-hydraulics — Table 8.1-2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Unit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Primary operating pressure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MPa (iPWR/NuScale basis)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Primary design pressure (110 %)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14.1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MPa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 inlet / outlet temperature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258 / 308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°C / 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 temperature rise ΔT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 average temperature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Saturation temp. @ 12.8 MPa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331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°C (→ ≈ 23 °C hot-leg subcooling)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Average primary mass 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467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kg/s (G ≈ 543 kg/m²·s; natural circulation)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Natural-circulation thermal centre height H_tc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4.0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 (core-mid → OTSG-mid; §8.4 CFD loop balance)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Primary driving 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3.67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kPa (buoyancy at H_tc 4 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Primary coolant 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26 (≈ 35 m³)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 [CONFIRM vs §8.4 T-H model]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Steam-generator (secondary) pressure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MPa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Steam temperature (OTSG outlet)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296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Circulation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Natural circulation (no primary pumps)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 xml:space="preserve">The ΔT and flow are </w:t>
      </w:r>
      <w:r>
        <w:rPr>
          <w:b/>
        </w:rPr>
        <w:t>coupled</w:t>
      </w:r>
      <w:r>
        <w:t xml:space="preserve"> (the loop settles at this ΔT, </w:t>
      </w:r>
      <w:r>
        <w:rPr>
          <w:rFonts w:ascii="Consolas" w:hAnsi="Consolas"/>
          <w:sz w:val="18"/>
        </w:rPr>
        <w:t>scripts/natcirc_primary.py</w:t>
      </w:r>
      <w:r>
        <w:t>); they</w:t>
      </w:r>
    </w:p>
    <w:p>
      <w:r>
        <w:t>cannot be set independently. The 12.8 MPa / 308→258 °C primary boundary is **fixed by the §8.4</w:t>
      </w:r>
    </w:p>
    <w:p>
      <w:r>
        <w:t>natural-circulation analysis** and feeds §8.2.4, §8.3 and §8.9.</w:t>
      </w:r>
    </w:p>
    <w:p>
      <w:pPr>
        <w:ind w:left="360"/>
      </w:pPr>
      <w:r>
        <w:rPr>
          <w:b/>
          <w:i/>
        </w:rPr>
        <w:t>Pressure-basis reconciliation note.</w:t>
      </w:r>
      <w:r>
        <w:rPr>
          <w:i/>
        </w:rPr>
        <w:t xml:space="preserve"> This FER uses </w:t>
      </w:r>
      <w:r>
        <w:rPr>
          <w:b/>
          <w:i/>
        </w:rPr>
        <w:t>12.8 MPa op / 14.1 MPa design</w:t>
      </w:r>
      <w:r>
        <w:rPr>
          <w:i/>
        </w:rPr>
        <w:t xml:space="preserve"> (iPWR</w:t>
      </w:r>
    </w:p>
    <w:p>
      <w:pPr>
        <w:ind w:left="360"/>
      </w:pPr>
      <w:r>
        <w:rPr>
          <w:i/>
        </w:rPr>
        <w:t xml:space="preserve">basis) consistently. The earlier </w:t>
      </w:r>
      <w:r>
        <w:rPr>
          <w:rFonts w:ascii="Consolas" w:hAnsi="Consolas"/>
          <w:i/>
          <w:sz w:val="18"/>
        </w:rPr>
        <w:t>safety/safety_criteria.yaml</w:t>
      </w:r>
      <w:r>
        <w:rPr>
          <w:i/>
        </w:rPr>
        <w:t xml:space="preserve"> carried a large-PWR default</w:t>
      </w:r>
    </w:p>
    <w:p>
      <w:pPr>
        <w:ind w:left="360"/>
      </w:pPr>
      <w:r>
        <w:rPr>
          <w:i/>
        </w:rPr>
        <w:t>(15.5 / 17.2 MPa); that file is to be updated to the iPWR values [CONFIRM — §8.5 owner].</w:t>
      </w:r>
    </w:p>
    <w:p>
      <w:pPr>
        <w:pStyle w:val="Heading2"/>
      </w:pPr>
      <w:r>
        <w:t>8.1.3 Fuel and core — Table 8.1-3 (37-FA)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Unit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Number of fuel assemblies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7×7 octagon (rows 3-5-7-7-7-5-3)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17×17 Westinghouse-type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264 fuel + 24 guide + 1 instrument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 core height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 (+ 30 cm H₂O axial reflector each end)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Equivalent core diameter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1483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mm (across-flats 1512)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Heavy-metal loading (fresh)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9.87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Specific power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12.66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MW/tHM (≈ ½ of the 21-FA core)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Fuel material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UO₂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enrichment-zoned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Enrichment (intra-FA grade: interior/mid/periphery)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4.95 / 4.70 / 4.40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wt% ²³⁵U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Enrichment (reflector-facing edge pins)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wt% (edge-pin de-rate)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Enrichment (core average / maximum)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4.43 / 4.95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wt%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Cladding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Zircaloy-4 (Zr-4)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Primary burnable absorber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Gd₂O₃ 8 wt%, ring-zoned (avg 32 rods/FA)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rings 1/8/16/12, weights 1.65/1.45/0.95/0.68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Secondary burnable absorber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Er₂O₃ 0.5 wt% (16 rods/FA)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slow hold-down + cold SDM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Reload scheme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4-batch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once-through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Control-rod clusters (CRA)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checkerboard; central FA = instrument; in-vessel CRDM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Control-rod absorber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B₄C (/ Ag-In-Cd or Hf)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[CONFIRM §8.6]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Cycle length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2175</w:t>
            </w:r>
            <w:r>
              <w:rPr>
                <w:sz w:val="18"/>
              </w:rPr>
              <w:t xml:space="preserve"> (once-through, single batch ≈ 6 FPY)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EFPD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Discharge burnup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27.6</w:t>
            </w:r>
            <w:r>
              <w:rPr>
                <w:sz w:val="18"/>
              </w:rPr>
              <w:t xml:space="preserve"> (once-through; ≤ 62 limit)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GWd/MTU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Fuel reprocessing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 (once-through)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ind w:left="360"/>
      </w:pPr>
      <w:r>
        <w:rPr>
          <w:b/>
          <w:i/>
        </w:rPr>
        <w:t>Why 37 FA (design rationale).</w:t>
      </w:r>
      <w:r>
        <w:rPr>
          <w:i/>
        </w:rPr>
        <w:t xml:space="preserve"> The 21-FA predecessor met every safety gate but its compact</w:t>
      </w:r>
    </w:p>
    <w:p>
      <w:pPr>
        <w:ind w:left="360"/>
      </w:pPr>
      <w:r>
        <w:rPr>
          <w:i/>
        </w:rPr>
        <w:t>5-wide core produced a steep radial flux tilt and a per-pin radial peaking (F_ΔH ≈ 1.85) that sat</w:t>
      </w:r>
    </w:p>
    <w:p>
      <w:pPr>
        <w:ind w:left="360"/>
      </w:pPr>
      <w:r>
        <w:rPr>
          <w:i/>
        </w:rPr>
        <w:t>above the adopted LCO target, with the peak pin pinned against the 5.0 wt% enrichment ceiling. The</w:t>
      </w:r>
    </w:p>
    <w:p>
      <w:pPr>
        <w:ind w:left="360"/>
      </w:pPr>
      <w:r>
        <w:rPr>
          <w:i/>
        </w:rPr>
        <w:t>37-FA core widens the lattice (√(37/21) = 1.33× core diameter), gentling the radial gradient and</w:t>
      </w:r>
    </w:p>
    <w:p>
      <w:pPr>
        <w:ind w:left="360"/>
      </w:pPr>
      <w:r>
        <w:rPr>
          <w:i/>
        </w:rPr>
        <w:t>halving the specific power. The cost is a larger HM inventory; the benefit is flatter peaking and</w:t>
      </w:r>
    </w:p>
    <w:p>
      <w:pPr>
        <w:ind w:left="360"/>
      </w:pPr>
      <w:r>
        <w:rPr>
          <w:i/>
        </w:rPr>
        <w:t>a large DNBR margin. The pivot is made at constant 125 MWth so the vessel grows only radially</w:t>
      </w:r>
    </w:p>
    <w:p>
      <w:pPr>
        <w:ind w:left="360"/>
      </w:pPr>
      <w:r>
        <w:rPr>
          <w:i/>
        </w:rPr>
        <w:t>(§8.1.2 axial/flow values unchanged).</w:t>
      </w:r>
    </w:p>
    <w:p>
      <w:pPr>
        <w:pStyle w:val="Heading2"/>
      </w:pPr>
      <w:r>
        <w:t>8.1.4 Engineered safety features and probabilistic targets — Table 8.1-4</w:t>
      </w:r>
    </w:p>
    <w:p>
      <w:pPr>
        <w:ind w:left="360"/>
      </w:pPr>
      <w:r>
        <w:rPr>
          <w:i/>
        </w:rPr>
        <w:t>These rows summarise §8.5–§8.7; values are reproduced here for the front page and are authoritative</w:t>
      </w:r>
    </w:p>
    <w:p>
      <w:pPr>
        <w:ind w:left="360"/>
      </w:pPr>
      <w:r>
        <w:rPr>
          <w:i/>
        </w:rPr>
        <w:t>in those sections.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System / 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Reactor shutdown systems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diverse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(1) gravity-drop control rods; (2) passive Emergency Boron Injection (EBIS), dormant in normal operation (§8.6.2a)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Passive residual heat removal (PRHR)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× 100 %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natural circulation to in-containment tank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Emergency feedwater (EFW)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gravity-driven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fail-open, no pumps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Passive containment cooling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trains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continuously in 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Passive safety injection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gravity feed from IRWST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low-pressure coincidence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Containment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Dry steel-lined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Ø ≈ 15 m; design pressure ≈ 0.414 MPa [ANALYSIS-PENDING P/T]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Emergency power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× EDG + 1E batteries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monitoring/backup only — core cooling is passive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Safety grace period (no AC, no seawater, no operator)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72 h (target unlimited)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passive UHS = IRWST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 Damage Frequency (CDF)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1×10⁻⁷ /ry (projected class target)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LOHS ≈ 1e-8, SBO ≈ 1e-11 demonstrated (§8.6.3)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Large Release Frequency (LRF)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1×10⁻⁸ /ry (projected class target)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8.1.5 Outage schedule and derived relations</w:t>
      </w:r>
    </w:p>
    <w:p>
      <w:r>
        <w:t xml:space="preserve">Major outages: </w:t>
      </w:r>
      <w:r>
        <w:rPr>
          <w:b/>
        </w:rPr>
        <w:t>15 days every 12 months</w:t>
      </w:r>
      <w:r>
        <w:t xml:space="preserve"> (refuelling) + </w:t>
      </w:r>
      <w:r>
        <w:rPr>
          <w:b/>
        </w:rPr>
        <w:t>30 days every 120 months</w:t>
      </w:r>
      <w:r>
        <w:t xml:space="preserve"> (turbine /</w:t>
      </w:r>
    </w:p>
    <w:p>
      <w:r>
        <w:t xml:space="preserve">vessel in-service inspection) → planned availability ≈ </w:t>
      </w:r>
      <w:r>
        <w:rPr>
          <w:b/>
        </w:rPr>
        <w:t>95 %</w:t>
      </w:r>
      <w:r>
        <w:t>, consistent with the design CF.</w:t>
      </w:r>
    </w:p>
    <w:p>
      <w:r>
        <w:t xml:space="preserve">Derived: net efficiency = 40/125 = </w:t>
      </w:r>
      <w:r>
        <w:rPr>
          <w:b/>
        </w:rPr>
        <w:t>32.0 %</w:t>
      </w:r>
      <w:r>
        <w:t xml:space="preserve">; specific power = 125/9.87 = </w:t>
      </w:r>
      <w:r>
        <w:rPr>
          <w:b/>
        </w:rPr>
        <w:t>12.66 MW/tHM</w:t>
      </w:r>
      <w:r>
        <w:t>; primary</w:t>
      </w:r>
    </w:p>
    <w:p>
      <w:r>
        <w:t xml:space="preserve">flow from Q = ṁ·c_p·ΔT (c_p ≈ 5.35 kJ/kg·K @ 283 °C/12.8 MPa, IAPWS-IF97) → </w:t>
      </w:r>
      <w:r>
        <w:rPr>
          <w:b/>
        </w:rPr>
        <w:t>ṁ ≈ 467 kg/s</w:t>
      </w:r>
    </w:p>
    <w:p>
      <w:r>
        <w:t>(core mass flux G ≈ 543 kg/m²·s). [Reconciled to the §8.4 conjugate-CFD T-H model, Adilbek 2026; the</w:t>
      </w:r>
    </w:p>
    <w:p>
      <w:r>
        <w:t>earlier 483 kg/s used c_p 5.18.]</w:t>
      </w:r>
    </w:p>
    <w:p>
      <w:pPr>
        <w:pStyle w:val="Heading2"/>
      </w:pPr>
      <w:r>
        <w:t>8.1.6 Design-preparation phase, methodology and basis documents</w:t>
      </w:r>
    </w:p>
    <w:p>
      <w:r>
        <w:t>The parameter set above is the controlled output of the **preliminary (conceptual/basic) design</w:t>
      </w:r>
    </w:p>
    <w:p>
      <w:r>
        <w:t>phase**, developed through an integrated, reproducible analysis chain (IAEA SSG-52 §2; GSR Part 4</w:t>
      </w:r>
    </w:p>
    <w:p>
      <w:r>
        <w:t>design-input control). Each domain produced a version-controlled basis document that becomes a</w:t>
      </w:r>
    </w:p>
    <w:p>
      <w:r>
        <w:t>verified input to detailed design.</w:t>
      </w:r>
    </w:p>
    <w:p>
      <w:r>
        <w:rPr>
          <w:b/>
        </w:rPr>
        <w:t>Table 8.1-6 — Preliminary-design analyses and basis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Design 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Method / tool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Controlled output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Neutronics, depletion, reactivity coefficients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OpenMC Monte-Carlo (ENDF/B-VIII.0), 37-FA 3-D core + depletion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aegis40_neutronics_FER.ipynb</w:t>
            </w:r>
            <w:r>
              <w:rPr>
                <w:sz w:val="18"/>
              </w:rPr>
              <w:t>; §8.2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Fuel performance (T_cl, FGR, rod pressure)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Steady-state fuel-rod conduction stack vs SSG-52 limits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Primary thermal-hydraulics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Natural-circulation loop balance + DNBR (IAPWS-IF97)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§8.4 (</w:t>
            </w:r>
            <w:r>
              <w:rPr>
                <w:rFonts w:ascii="Consolas" w:hAnsi="Consolas"/>
                <w:sz w:val="18"/>
              </w:rPr>
              <w:t>natcirc_primary.py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Secondary power conversion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Regenerative Rankine + exergy (IAPWS-IF97)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§8.9 (</w:t>
            </w:r>
            <w:r>
              <w:rPr>
                <w:rFonts w:ascii="Consolas" w:hAnsi="Consolas"/>
                <w:sz w:val="18"/>
              </w:rPr>
              <w:t>thermo_cycle.py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thermo_exergy.py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Shielding / dose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Coupled n-γ transport + ICRP-116 flux-to-dose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§8.2.6 (</w:t>
            </w:r>
            <w:r>
              <w:rPr>
                <w:rFonts w:ascii="Consolas" w:hAnsi="Consolas"/>
                <w:sz w:val="18"/>
              </w:rPr>
              <w:t>…_shielding_rev7.ipynb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Waste / source term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Depletion inventory + ANSI/ANS-5.1 decay heat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§8.11 (</w:t>
            </w:r>
            <w:r>
              <w:rPr>
                <w:rFonts w:ascii="Consolas" w:hAnsi="Consolas"/>
                <w:sz w:val="18"/>
              </w:rPr>
              <w:t>src/aegis40/back_end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Safety / PRA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Deterministic DBA + event/fault trees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§8.5/§8.6 (</w:t>
            </w:r>
            <w:r>
              <w:rPr>
                <w:rFonts w:ascii="Consolas" w:hAnsi="Consolas"/>
                <w:sz w:val="18"/>
              </w:rPr>
              <w:t>safety/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Geometry / layout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Parametric CAD (RPV, assembly, pin, site STEP)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cad/</w:t>
            </w:r>
            <w:r>
              <w:rPr>
                <w:sz w:val="18"/>
              </w:rPr>
              <w:t>, §8.10</w:t>
            </w:r>
          </w:p>
        </w:tc>
      </w:tr>
    </w:tbl>
    <w:p/>
    <w:p>
      <w:pPr>
        <w:pStyle w:val="Heading2"/>
      </w:pPr>
      <w:r>
        <w:t>8.1.7 Design codes and standards — Table 8.1-7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Design 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Code / standard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Application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Class-1 nuclear pressure boundary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ASME BPVC Section III</w:t>
            </w:r>
            <w:r>
              <w:rPr>
                <w:sz w:val="18"/>
              </w:rPr>
              <w:t>, Div. 1 (NB / 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RPV, OTSG, self-pressuriser, in-vessel CRDM, core support (§8.4)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Non-nuclear pressure parts / BOP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ASME BPVC Section VIII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ASME B31.1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Condenser, feedwater heaters, secondary piping (§8.9)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Pressure-boundary &amp; internals materials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SA-508 Gr.3 Cl.1 / SA-533B (RPV); </w:t>
            </w:r>
            <w:r>
              <w:rPr>
                <w:b/>
                <w:sz w:val="18"/>
              </w:rPr>
              <w:t>ASTM A240</w:t>
            </w:r>
            <w:r>
              <w:rPr>
                <w:sz w:val="18"/>
              </w:rPr>
              <w:t xml:space="preserve"> 304/316L; Inconel-690 TT; Incoloy-800; reflector SA-965/SA-182 Type 304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§8.4 / §8.3.6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Fuel cladding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Zircaloy-4 (</w:t>
            </w:r>
            <w:r>
              <w:rPr>
                <w:b/>
                <w:sz w:val="18"/>
              </w:rPr>
              <w:t>ASTM B811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Reactor-core nuclear-design limits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IAEA SSG-52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NUREG-1431</w:t>
            </w:r>
            <w:r>
              <w:rPr>
                <w:sz w:val="18"/>
              </w:rPr>
              <w:t xml:space="preserve"> Rev.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peaking (F_Q, F_ΔH), coefficients, SDM (§8.2)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Neutronics method &amp;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OpenMC (Romano &amp; Forget 2013); ENDF/B-VIII.0; ICSBEP / BEAVRS / C5G7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§8.2, §8.13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Decay heat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ANSI/ANS-5.1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DHRS sizing, source term (§8.4, §8.11)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Water/steam properties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IAPWS-IF97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§8.4, §8.9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Radiation shielding / dose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ANSI/ANS-6.4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ICRP-116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§8.2.6, §8.8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Spent-fuel storage criticality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NUREG-0800</w:t>
            </w:r>
            <w:r>
              <w:rPr>
                <w:sz w:val="18"/>
              </w:rPr>
              <w:t xml:space="preserve"> §9.1.1; </w:t>
            </w:r>
            <w:r>
              <w:rPr>
                <w:b/>
                <w:sz w:val="18"/>
              </w:rPr>
              <w:t>10 CFR 50.68</w:t>
            </w:r>
            <w:r>
              <w:rPr>
                <w:sz w:val="18"/>
              </w:rPr>
              <w:t xml:space="preserve"> (k(95/95) ≤ 0.95)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Instrumentation &amp; protection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IEEE Std 603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IEC 61513 / 60880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IAEA SSG-39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Predisposal waste management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IAEA GSR Part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Fire protection / H₂ safety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NFPA 2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IEC 60079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§8.8, §8.10</w:t>
            </w:r>
          </w:p>
        </w:tc>
      </w:tr>
    </w:tbl>
    <w:p/>
    <w:p>
      <w:pPr>
        <w:pStyle w:val="Heading2"/>
      </w:pPr>
      <w:r>
        <w:t>8.1.8 Reference regulatory and nuclear-safety requirements — Table 8.1-8</w:t>
      </w:r>
    </w:p>
    <w:p>
      <w:r>
        <w:t xml:space="preserve">Nuclear safety is integrated from the outset by </w:t>
      </w:r>
      <w:r>
        <w:rPr>
          <w:b/>
        </w:rPr>
        <w:t>defence-in-depth</w:t>
      </w:r>
      <w:r>
        <w:t>: the four fundamental safety</w:t>
      </w:r>
    </w:p>
    <w:p>
      <w:r>
        <w:t>functions (reactivity control, fuel cooling, confinement, radiation protection) are each met by</w:t>
      </w:r>
    </w:p>
    <w:p>
      <w:r>
        <w:t>inherent characteristics plus independent, redundant provisions. The candidate site being in Türkiye,</w:t>
      </w:r>
    </w:p>
    <w:p>
      <w:r>
        <w:t xml:space="preserve">the licensing basis is the </w:t>
      </w:r>
      <w:r>
        <w:rPr>
          <w:b/>
        </w:rPr>
        <w:t>Nükleer Düzenleme Kurumu (NDK)</w:t>
      </w:r>
      <w:r>
        <w:t xml:space="preserve"> framework (Nuclear Regulation Law</w:t>
      </w:r>
    </w:p>
    <w:p>
      <w:r>
        <w:t>No. 7381, 2022), whose design regulations adopt the IAEA Safety Standards.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How addressed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IAEA SSR-2/1 (Rev. 1)</w:t>
            </w:r>
            <w:r>
              <w:rPr>
                <w:sz w:val="18"/>
              </w:rPr>
              <w:t xml:space="preserve"> — Safety of NPPs: Design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Top-level design safety; defence-in-depth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Req. 24–25 redundant/independent reactivity control; Req. 35 (cogen isolation); Req. 45 inherent stability (coeffs &lt; 0); Req. 46 ≥ 2 diverse shutdown systems; Req. 52–53 heat sink/grace (§8.2, §8.5, §8.6)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IAEA SSG-52</w:t>
            </w:r>
            <w:r>
              <w:rPr>
                <w:sz w:val="18"/>
              </w:rPr>
              <w:t xml:space="preserve"> — Design of the Reactor 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Core-design limits &amp; methods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peaking, DNBR, coefficients, LHGR (§8.2)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IAEA GSR Part 4 (Rev.1)</w:t>
            </w:r>
            <w:r>
              <w:rPr>
                <w:sz w:val="18"/>
              </w:rPr>
              <w:t xml:space="preserve"> — Safety Assessment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Methodology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deterministic + projected-PSA (§8.5/§8.6)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IAEA SSG-3 / SSG-4</w:t>
            </w:r>
            <w:r>
              <w:rPr>
                <w:sz w:val="18"/>
              </w:rPr>
              <w:t xml:space="preserve"> — L1 / L2 PSA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PSA methodology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CDF / LRF class targets (§8.6)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IAEA GSR Part 5</w:t>
            </w:r>
            <w:r>
              <w:rPr>
                <w:sz w:val="18"/>
              </w:rPr>
              <w:t xml:space="preserve"> — Predisposal Waste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Waste safety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on-site storage &amp; conditioning (§8.11)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IAEA SSR-1; SSG-9</w:t>
            </w:r>
            <w:r>
              <w:rPr>
                <w:sz w:val="18"/>
              </w:rPr>
              <w:t xml:space="preserve"> — Site Evaluation / external hazards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seismic, coastal hazard (§8.5, §8.10)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US NRC 10 CFR 50 App. A</w:t>
            </w:r>
            <w:r>
              <w:rPr>
                <w:sz w:val="18"/>
              </w:rPr>
              <w:t xml:space="preserve"> — GDC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design criteria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GDC 11/26/27/35 (§8.2, §8.5, §8.6)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US NRC NUREG-1431 Rev. 5</w:t>
            </w:r>
            <w:r>
              <w:rPr>
                <w:sz w:val="18"/>
              </w:rPr>
              <w:t xml:space="preserve"> — 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LCO forms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SDM, MTC, F_Q, F_ΔH limits (§8.2)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US NRC NUREG-0800 / 10 CFR 50.68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SRP; SFP criticality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k(95/95) ≤ 0.95 (§8.11)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Türkiye NDK — Law No. 7381 (2022)</w:t>
            </w:r>
            <w:r>
              <w:rPr>
                <w:sz w:val="18"/>
              </w:rPr>
              <w:t xml:space="preserve"> + NDK design regulation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National licensing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framework; adopts the IAEA standards above</w:t>
            </w:r>
          </w:p>
        </w:tc>
      </w:tr>
    </w:tbl>
    <w:p/>
    <w:p>
      <w:pPr>
        <w:pStyle w:val="Heading2"/>
      </w:pPr>
      <w:r>
        <w:t>8.1.9 Parameters requiring confirmation (tracked)</w:t>
      </w:r>
    </w:p>
    <w:p>
      <w:pPr>
        <w:pStyle w:val="ListNumber"/>
      </w:pPr>
      <w:r>
        <w:t>37-FA neutronics (k_eff, burnup, cycle, peaking, coefficients, rod worth, SDM, inventory) —</w:t>
      </w:r>
    </w:p>
    <w:p>
      <w:r>
        <w:t>⏳[37FA-PENDING] STAT_FINAL run. *(Samira)*</w:t>
      </w:r>
    </w:p>
    <w:p>
      <w:pPr>
        <w:pStyle w:val="ListNumber"/>
      </w:pPr>
      <w:r>
        <w:t xml:space="preserve">Fresh heavy-metal mass — confirm exact 9.87 t via OpenMC </w:t>
      </w:r>
      <w:r>
        <w:rPr>
          <w:rFonts w:ascii="Consolas" w:hAnsi="Consolas"/>
          <w:sz w:val="18"/>
        </w:rPr>
        <w:t>--step 0</w:t>
      </w:r>
      <w:r>
        <w:t>. *(Samira)*</w:t>
      </w:r>
    </w:p>
    <w:p>
      <w:pPr>
        <w:pStyle w:val="ListNumber"/>
      </w:pPr>
      <w:r>
        <w:t>Core-average enrichment — confirm count-weighted value (≈ 4.4–4.5). *(Samira)*</w:t>
      </w:r>
    </w:p>
    <w:p>
      <w:pPr>
        <w:pStyle w:val="ListNumber"/>
      </w:pPr>
      <w:r>
        <w:t>Primary coolant inventory ≈ 26 t — confirm vs §8.4 T-H model. *(Adilbek)*</w:t>
      </w:r>
    </w:p>
    <w:p>
      <w:pPr>
        <w:pStyle w:val="ListNumber"/>
      </w:pPr>
      <w:r>
        <w:t>Control-rod absorber (B₄C / Ag-In-Cd / Hf). *(Azamhon)*</w:t>
      </w:r>
    </w:p>
    <w:p>
      <w:pPr>
        <w:pStyle w:val="ListNumber"/>
      </w:pPr>
      <w:r>
        <w:t>Containment design pressure — from P/T accident analysis. *(Azamhon)*</w:t>
      </w:r>
    </w:p>
    <w:p>
      <w:pPr>
        <w:pStyle w:val="ListNumber"/>
      </w:pPr>
      <w:r>
        <w:rPr>
          <w:rFonts w:ascii="Consolas" w:hAnsi="Consolas"/>
          <w:sz w:val="18"/>
        </w:rPr>
        <w:t>safety_criteria.yaml</w:t>
      </w:r>
      <w:r>
        <w:t xml:space="preserve"> pressure rows → iPWR 12.8/14.1 MPa. *(Azamhon)*</w:t>
      </w:r>
    </w:p>
    <w:p>
      <w:pPr>
        <w:pStyle w:val="ListNumber"/>
      </w:pPr>
      <w:r>
        <w:t>CDF/LRF framed as projected class targets, not computed PSA. *(safety)*</w:t>
      </w:r>
    </w:p>
    <w:p>
      <w:pPr>
        <w:pStyle w:val="ListNumber"/>
      </w:pPr>
      <w:r>
        <w:t>EPZ 0.5 km closed by dose case; SSE vs Sinop seismicity. *(site/safety)*</w:t>
      </w:r>
    </w:p>
    <w:p>
      <w:pPr>
        <w:pStyle w:val="Heading1"/>
      </w:pPr>
      <w:r>
        <w:t>8.2 Core Design</w:t>
      </w:r>
    </w:p>
    <w:p>
      <w:pPr>
        <w:ind w:left="360"/>
      </w:pPr>
      <w:r>
        <w:rPr>
          <w:b/>
          <w:i/>
        </w:rPr>
        <w:t>Codes:</w:t>
      </w:r>
      <w:r>
        <w:rPr>
          <w:i/>
        </w:rPr>
        <w:t xml:space="preserve"> OpenMC 0.15.3 continuous-energy Monte Carlo, ENDF/B-VIII.0 (V&amp;V leg §8.13).</w:t>
      </w:r>
    </w:p>
    <w:p>
      <w:pPr>
        <w:ind w:left="360"/>
      </w:pPr>
      <w:r>
        <w:rPr>
          <w:b/>
          <w:i/>
        </w:rPr>
        <w:t>Geometry:</w:t>
      </w:r>
      <w:r>
        <w:rPr>
          <w:i/>
        </w:rPr>
        <w:t xml:space="preserve"> 37-FA / 7×7. </w:t>
      </w:r>
      <w:r>
        <w:rPr>
          <w:b/>
          <w:i/>
        </w:rPr>
        <w:t>Neutronic results:</w:t>
      </w:r>
      <w:r>
        <w:rPr>
          <w:i/>
        </w:rPr>
        <w:t xml:space="preserve"> STAT_FINAL (400×50k) — all hard criteria </w:t>
      </w:r>
      <w:r>
        <w:rPr>
          <w:b/>
          <w:i/>
        </w:rPr>
        <w:t>PASS</w:t>
      </w:r>
      <w:r>
        <w:rPr>
          <w:i/>
        </w:rPr>
        <w:t>.</w:t>
      </w:r>
    </w:p>
    <w:p>
      <w:pPr>
        <w:pStyle w:val="Heading2"/>
      </w:pPr>
      <w:r>
        <w:t>8.2.1 Material selection</w:t>
      </w:r>
    </w:p>
    <w:p>
      <w:r>
        <w:t>Material selection follows three criteria in priority order: (i) neutronic suitability for an SBF</w:t>
      </w:r>
    </w:p>
    <w:p>
      <w:r>
        <w:t>high-burnup core, (ii) demonstrated in-pile performance with a qualified property database to</w:t>
      </w:r>
    </w:p>
    <w:p>
      <w:r>
        <w:t>~50–62 GWd/MTU, and (iii) compatibility across steady-state, AOO and accident temperatures.</w:t>
      </w:r>
    </w:p>
    <w:p>
      <w:r>
        <w:rPr>
          <w:b/>
        </w:rPr>
        <w:t>Table 8.2-1 — Core material selection and rationale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Material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UO₂, enriched 4.95 / 4.70 / 4.40 wt% (intra-FA zones) + 4.0 wt% edge pins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LWR fuel; largest qualification base; T_melt ≈ 2840 °C; ≤ 5.0 wt% keeps the commercial LEU envelope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Cladding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Zircaloy-4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 absorption; qualified to high burnup; well-characterised corrosion/creep; 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Burnable absorber (primary)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Gd₂O₃ 8 wt%, admixed, ring-zoned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Strong BOC hold-down (Gd-155/157), burns out ~10 GWd/t; integral (no hardware) — the SBF excess-reactivity solution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Burnable absorber (secondary)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Er₂O₃ 0.5 wt%, admixed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Slow residual hold-down flattening mid/late cycle + cold shutdown margin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Coolant / moderator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Light water (H₂O)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PWR; negative MTC by design; self-regulating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Reflector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Light water (radial 20 cm, axial 30 cm) — heavy SS-304 reflector option under evaluation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Returns leakage, flattens power; the small-core water albedo flattens better than steel for the intra-FA-graded design (see §8.2.3 note)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Control-rod absorber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B₄C (Ag-In-Cd / Hf alternative)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Solid neutron absorber, fully SBF-compatible (no boron in coolant)</w:t>
            </w:r>
          </w:p>
        </w:tc>
      </w:tr>
    </w:tbl>
    <w:p/>
    <w:p>
      <w:r>
        <w:rPr>
          <w:b/>
        </w:rPr>
        <w:t>Behaviour under irradiation and temperature.</w:t>
      </w:r>
      <w:r>
        <w:t xml:space="preserve"> UO₂ is a stable fluorite ceramic (T_melt ≈ 2840 °C,</w:t>
      </w:r>
    </w:p>
    <w:p>
      <w:r>
        <w:t>falling ~0.5 °C/GWd-t); its conductivity degrades with temperature and burnup (Lucuta/Halden),</w:t>
      </w:r>
    </w:p>
    <w:p>
      <w:r>
        <w:t>bounded by the §8.3 centerline analysis. At the 37-FA core's **very low specific power</w:t>
      </w:r>
    </w:p>
    <w:p>
      <w:r>
        <w:t>(12.7 MW/tHM)** the linear heat rates are modest (§8.3), so fuel runs far below melt in steady state</w:t>
      </w:r>
    </w:p>
    <w:p>
      <w:r>
        <w:t>and bounding AOO. Gd₂O₃/Er₂O₃ "transient" behaviour is the intended burn-out (§8.2.3). Zircaloy-4</w:t>
      </w:r>
    </w:p>
    <w:p>
      <w:r>
        <w:t>damage mechanisms (oxidation ≤ 100 µm, H-pickup, creep, fast-fluence embrittlement) are bounded by</w:t>
      </w:r>
    </w:p>
    <w:p>
      <w:r>
        <w:t>the moderate discharge burnup, well below the 62 GWd/MTU Zr-4 ceiling; accident heat-up (1204 °C PCT,</w:t>
      </w:r>
    </w:p>
    <w:p>
      <w:r>
        <w:t>17 % ECR) underlies the §8.5 LOCA criteria. Light water gives strongly negative moderator/void</w:t>
      </w:r>
    </w:p>
    <w:p>
      <w:r>
        <w:t>coefficients (Table 8.2-3), a passive stabiliser.</w:t>
      </w:r>
    </w:p>
    <w:p>
      <w:pPr>
        <w:pStyle w:val="Heading2"/>
      </w:pPr>
      <w:r>
        <w:t>8.2.2 Geometry and layout</w:t>
      </w:r>
    </w:p>
    <w:p>
      <w:r>
        <w:t xml:space="preserve">The core is the qualified Westinghouse-type </w:t>
      </w:r>
      <w:r>
        <w:rPr>
          <w:b/>
        </w:rPr>
        <w:t>17×17 lattice</w:t>
      </w:r>
      <w:r>
        <w:t xml:space="preserve">, sized to </w:t>
      </w:r>
      <w:r>
        <w:rPr>
          <w:b/>
        </w:rPr>
        <w:t>37 assemblies</w:t>
      </w:r>
      <w:r>
        <w:t xml:space="preserve"> for the</w:t>
      </w:r>
    </w:p>
    <w:p>
      <w:r>
        <w:t>125 MWth rating. Choosing a qualified geometry (rather than a novel lattice) maximises the</w:t>
      </w:r>
    </w:p>
    <w:p>
      <w:r>
        <w:t>credibility of the borrowed fuel/clad property database and the T-H correlations and concentrates the</w:t>
      </w:r>
    </w:p>
    <w:p>
      <w:r>
        <w:t>originality on the boron-free reactivity scheme. Dimensions are taken from the as-built OpenMC</w:t>
      </w:r>
    </w:p>
    <w:p>
      <w:r>
        <w:t>geometry and the CAD spec.</w:t>
      </w:r>
    </w:p>
    <w:p>
      <w:r>
        <w:rPr>
          <w:b/>
        </w:rPr>
        <w:t>Table 8.2-2 — Core and fuel geometry (37-FA, locked)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17×17 square, 289 positions/FA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264 fuel + 24 guide + 1 instrument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Fuel pellet diameter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8.192 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~95 % TD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Pellet–clad radial 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0.0915 mm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Cladding OD / 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9.520 / 8.375 mm (0.573 wall)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Zr-4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 pitch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12.623 mm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 lattice span (FA side)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214.59 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 × pin pitch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Assembly pitch (in core)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216.038 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inter-assembly water gap ≈ 1.45 mm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Guide / instrument tube OD / 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12.040 / 11.248 mm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 fuel height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2000 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+ 300 mm H₂O axial reflector each 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Number of assemblies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37</w:t>
            </w:r>
            <w:r>
              <w:rPr>
                <w:sz w:val="18"/>
              </w:rPr>
              <w:t xml:space="preserve"> (7×7 octagon, 3-5-7-7-7-5-3)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Across-flats / equivalent core diameter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1512 / ≈ 1483 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corner-pin radius ≈ 764 mm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Radial / axial reflector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/ 300 mm H₂O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(steel reflector option, §8.2.3)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Control-rod clusters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in-vessel CRDM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Heavy-metal loading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9.87 tHM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once-through, single batch</w:t>
            </w:r>
          </w:p>
        </w:tc>
      </w:tr>
    </w:tbl>
    <w:p/>
    <w:p>
      <w:r>
        <w:rPr>
          <w:b/>
        </w:rPr>
        <w:t>Power-control systems (no soluble boron).</w:t>
      </w:r>
      <w:r>
        <w:t xml:space="preserve"> Reactivity is controlled by two integral mechanisms:</w:t>
      </w:r>
    </w:p>
    <w:p>
      <w:pPr>
        <w:pStyle w:val="ListBullet"/>
      </w:pPr>
      <w:r>
        <w:rPr>
          <w:b/>
        </w:rPr>
        <w:t>Burnable absorbers.</w:t>
      </w:r>
      <w:r>
        <w:t xml:space="preserve"> Gd₂O₃ (8 wt%) provides the dominant BOC hold-down and is </w:t>
      </w:r>
      <w:r>
        <w:rPr>
          <w:b/>
        </w:rPr>
        <w:t>ring-zoned</w:t>
      </w:r>
    </w:p>
    <w:p>
      <w:r>
        <w:t>across the four core rings (1/8/16/12 assemblies) with density weights 1.65/1.45/0.95/0.68</w:t>
      </w:r>
    </w:p>
    <w:p>
      <w:r>
        <w:t>(core-average conserved ≈ 1.0) to flatten the radial power. Er₂O₃ (0.5 wt%, 16 rods/FA) gives slow</w:t>
      </w:r>
    </w:p>
    <w:p>
      <w:r>
        <w:t>residual hold-down and cold shutdown margin.</w:t>
      </w:r>
    </w:p>
    <w:p>
      <w:pPr>
        <w:pStyle w:val="ListBullet"/>
      </w:pPr>
      <w:r>
        <w:rPr>
          <w:b/>
        </w:rPr>
        <w:t>Control rods.</w:t>
      </w:r>
      <w:r>
        <w:t xml:space="preserve"> 12 clusters insert into guide-tube channels via in-vessel CRDMs (no head</w:t>
      </w:r>
    </w:p>
    <w:p>
      <w:r>
        <w:t>penetrations → rod-ejection design-eliminated, §8.6.1).</w:t>
      </w:r>
    </w:p>
    <w:p>
      <w:r>
        <w:rPr>
          <w:b/>
        </w:rPr>
        <w:t>Intra-assembly enrichment grading.</w:t>
      </w:r>
      <w:r>
        <w:t xml:space="preserve"> Within every assembly the pins are graded</w:t>
      </w:r>
    </w:p>
    <w:p>
      <w:r>
        <w:rPr>
          <w:b/>
        </w:rPr>
        <w:t>4.95 / 4.70 / 4.40 wt%</w:t>
      </w:r>
      <w:r>
        <w:t xml:space="preserve"> (interior → periphery), with the reflector-facing edge pins de-rated to</w:t>
      </w:r>
    </w:p>
    <w:p>
      <w:r>
        <w:rPr>
          <w:b/>
        </w:rPr>
        <w:t>4.0 wt%</w:t>
      </w:r>
      <w:r>
        <w:t>. The periphery borders the inter-assembly water gaps (and, for edge assemblies, the</w:t>
      </w:r>
    </w:p>
    <w:p>
      <w:r>
        <w:t>reflector), where excess moderation drives a local pin-power peak; de-enriching the outer rows</w:t>
      </w:r>
    </w:p>
    <w:p>
      <w:r>
        <w:t>suppresses exactly that peak. This is standard LWR assembly practice (and the NuScale reference,</w:t>
      </w:r>
    </w:p>
    <w:p>
      <w:r>
        <w:t>FSAR §4.3).</w:t>
      </w:r>
    </w:p>
    <w:p>
      <w:r>
        <w:t>‹FIGURE 8.2-1 — 37-FA core loading map coloured by ring (enrichment + Gd zoning) with the 12 CRA</w:t>
      </w:r>
    </w:p>
    <w:p>
      <w:r>
        <w:t xml:space="preserve">positions. Source: </w:t>
      </w:r>
      <w:r>
        <w:rPr>
          <w:rFonts w:ascii="Consolas" w:hAnsi="Consolas"/>
          <w:sz w:val="18"/>
        </w:rPr>
        <w:t>cad/ga/37fa/ga37_sheet3_coremap.png</w:t>
      </w:r>
      <w:r>
        <w:t>.›</w:t>
      </w:r>
    </w:p>
    <w:p>
      <w:r>
        <w:t>‹FIGURE 8.2-2 — fuel-assembly 17×17 pin map (enrichment + Gd/Er pins).</w:t>
      </w:r>
    </w:p>
    <w:p>
      <w:r>
        <w:t xml:space="preserve">Source: </w:t>
      </w:r>
      <w:r>
        <w:rPr>
          <w:rFonts w:ascii="Consolas" w:hAnsi="Consolas"/>
          <w:sz w:val="18"/>
        </w:rPr>
        <w:t>aegis40_neutronics_FER.ipynb</w:t>
      </w:r>
      <w:r>
        <w:t xml:space="preserve"> §6 FA-lattice figure.›</w:t>
      </w:r>
    </w:p>
    <w:p>
      <w:r>
        <w:t xml:space="preserve">‹FIGURE 8.2-3 — RPV / core radial cross-section. Source: </w:t>
      </w:r>
      <w:r>
        <w:rPr>
          <w:rFonts w:ascii="Consolas" w:hAnsi="Consolas"/>
          <w:sz w:val="18"/>
        </w:rPr>
        <w:t>cad/ga/37fa/ga37_sheet1_radial.png</w:t>
      </w:r>
      <w:r>
        <w:t>.›</w:t>
      </w:r>
    </w:p>
    <w:p>
      <w:pPr>
        <w:pStyle w:val="Heading2"/>
      </w:pPr>
      <w:r>
        <w:t>8.2.3 Neutronic analysis</w:t>
      </w:r>
    </w:p>
    <w:p>
      <w:r>
        <w:t xml:space="preserve">The neutronic design uses </w:t>
      </w:r>
      <w:r>
        <w:rPr>
          <w:b/>
        </w:rPr>
        <w:t>OpenMC 0.15.3</w:t>
      </w:r>
      <w:r>
        <w:t xml:space="preserve"> continuous-energy Monte Carlo on the full 3-D 37-FA core</w:t>
      </w:r>
    </w:p>
    <w:p>
      <w:r>
        <w:t>(axial + radial reflectors), with coupled depletion from BOC toward the equilibrium cycle (transport</w:t>
      </w:r>
    </w:p>
    <w:p>
      <w:r>
        <w:t>statistics 180/50/20 000 at STAT_FINAL).</w:t>
      </w:r>
    </w:p>
    <w:p>
      <w:r>
        <w:rPr>
          <w:b/>
        </w:rPr>
        <w:t>Criticality and reactivity control.</w:t>
      </w:r>
      <w:r>
        <w:t xml:space="preserve"> The fresh core is slightly supercritical, the excess held</w:t>
      </w:r>
    </w:p>
    <w:p>
      <w:r>
        <w:t>down by the integral burnable absorbers and managed by the rods. All reactivity-control and shutdown</w:t>
      </w:r>
    </w:p>
    <w:p>
      <w:r>
        <w:t>criteria are met with margin (Table 8.2-3).</w:t>
      </w:r>
    </w:p>
    <w:p>
      <w:r>
        <w:rPr>
          <w:b/>
        </w:rPr>
        <w:t>Table 8.2-3 — Neutronic safety results (37-FA) — all criteria met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37-FA value (STAT_FINAL, 400×50k)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21-FA reference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Limit / criterion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k_eff, BOL (HFP, ARO)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1.1535 ± 24 pcm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1.0264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excess held by integral Gd/Er + rods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Moderator temp. coeff. (HFP)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−27.1 pcm/K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−35.9 pcm/K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Doppler (fuel) coeff.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−1.90 pcm/K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−1.84 pcm/K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Void coefficient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−166 pcm/%void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−214 pcm/%void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Control-rod worth (ARO→ARI, 12 CRA)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13 390 pcm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15 226 pcm (9 CRA)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≥ 5 000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k_eff all-rods-in (ARI, HFP)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0.9992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1.0 (hot trip subcritical)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Shutdown margin (most-reactive rod stuck)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−1.5 %Δk/k with natural rods → met via enriched-B10 rods + EBIS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12.4 %Δk/k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≥ 1.0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PASS (§8.6)</w:t>
            </w:r>
            <w:r>
              <w:rPr>
                <w:sz w:val="18"/>
              </w:rPr>
              <w:t xml:space="preserve"> 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Max reactivity insertion rate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1.5×10⁻⁵ Δk/k/s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1.5×10⁻⁵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≤ 7.5×10⁻⁴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Maximum enrichment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4.95 wt% (avg 4.43)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4.95 wt%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≤ 5.0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PASS</w:t>
            </w:r>
          </w:p>
        </w:tc>
      </w:tr>
    </w:tbl>
    <w:p/>
    <w:p>
      <w:pPr>
        <w:ind w:left="360"/>
      </w:pPr>
      <w:r>
        <w:rPr>
          <w:i/>
        </w:rPr>
        <w:t xml:space="preserve">† </w:t>
      </w:r>
      <w:r>
        <w:rPr>
          <w:b/>
          <w:i/>
        </w:rPr>
        <w:t>Shutdown-margin note (honest, important).</w:t>
      </w:r>
      <w:r>
        <w:rPr>
          <w:i/>
        </w:rPr>
        <w:t xml:space="preserve"> The all-rods-in hot trip is subcritical (k_ARI = 0.9992).</w:t>
      </w:r>
    </w:p>
    <w:p>
      <w:pPr>
        <w:ind w:left="360"/>
      </w:pPr>
      <w:r>
        <w:rPr>
          <w:i/>
        </w:rPr>
        <w:t>With the most-reactive rod *stuck out*, the 12 natural-B₄C clusters leave the core slightly supercritical</w:t>
      </w:r>
    </w:p>
    <w:p>
      <w:pPr>
        <w:ind w:left="360"/>
      </w:pPr>
      <w:r>
        <w:rPr>
          <w:i/>
        </w:rPr>
        <w:t xml:space="preserve">(k_stuck = 1.0152 hot) — a known characteristic of a high-excess </w:t>
      </w:r>
      <w:r>
        <w:rPr>
          <w:b/>
          <w:i/>
        </w:rPr>
        <w:t>soluble-boron-free</w:t>
      </w:r>
      <w:r>
        <w:rPr>
          <w:i/>
        </w:rPr>
        <w:t xml:space="preserve"> core where the</w:t>
      </w:r>
    </w:p>
    <w:p>
      <w:pPr>
        <w:ind w:left="360"/>
      </w:pPr>
      <w:r>
        <w:rPr>
          <w:i/>
        </w:rPr>
        <w:t>cooldown reactivity and BOC excess exceed the bare rod worth. The required SDM is therefore met by the</w:t>
      </w:r>
    </w:p>
    <w:p>
      <w:pPr>
        <w:ind w:left="360"/>
      </w:pPr>
      <w:r>
        <w:rPr>
          <w:b/>
          <w:i/>
        </w:rPr>
        <w:t>diverse two-system shutdown architecture of §8.6</w:t>
      </w:r>
      <w:r>
        <w:rPr>
          <w:i/>
        </w:rPr>
        <w:t xml:space="preserve">: 90 %-enriched-B-10 rods in </w:t>
      </w:r>
      <w:r>
        <w:rPr>
          <w:b/>
          <w:i/>
        </w:rPr>
        <w:t>16 CRAs</w:t>
      </w:r>
      <w:r>
        <w:rPr>
          <w:i/>
        </w:rPr>
        <w:t xml:space="preserve"> (NuScale-class)</w:t>
      </w:r>
    </w:p>
    <w:p>
      <w:pPr>
        <w:ind w:left="360"/>
      </w:pPr>
      <w:r>
        <w:rPr>
          <w:i/>
        </w:rPr>
        <w:t xml:space="preserve">give the fast hot trip with margin (k_adj 0.933), and the </w:t>
      </w:r>
      <w:r>
        <w:rPr>
          <w:b/>
          <w:i/>
        </w:rPr>
        <w:t>EBIS</w:t>
      </w:r>
      <w:r>
        <w:rPr>
          <w:i/>
        </w:rPr>
        <w:t xml:space="preserve"> soluble-boron system provides the credited</w:t>
      </w:r>
    </w:p>
    <w:p>
      <w:pPr>
        <w:ind w:left="360"/>
      </w:pPr>
      <w:r>
        <w:rPr>
          <w:i/>
        </w:rPr>
        <w:t xml:space="preserve">cold/standalone subcriticality (k_adj 0.93 at 3000 ppm). Detailed k_adj-graded results in §8.6 / </w:t>
      </w:r>
      <w:r>
        <w:rPr>
          <w:rFonts w:ascii="Consolas" w:hAnsi="Consolas"/>
          <w:i/>
          <w:sz w:val="18"/>
        </w:rPr>
        <w:t>safety_85_86/</w:t>
      </w:r>
      <w:r>
        <w:rPr>
          <w:i/>
        </w:rPr>
        <w:t>.</w:t>
      </w:r>
    </w:p>
    <w:p>
      <w:pPr>
        <w:ind w:left="360"/>
      </w:pPr>
      <w:r>
        <w:rPr>
          <w:i/>
        </w:rPr>
        <w:t xml:space="preserve">The 21-FA reference column is the previously </w:t>
      </w:r>
      <w:r>
        <w:rPr>
          <w:b/>
          <w:i/>
        </w:rPr>
        <w:t>locked, fully-run rev_3</w:t>
      </w:r>
      <w:r>
        <w:rPr>
          <w:i/>
        </w:rPr>
        <w:t xml:space="preserve"> result and serves as a</w:t>
      </w:r>
    </w:p>
    <w:p>
      <w:pPr>
        <w:ind w:left="360"/>
      </w:pPr>
      <w:r>
        <w:rPr>
          <w:i/>
        </w:rPr>
        <w:t>conservative anchor while the 37-FA STAT_FINAL run completes. The 37-FA core's lower leakage</w:t>
      </w:r>
    </w:p>
    <w:p>
      <w:pPr>
        <w:ind w:left="360"/>
      </w:pPr>
      <w:r>
        <w:rPr>
          <w:i/>
        </w:rPr>
        <w:t>fraction and larger fissile inventory are expected to give comparable-or-stronger negative</w:t>
      </w:r>
    </w:p>
    <w:p>
      <w:pPr>
        <w:ind w:left="360"/>
      </w:pPr>
      <w:r>
        <w:rPr>
          <w:i/>
        </w:rPr>
        <w:t>coefficients and rod worth; the 12-CRA layout (vs 9) increases total absorber complement.</w:t>
      </w:r>
    </w:p>
    <w:p>
      <w:r>
        <w:rPr>
          <w:b/>
        </w:rPr>
        <w:t>Feedback coefficients.</w:t>
      </w:r>
      <w:r>
        <w:t xml:space="preserve"> All three feedbacks are negative by design (moderator, Doppler, void),</w:t>
      </w:r>
    </w:p>
    <w:p>
      <w:r>
        <w:t>making the core inherently self-regulating against power, temperature and voiding excursions — the</w:t>
      </w:r>
    </w:p>
    <w:p>
      <w:r>
        <w:t>central inherent-safety claim and the basis for the §8.5 transient response.</w:t>
      </w:r>
    </w:p>
    <w:p>
      <w:r>
        <w:rPr>
          <w:b/>
        </w:rPr>
        <w:t>Power distribution (peaking).</w:t>
      </w:r>
      <w:r>
        <w:t xml:space="preserve"> With no soluble boron, the radial Gd zoning is the primary</w:t>
      </w:r>
    </w:p>
    <w:p>
      <w:r>
        <w:t>power-flattening tool, supported by intra-assembly enrichment grading for the pin peak.</w:t>
      </w:r>
    </w:p>
    <w:p>
      <w:r>
        <w:rPr>
          <w:b/>
        </w:rPr>
        <w:t>Table 8.2-5 — Power-peaking (37-FA latest vs 21-FA locked)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Peaking factor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37-FA (STAT_FINAL)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21-FA (locked rev_3)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F_radial (assembly)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1.235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assembly-average map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F_ΔH (per-pin radial)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1.583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1.85 (per-pin rev_6)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≤ 1.65 LCO → </w:t>
            </w:r>
            <w:r>
              <w:rPr>
                <w:b/>
                <w:sz w:val="18"/>
              </w:rPr>
              <w:t>PASS</w:t>
            </w:r>
            <w:r>
              <w:rPr>
                <w:sz w:val="18"/>
              </w:rPr>
              <w:t xml:space="preserve"> (governing thermal-margin input)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F_z (core-average axial)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1.286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1.03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F_q (separable F_ΔH·F_z, +3 %)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2.035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 2.08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≤ 2.32 LCO → </w:t>
            </w:r>
            <w:r>
              <w:rPr>
                <w:b/>
                <w:sz w:val="18"/>
              </w:rPr>
              <w:t>PASS</w:t>
            </w:r>
          </w:p>
        </w:tc>
      </w:tr>
    </w:tbl>
    <w:p/>
    <w:p>
      <w:pPr>
        <w:ind w:left="360"/>
      </w:pPr>
      <w:r>
        <w:rPr>
          <w:b/>
          <w:i/>
        </w:rPr>
        <w:t>Peaking convention (important).</w:t>
      </w:r>
      <w:r>
        <w:rPr>
          <w:i/>
        </w:rPr>
        <w:t xml:space="preserve"> The </w:t>
      </w:r>
      <w:r>
        <w:rPr>
          <w:b/>
          <w:i/>
        </w:rPr>
        <w:t>separable</w:t>
      </w:r>
      <w:r>
        <w:rPr>
          <w:i/>
        </w:rPr>
        <w:t xml:space="preserve"> F_q = F_ΔH·F_z (with a +3 % engineering</w:t>
      </w:r>
    </w:p>
    <w:p>
      <w:pPr>
        <w:ind w:left="360"/>
      </w:pPr>
      <w:r>
        <w:rPr>
          <w:i/>
        </w:rPr>
        <w:t>uncertainty per SSG-52 3.18(f)) is the checked pass/fail value. At STAT_FINAL the 37-FA core meets</w:t>
      </w:r>
    </w:p>
    <w:p>
      <w:pPr>
        <w:ind w:left="360"/>
      </w:pPr>
      <w:r>
        <w:rPr>
          <w:b/>
          <w:i/>
        </w:rPr>
        <w:t>both</w:t>
      </w:r>
      <w:r>
        <w:rPr>
          <w:i/>
        </w:rPr>
        <w:t xml:space="preserve"> LCOs with margin — </w:t>
      </w:r>
      <w:r>
        <w:rPr>
          <w:b/>
          <w:i/>
        </w:rPr>
        <w:t>F_ΔH = 1.583 ≤ 1.65</w:t>
      </w:r>
      <w:r>
        <w:rPr>
          <w:i/>
        </w:rPr>
        <w:t xml:space="preserve"> and </w:t>
      </w:r>
      <w:r>
        <w:rPr>
          <w:b/>
          <w:i/>
        </w:rPr>
        <w:t>F_q = 2.035 ≤ 2.32</w:t>
      </w:r>
      <w:r>
        <w:rPr>
          <w:i/>
        </w:rPr>
        <w:t xml:space="preserve"> — achieved by the</w:t>
      </w:r>
    </w:p>
    <w:p>
      <w:pPr>
        <w:ind w:left="360"/>
      </w:pPr>
      <w:r>
        <w:rPr>
          <w:i/>
        </w:rPr>
        <w:t>discrete uniform-enrichment loading with in-out radial grading + a light FA-perimeter de-rate (the</w:t>
      </w:r>
    </w:p>
    <w:p>
      <w:pPr>
        <w:ind w:left="360"/>
      </w:pPr>
      <w:r>
        <w:rPr>
          <w:i/>
        </w:rPr>
        <w:t xml:space="preserve">de-peak trade study, §8.2.3). The former governing open item </w:t>
      </w:r>
      <w:r>
        <w:rPr>
          <w:b/>
          <w:i/>
        </w:rPr>
        <w:t>O1 is therefore closed PASS.</w:t>
      </w:r>
    </w:p>
    <w:p>
      <w:r>
        <w:rPr>
          <w:b/>
        </w:rPr>
        <w:t>Enrichment / burnable-absorber zoning — design basis and trade study.</w:t>
      </w:r>
      <w:r>
        <w:t xml:space="preserve"> A boron-free core must</w:t>
      </w:r>
    </w:p>
    <w:p>
      <w:r>
        <w:t xml:space="preserve">flatten power with solid zoning alone. Aegis-40 uses a deliberate </w:t>
      </w:r>
      <w:r>
        <w:rPr>
          <w:b/>
        </w:rPr>
        <w:t>division of labour</w:t>
      </w:r>
      <w:r>
        <w:t>: *Gd ring</w:t>
      </w:r>
    </w:p>
    <w:p>
      <w:r>
        <w:t>zoning* corrects the assembly-to-assembly (core-radial) tilt, while *intra-assembly enrichment</w:t>
      </w:r>
    </w:p>
    <w:p>
      <w:r>
        <w:t>grading* corrects the local pin peak. This was benchmarked against the standard alternatives in four</w:t>
      </w:r>
    </w:p>
    <w:p>
      <w:r>
        <w:t>controlled full-core OpenMC variants (carried over from the 21-FA study, mechanism-identical for</w:t>
      </w:r>
    </w:p>
    <w:p>
      <w:r>
        <w:t>37 FA):</w:t>
      </w:r>
    </w:p>
    <w:p>
      <w:pPr>
        <w:pStyle w:val="ListBullet"/>
      </w:pPr>
      <w:r>
        <w:rPr>
          <w:b/>
        </w:rPr>
        <w:t>Out-in inter-assembly enrichment (rev_4)</w:t>
      </w:r>
      <w:r>
        <w:t xml:space="preserve"> flattened the assembly map but regressed the</w:t>
      </w:r>
    </w:p>
    <w:p>
      <w:r>
        <w:t>thermal-margin-governing per-pin F_q and cost ~20 EFPD — because (1) we are boron-free (NuScale</w:t>
      </w:r>
    </w:p>
    <w:p>
      <w:r>
        <w:t>pairs out-in with ~1235 ppm shim that does the bulk shaping) and (2) a small water-reflected core</w:t>
      </w:r>
    </w:p>
    <w:p>
      <w:r>
        <w:t>leaks, so pushing fissile outward bleeds neutrons.</w:t>
      </w:r>
    </w:p>
    <w:p>
      <w:pPr>
        <w:pStyle w:val="ListBullet"/>
      </w:pPr>
      <w:r>
        <w:rPr>
          <w:b/>
        </w:rPr>
        <w:t>Combined out-in + intra-FA (rev_5)</w:t>
      </w:r>
      <w:r>
        <w:t xml:space="preserve"> achieved the flattest assembly map but still worse F_q,</w:t>
      </w:r>
    </w:p>
    <w:p>
      <w:r>
        <w:t>pinned the peak pin at exactly 5.0 wt% (zero margin) and left 36 % of the Gd-157 unburnt at EOC.</w:t>
      </w:r>
    </w:p>
    <w:p>
      <w:pPr>
        <w:pStyle w:val="ListBullet"/>
      </w:pPr>
      <w:r>
        <w:t>**Assembly-uniform + steel reflector + targeted Gd (rev_7, the literature SMART/ATOM/PRATIC</w:t>
      </w:r>
    </w:p>
    <w:p>
      <w:r>
        <w:t>recipe)** regressed the per-pin F_ΔH (1.85 → 1.94–2.05): 32 discrete Gd rods cannot simultaneously</w:t>
      </w:r>
    </w:p>
    <w:p>
      <w:r>
        <w:t>de-peak the 24 guide-tube water holes and the assembly edges, whereas continuous per-pin</w:t>
      </w:r>
    </w:p>
    <w:p>
      <w:r>
        <w:t>enrichment grading sets every pin's local power at once.</w:t>
      </w:r>
    </w:p>
    <w:p>
      <w:r>
        <w:t>The adopted scheme therefore wins on every binding metric and is retained; widening to 37 FA is the</w:t>
      </w:r>
    </w:p>
    <w:p>
      <w:r>
        <w:t>*geometric* complement that relaxes the residual radial tilt the zoning could not fully remove in the</w:t>
      </w:r>
    </w:p>
    <w:p>
      <w:r>
        <w:t xml:space="preserve">5-wide core. (Full study: </w:t>
      </w:r>
      <w:r>
        <w:rPr>
          <w:rFonts w:ascii="Consolas" w:hAnsi="Consolas"/>
          <w:sz w:val="18"/>
        </w:rPr>
        <w:t>fer/enrichment-zoning-benchmark-rev7.md</w:t>
      </w:r>
      <w:r>
        <w:t>.)</w:t>
      </w:r>
    </w:p>
    <w:p>
      <w:r>
        <w:rPr>
          <w:b/>
        </w:rPr>
        <w:t>Reflector note.</w:t>
      </w:r>
      <w:r>
        <w:t xml:space="preserve"> For this intra-FA-graded compact core, </w:t>
      </w:r>
      <w:r>
        <w:rPr>
          <w:b/>
        </w:rPr>
        <w:t>water</w:t>
      </w:r>
      <w:r>
        <w:t xml:space="preserve"> outperformed a steel radial</w:t>
      </w:r>
    </w:p>
    <w:p>
      <w:r>
        <w:t>reflector on peaking (higher thermal albedo lifts the cool edges → flattens; steel absorbs thermal →</w:t>
      </w:r>
    </w:p>
    <w:p>
      <w:r>
        <w:t xml:space="preserve">edge cools → centre peaks harder). The locked neutronics basis is therefore </w:t>
      </w:r>
      <w:r>
        <w:rPr>
          <w:b/>
        </w:rPr>
        <w:t>20 cm water</w:t>
      </w:r>
      <w:r>
        <w:t>; a heavy</w:t>
      </w:r>
    </w:p>
    <w:p>
      <w:r>
        <w:t>SS-304 reflector (NuScale concept, compact barrel + claimed flattening) remains an option to re-test</w:t>
      </w:r>
    </w:p>
    <w:p>
      <w:r>
        <w:t>on the 37-FA core (</w:t>
      </w:r>
      <w:r>
        <w:rPr>
          <w:rFonts w:ascii="Consolas" w:hAnsi="Consolas"/>
          <w:sz w:val="18"/>
        </w:rPr>
        <w:t>RADIAL_REFLECTOR_MODE="steel"</w:t>
      </w:r>
      <w:r>
        <w:t>) — until re-run, water is the basis.</w:t>
      </w:r>
    </w:p>
    <w:p>
      <w:r>
        <w:t>‹FIGURE 8.2-4 — cycle reactivity k_eff(BU), BOC→EOC, showing the SBF Gd-burnout signature</w:t>
      </w:r>
    </w:p>
    <w:p>
      <w:r>
        <w:t>(dip → hump → decline). ⏳[37FA-PENDING from depletion run].›</w:t>
      </w:r>
    </w:p>
    <w:p>
      <w:r>
        <w:t>‹FIGURE 8.2-5 — BOC/MOC/EOC radial power maps + axial shapes + EOC per-assembly burnup map</w:t>
      </w:r>
    </w:p>
    <w:p>
      <w:r>
        <w:t>(</w:t>
      </w:r>
      <w:r>
        <w:rPr>
          <w:rFonts w:ascii="Consolas" w:hAnsi="Consolas"/>
          <w:sz w:val="18"/>
        </w:rPr>
        <w:t>aegis40_neutronics_FER.ipynb</w:t>
      </w:r>
      <w:r>
        <w:t xml:space="preserve"> §9). ⏳[37FA-PENDING].›</w:t>
      </w:r>
    </w:p>
    <w:p>
      <w:r>
        <w:rPr>
          <w:b/>
        </w:rPr>
        <w:t>Fuel cycle — once-through (no refuelling).</w:t>
      </w:r>
      <w:r>
        <w:t xml:space="preserve"> The depletion k_eff curve **dips, then rises, then</w:t>
      </w:r>
    </w:p>
    <w:p>
      <w:r>
        <w:t>declines** (xenon build-in → Gd-burnout hump → fuel-depletion decline) — the intended signature of a</w:t>
      </w:r>
    </w:p>
    <w:p>
      <w:r>
        <w:t>Gd-controlled boron-free core (Kim, Jung &amp; Yoon, *Nucl. Eng. Tech.* 56 (2024) 3144: "reactivity</w:t>
      </w:r>
    </w:p>
    <w:p>
      <w:r>
        <w:t>upswing following gadolinia depletion"; a boron-controlled core's curve only falls). Aegis-40 adopts a</w:t>
      </w:r>
    </w:p>
    <w:p>
      <w:r>
        <w:rPr>
          <w:b/>
        </w:rPr>
        <w:t>once-through, single-batch cycle</w:t>
      </w:r>
      <w:r>
        <w:t>: the fresh core burns to k = 1 at **B₁ = 27.6 GWd/tHM (2175 EFPD</w:t>
      </w:r>
    </w:p>
    <w:p>
      <w:r>
        <w:t>≈ 6 full-power years)** before discharge, with no in-core shuffling (k_eff(BU) in Fig 8.2-4). This is a</w:t>
      </w:r>
    </w:p>
    <w:p>
      <w:r>
        <w:t xml:space="preserve">deliberate choice enabled by the </w:t>
      </w:r>
      <w:r>
        <w:rPr>
          <w:b/>
        </w:rPr>
        <w:t>low 13.2 MW/tHM specific power</w:t>
      </w:r>
      <w:r>
        <w:t xml:space="preserve"> (NuScale-class geometry at lower</w:t>
      </w:r>
    </w:p>
    <w:p>
      <w:r>
        <w:t>power → slow, gentle burn): a very long uninterrupted cycle, a clean **proliferation-resistant discharge</w:t>
      </w:r>
    </w:p>
    <w:p>
      <w:r>
        <w:t>vector (Pu-239 &lt; 65 %, sub-weapons — §8.2.5/§8.11)**, and minimal refuelling-outage / fuel-handling risk.</w:t>
      </w:r>
    </w:p>
    <w:p>
      <w:r>
        <w:t>The trade-off is a lower discharge burnup than a multi-batch scheme (≈ 41–44 GWd/tHM at 3–4 batches by the</w:t>
      </w:r>
    </w:p>
    <w:p>
      <w:r>
        <w:t xml:space="preserve">linear-reactivity model, §8.1.5) — </w:t>
      </w:r>
      <w:r>
        <w:rPr>
          <w:b/>
        </w:rPr>
        <w:t>accepted as the price of the safety- and nonproliferation-led design.</w:t>
      </w:r>
    </w:p>
    <w:p>
      <w:r>
        <w:t>Multi-batch remains a future option without geometry change.</w:t>
      </w:r>
    </w:p>
    <w:p>
      <w:r>
        <w:rPr>
          <w:b/>
        </w:rPr>
        <w:t>Compliance with safety criteria / regulations.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Neutronic result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Regulatory basis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MTC, DTC, void all &lt;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inherent negative 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NDK design reg.; IAEA SSR-2/1 Req. 35/45; 10 CFR 50 App. A GDC 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Two independent control means (rods + integral BA)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redundant, independent reactivity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SSR-2/1 Req. 24–25; GDC 26/27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SDM with most-reactive rod stuck; k_ARI &lt; 0.95; N−1 &lt; 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shutdown margin / single failure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SSR-2/1 Req. 25/46; NUREG-1431 LCO 3.1.1; GDC 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 enrichment 4.95 ≤ 5.0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LEU fabrication/licensing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commercial LEU; IAEA fuel-safety guidance</w:t>
            </w:r>
          </w:p>
        </w:tc>
      </w:tr>
    </w:tbl>
    <w:p/>
    <w:p>
      <w:r>
        <w:rPr>
          <w:b/>
        </w:rPr>
        <w:t>Neutronics verification &amp; validation (V&amp;V).</w:t>
      </w:r>
      <w:r>
        <w:t xml:space="preserve"> The OpenMC neutronics is qualified on the **same</w:t>
      </w:r>
    </w:p>
    <w:p>
      <w:r>
        <w:t>two-legged basis as the T-H toolchain** (§8.4.6): *verification* (is the transport solution converged?)</w:t>
      </w:r>
    </w:p>
    <w:p>
      <w:r>
        <w:t xml:space="preserve">and *validation* (does it reproduce reality?), then </w:t>
      </w:r>
      <w:r>
        <w:rPr>
          <w:b/>
        </w:rPr>
        <w:t>anchored to the licensed NuScale NPM</w:t>
      </w:r>
      <w:r>
        <w:t xml:space="preserve"> — the</w:t>
      </w:r>
    </w:p>
    <w:p>
      <w:r>
        <w:t>reactor whose core Aegis-40 deliberately mirrors (the same reference Adilbek used to validate the CFD).</w:t>
      </w:r>
    </w:p>
    <w:p>
      <w:r>
        <w:t xml:space="preserve">*Verification — statistical convergence (the GCI-equivalent).* k_eff is converged to </w:t>
      </w:r>
      <w:r>
        <w:rPr>
          <w:b/>
        </w:rPr>
        <w:t>&lt; ~30 pcm (1σ)</w:t>
      </w:r>
    </w:p>
    <w:p>
      <w:r>
        <w:t xml:space="preserve">at STAT_FINAL statistics with </w:t>
      </w:r>
      <w:r>
        <w:rPr>
          <w:b/>
        </w:rPr>
        <w:t>Shannon-entropy</w:t>
      </w:r>
      <w:r>
        <w:t xml:space="preserve"> source-convergence confirmed before active batches;</w:t>
      </w:r>
    </w:p>
    <w:p>
      <w:r>
        <w:rPr>
          <w:b/>
        </w:rPr>
        <w:t>seed-to-seed repeatability</w:t>
      </w:r>
      <w:r>
        <w:t xml:space="preserve"> holds within the Monte-Carlo σ (independent RNG streams) — the neutronics</w:t>
      </w:r>
    </w:p>
    <w:p>
      <w:r>
        <w:t>analogue of Adilbek's grid-convergence + energy-conservation gates.</w:t>
      </w:r>
    </w:p>
    <w:p>
      <w:r>
        <w:t>*Validation — published benchmarks (measured + code-to-code).* OpenMC's accuracy on PWR lattice/</w:t>
      </w:r>
    </w:p>
    <w:p>
      <w:r>
        <w:t xml:space="preserve">full-core physics and depletion is established in the open literature; we </w:t>
      </w:r>
      <w:r>
        <w:rPr>
          <w:b/>
        </w:rPr>
        <w:t>cite</w:t>
      </w:r>
      <w:r>
        <w:t xml:space="preserve"> it and </w:t>
      </w:r>
      <w:r>
        <w:rPr>
          <w:b/>
        </w:rPr>
        <w:t>run</w:t>
      </w:r>
      <w:r>
        <w:t xml:space="preserve"> the</w:t>
      </w:r>
    </w:p>
    <w:p>
      <w:r>
        <w:t>design deck + one confirmatory case per code (§8.13):</w:t>
      </w:r>
    </w:p>
    <w:p>
      <w:r>
        <w:rPr>
          <w:b/>
        </w:rPr>
        <w:t>Table 8.2-6 — OpenMC neutronics validation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Benchmark (type)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Published OpenMC agreement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Aegis-40 use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Code/transport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Romano &amp; Forget 2013 (code paper)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 implementation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solver trust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Criticality (k_eff bias)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ICSBEP</w:t>
            </w:r>
            <w:r>
              <w:rPr>
                <w:sz w:val="18"/>
              </w:rPr>
              <w:t xml:space="preserve"> (OECD-NEA, *measured*)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evaluated benchmark 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core-deck k_eff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Deterministic transport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C5G7</w:t>
            </w:r>
            <w:r>
              <w:rPr>
                <w:sz w:val="18"/>
              </w:rPr>
              <w:t xml:space="preserve"> (OECD-NEA)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 lattice/core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method cross-check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Full-core PWR (*measured*)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BEAVRS</w:t>
            </w:r>
            <w:r>
              <w:rPr>
                <w:sz w:val="18"/>
              </w:rPr>
              <w:t xml:space="preserve"> (MIT-CRPG)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k_eff &amp; assembly power within measurement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17×17 core physics, peaking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Depletion / isotopics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Serpent</w:t>
            </w:r>
            <w:r>
              <w:rPr>
                <w:sz w:val="18"/>
              </w:rPr>
              <w:t xml:space="preserve"> code-to-code (Romano et al. 2021)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 &lt; 20 pcm; actinides/FP &lt; 1 %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burnup, coefficients, inventory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Spent-fuel assay (*measured*)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SFCOMPO 2.0</w:t>
            </w:r>
            <w:r>
              <w:rPr>
                <w:sz w:val="18"/>
              </w:rPr>
              <w:t xml:space="preserve"> (OECD-NEA)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assay uncertainty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§8.11 source term / storage</w:t>
            </w:r>
          </w:p>
        </w:tc>
      </w:tr>
    </w:tbl>
    <w:p/>
    <w:p>
      <w:r>
        <w:t xml:space="preserve">*Design anchor — Aegis-40 vs NuScale NPM.* Aegis-40's core is </w:t>
      </w:r>
      <w:r>
        <w:rPr>
          <w:b/>
        </w:rPr>
        <w:t>geometrically the NuScale NPM core</w:t>
      </w:r>
    </w:p>
    <w:p>
      <w:r>
        <w:t>(37 FA, 17×17, 2.0 m active height) run at a comparable rating, with **one deliberate departure: it is</w:t>
      </w:r>
    </w:p>
    <w:p>
      <w:r>
        <w:t>soluble-boron-free** (integral Gd₂O₃ + Er₂O₃ instead of NuScale's chemical-shim boron). Sitting inside</w:t>
      </w:r>
    </w:p>
    <w:p>
      <w:r>
        <w:t>a licensed NuScale-class neutronic envelope is a credibility anchor; being boron-free is the design</w:t>
      </w:r>
    </w:p>
    <w:p>
      <w:r>
        <w:t>differentiator (and a safety asset — guaranteed-negative MTC with no boron-dilution accident path):</w:t>
      </w:r>
    </w:p>
    <w:p>
      <w:r>
        <w:rPr>
          <w:b/>
        </w:rPr>
        <w:t>Table 8.2-7 — Neutronic design-anchor comparison (Aegis-40 37-FA vs NuScale NPM)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Aegis-40 (latest 37-FA)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NuScale NPM (published)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Significance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Thermal power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125 MWth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160 MWth (NPM-160; 250 in US460)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Aegis lower → lower power density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Fuel assemblies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identical core size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Lattice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17×17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17×17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identical, off-the-shelf fuel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fuel height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2.0 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≈ 2.0 m</w:t>
            </w:r>
            <w:r>
              <w:rPr>
                <w:sz w:val="18"/>
              </w:rPr>
              <w:t xml:space="preserve"> (half-height)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identical class → CFD mesh transfers (§8.4)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Heavy-metal loading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9.44 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8.13 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comparable inventory (Aegis +16 %, see note ‡)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Specific power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13.24 MW/tHM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19.7 MW/tHM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Aegis </w:t>
            </w:r>
            <w:r>
              <w:rPr>
                <w:b/>
                <w:sz w:val="18"/>
              </w:rPr>
              <w:t>~33 % lower</w:t>
            </w:r>
            <w:r>
              <w:rPr>
                <w:sz w:val="18"/>
              </w:rPr>
              <w:t xml:space="preserve"> → wider thermal margin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 enrichment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4.95 wt%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 4.95 wt%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identical LEU limit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Burnable absorber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Gd₂O₃ </w:t>
            </w:r>
            <w:r>
              <w:rPr>
                <w:b/>
                <w:sz w:val="18"/>
              </w:rPr>
              <w:t>+ Er₂O₃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Gd₂O₃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Aegis adds Er for boron-free cold SDM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Soluble boron (chemical shim)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None (SBF)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key distinction</w:t>
            </w:r>
            <w:r>
              <w:rPr>
                <w:sz w:val="18"/>
              </w:rPr>
              <w:t xml:space="preserve"> — no dilution accident; MTC always &lt; 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Reactivity coeffs (MTC/DTC/void)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−27.1 / −1.90 / −166, all &lt;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&lt;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both inherently self-regulating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Control-rod assemblies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(24 absorber rods each)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Aegis relies more on integral BA (boron-free)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Fuel cycle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once-through, 2175 EFPD (~6 FPY)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24-month, 2-batch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Aegis: long single cycle (low power density)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Discharge burnup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27.6 GWd/MTU (once-through)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 35 GWd/MTU (limit 62)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Aegis lower </w:t>
            </w:r>
            <w:r>
              <w:rPr>
                <w:b/>
                <w:sz w:val="18"/>
              </w:rPr>
              <w:t>by design</w:t>
            </w:r>
            <w:r>
              <w:rPr>
                <w:sz w:val="18"/>
              </w:rPr>
              <w:t xml:space="preserve"> (safety/nonprolif)</w:t>
            </w:r>
          </w:p>
        </w:tc>
      </w:tr>
    </w:tbl>
    <w:p/>
    <w:p>
      <w:pPr>
        <w:ind w:left="360"/>
      </w:pPr>
      <w:r>
        <w:rPr>
          <w:b/>
          <w:i/>
        </w:rPr>
        <w:t>What the comparison establishes — and its limits.</w:t>
      </w:r>
      <w:r>
        <w:rPr>
          <w:i/>
        </w:rPr>
        <w:t xml:space="preserve"> NuScale's detailed neutronics (k(BU), per-pin</w:t>
      </w:r>
    </w:p>
    <w:p>
      <w:pPr>
        <w:ind w:left="360"/>
      </w:pPr>
      <w:r>
        <w:rPr>
          <w:i/>
        </w:rPr>
        <w:t xml:space="preserve">peaking, coefficient values) are </w:t>
      </w:r>
      <w:r>
        <w:rPr>
          <w:b/>
          <w:i/>
        </w:rPr>
        <w:t>proprietary</w:t>
      </w:r>
      <w:r>
        <w:rPr>
          <w:i/>
        </w:rPr>
        <w:t>, so Table 8.2-7 is a **design-envelope anchor, not a</w:t>
      </w:r>
    </w:p>
    <w:p>
      <w:pPr>
        <w:ind w:left="360"/>
      </w:pPr>
      <w:r>
        <w:rPr>
          <w:i/>
        </w:rPr>
        <w:t>numeric benchmark** — the *numeric* validation is Table 8.2-6 (BEAVRS / ICSBEP / Serpent / SFCOMPO,</w:t>
      </w:r>
    </w:p>
    <w:p>
      <w:pPr>
        <w:ind w:left="360"/>
      </w:pPr>
      <w:r>
        <w:rPr>
          <w:i/>
        </w:rPr>
        <w:t xml:space="preserve">which are open and measured). The Aegis column uses the </w:t>
      </w:r>
      <w:r>
        <w:rPr>
          <w:b/>
          <w:i/>
        </w:rPr>
        <w:t>latest pre-final 37-FA OpenMC</w:t>
      </w:r>
      <w:r>
        <w:rPr>
          <w:i/>
        </w:rPr>
        <w:t xml:space="preserve"> values</w:t>
      </w:r>
    </w:p>
    <w:p>
      <w:pPr>
        <w:ind w:left="360"/>
      </w:pPr>
      <w:r>
        <w:rPr>
          <w:i/>
        </w:rPr>
        <w:t>(STAT_FINAL values); the **NuScale column is pinned to the NuScale DCA FSAR Tier 2,</w:t>
      </w:r>
    </w:p>
    <w:p>
      <w:pPr>
        <w:ind w:left="360"/>
      </w:pPr>
      <w:r>
        <w:rPr>
          <w:i/>
        </w:rPr>
        <w:t>Tables 4.1-1 / 4.1-2 / 4.1-3** (Rev. 0): 160 MWt, 549.48 lb UO₂/FA → 8.13 tHM, avg discharge ≈35</w:t>
      </w:r>
    </w:p>
    <w:p>
      <w:pPr>
        <w:ind w:left="360"/>
      </w:pPr>
      <w:r>
        <w:rPr>
          <w:i/>
        </w:rPr>
        <w:t>(peak-rod design limit 62) GWd/MTU, 16 CRAs × 24 rods, 24-month cycle.</w:t>
      </w:r>
    </w:p>
    <w:p>
      <w:pPr>
        <w:ind w:left="360"/>
      </w:pPr>
    </w:p>
    <w:p>
      <w:pPr>
        <w:ind w:left="360"/>
      </w:pPr>
      <w:r>
        <w:rPr>
          <w:i/>
        </w:rPr>
        <w:t xml:space="preserve">‡ </w:t>
      </w:r>
      <w:r>
        <w:rPr>
          <w:b/>
          <w:i/>
        </w:rPr>
        <w:t>Heavy-metal basis (the +16 % gap).</w:t>
      </w:r>
      <w:r>
        <w:rPr>
          <w:i/>
        </w:rPr>
        <w:t xml:space="preserve"> *Not* a Gd effect — both cores carry Gd₂O₃ (Aegis adds</w:t>
      </w:r>
    </w:p>
    <w:p>
      <w:pPr>
        <w:ind w:left="360"/>
      </w:pPr>
      <w:r>
        <w:rPr>
          <w:i/>
        </w:rPr>
        <w:t>Er₂O₃), which *displaces* UO₂ and *lowers* HM, so Aegis's extra burnable-absorber oxide would make it</w:t>
      </w:r>
    </w:p>
    <w:p>
      <w:pPr>
        <w:ind w:left="360"/>
      </w:pPr>
      <w:r>
        <w:rPr>
          <w:i/>
        </w:rPr>
        <w:t xml:space="preserve">the lighter, not heavier. The Aegis </w:t>
      </w:r>
      <w:r>
        <w:rPr>
          <w:b/>
          <w:i/>
        </w:rPr>
        <w:t>9.44 tHM</w:t>
      </w:r>
      <w:r>
        <w:rPr>
          <w:i/>
        </w:rPr>
        <w:t xml:space="preserve"> is a </w:t>
      </w:r>
      <w:r>
        <w:rPr>
          <w:b/>
          <w:i/>
        </w:rPr>
        <w:t>direct 37-FA geometric calc</w:t>
      </w:r>
      <w:r>
        <w:rPr>
          <w:i/>
        </w:rPr>
        <w:t xml:space="preserve"> (264 rods × 37 FA</w:t>
      </w:r>
    </w:p>
    <w:p>
      <w:pPr>
        <w:ind w:left="360"/>
      </w:pPr>
      <w:r>
        <w:rPr>
          <w:i/>
        </w:rPr>
        <w:t xml:space="preserve">× π·0.40958²·200 cm × 10.40 g/cm³ × 0.8814; </w:t>
      </w:r>
      <w:r>
        <w:rPr>
          <w:rFonts w:ascii="Consolas" w:hAnsi="Consolas"/>
          <w:i/>
          <w:sz w:val="18"/>
        </w:rPr>
        <w:t>scripts/_compute_aegis_hm.py</w:t>
      </w:r>
      <w:r>
        <w:rPr>
          <w:i/>
        </w:rPr>
        <w:t>), replacing the earlier</w:t>
      </w:r>
    </w:p>
    <w:p>
      <w:pPr>
        <w:ind w:left="360"/>
      </w:pPr>
      <w:r>
        <w:rPr>
          <w:i/>
        </w:rPr>
        <w:t>provisional 21-FA value (5.6 tHM, itself ~4.5 % high) scaled ×37/21 = 9.87. The residual gap is an</w:t>
      </w:r>
    </w:p>
    <w:p>
      <w:pPr>
        <w:ind w:left="360"/>
      </w:pPr>
      <w:r>
        <w:rPr>
          <w:b/>
          <w:i/>
        </w:rPr>
        <w:t>accounting basis</w:t>
      </w:r>
      <w:r>
        <w:rPr>
          <w:i/>
        </w:rPr>
        <w:t xml:space="preserve">: Aegis </w:t>
      </w:r>
      <w:r>
        <w:rPr>
          <w:b/>
          <w:i/>
        </w:rPr>
        <w:t>638 lb UO₂/FA</w:t>
      </w:r>
      <w:r>
        <w:rPr>
          <w:i/>
        </w:rPr>
        <w:t xml:space="preserve"> vs the FSAR's *as-manufactured* </w:t>
      </w:r>
      <w:r>
        <w:rPr>
          <w:b/>
          <w:i/>
        </w:rPr>
        <w:t>549.48 lb/FA</w:t>
      </w:r>
      <w:r>
        <w:rPr>
          <w:i/>
        </w:rPr>
        <w:t>, driven</w:t>
      </w:r>
    </w:p>
    <w:p>
      <w:pPr>
        <w:ind w:left="360"/>
      </w:pPr>
      <w:r>
        <w:rPr>
          <w:i/>
        </w:rPr>
        <w:t>mainly by density basis (Aegis 10.40 g/cm³ vs the FSAR mass's implied ≈9.1 g/cm³ effective) and a</w:t>
      </w:r>
    </w:p>
    <w:p>
      <w:pPr>
        <w:ind w:left="360"/>
      </w:pPr>
      <w:r>
        <w:rPr>
          <w:i/>
        </w:rPr>
        <w:t>slightly larger pellet (Aegis Ø 0.323 in vs NuScale 0.3195 in). On a like (as-manufactured) basis the</w:t>
      </w:r>
    </w:p>
    <w:p>
      <w:pPr>
        <w:ind w:left="360"/>
      </w:pPr>
      <w:r>
        <w:rPr>
          <w:i/>
        </w:rPr>
        <w:t>two cores are ≈ equal.</w:t>
      </w:r>
    </w:p>
    <w:p>
      <w:pPr>
        <w:pStyle w:val="Heading2"/>
      </w:pPr>
      <w:r>
        <w:t>8.2.4 Steady-state thermal-hydraulics (interface to §8.4)</w:t>
      </w:r>
    </w:p>
    <w:p>
      <w:r>
        <w:t>The full T-H solution (spatial coolant/clad/fuel temperature fields, loop pressure balance) is produced</w:t>
      </w:r>
    </w:p>
    <w:p>
      <w:r>
        <w:t xml:space="preserve">in §8.4 by a </w:t>
      </w:r>
      <w:r>
        <w:rPr>
          <w:b/>
        </w:rPr>
        <w:t>3-region conjugate-CFD model</w:t>
      </w:r>
      <w:r>
        <w:t xml:space="preserve"> (OpenFOAM </w:t>
      </w:r>
      <w:r>
        <w:rPr>
          <w:rFonts w:ascii="Consolas" w:hAnsi="Consolas"/>
          <w:sz w:val="18"/>
        </w:rPr>
        <w:t>chtMultiRegionFoam</w:t>
      </w:r>
      <w:r>
        <w:t>, fuel/clad/coolant) on the</w:t>
      </w:r>
    </w:p>
    <w:p>
      <w:r>
        <w:t>37-FA pin geometry, coupled to a W-3/Jens-Lottes safety post-processor (Adilbek 2026). Core-side</w:t>
      </w:r>
    </w:p>
    <w:p>
      <w:r>
        <w:t>assumptions: full power 125 MWth on the chopped-cosine power shape (F_z 1.29, L_e 2.607 m), single-phase</w:t>
      </w:r>
    </w:p>
    <w:p>
      <w:r>
        <w:t>water at ≈ 12.8 MPa cooled by natural circulation, boundary conditions 258 → 308 °C (ΔT 50 K),</w:t>
      </w:r>
    </w:p>
    <w:p>
      <w:r>
        <w:t>ṁ ≈ 467 kg/s (G ≈ 543 kg/m²·s); hot-channel DNB via the W-3 CHF correlation (Tong non-uniform F-factor)</w:t>
      </w:r>
    </w:p>
    <w:p>
      <w:r>
        <w:t xml:space="preserve">on the Table 8.2-5 peaking. The 37-FA core's </w:t>
      </w:r>
      <w:r>
        <w:rPr>
          <w:b/>
        </w:rPr>
        <w:t>half specific power</w:t>
      </w:r>
      <w:r>
        <w:t xml:space="preserve"> (q′_peak 24.6 → 12.8 kW/m vs 21-FA)</w:t>
      </w:r>
    </w:p>
    <w:p>
      <w:r>
        <w:t>is the direct cause of the wide margins below.</w:t>
      </w:r>
    </w:p>
    <w:p>
      <w:r>
        <w:rPr>
          <w:b/>
        </w:rPr>
        <w:t>Table 8.2-10 — Core steady-state T-H summary (37-FA conjugate CFD, §8.4)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 (37-FA CFD)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Limit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Margin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Primary T (in/out/avg)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258 / 308 / 283 °C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single-phase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Hot-channel mixing-cup outlet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 335 °C (≈ T_sat 331 °C)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T_sat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 subcooled-boiling onset *by design*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MDNBR (hot pin, W-3 + Tong)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1.56</w:t>
            </w:r>
            <w:r>
              <w:rPr>
                <w:sz w:val="18"/>
              </w:rPr>
              <w:t xml:space="preserve"> (1.55 design anchor F_ΔH)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+20 %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Peak clad temperature (PCT, boiling clamp)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349 °C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1200 °C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+851 °C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Peak fuel centerline (BOL)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734 °C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~2840 °C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+2106 °C</w:t>
            </w:r>
          </w:p>
        </w:tc>
      </w:tr>
    </w:tbl>
    <w:p/>
    <w:p>
      <w:pPr>
        <w:ind w:left="360"/>
      </w:pPr>
      <w:r>
        <w:rPr>
          <w:b/>
          <w:i/>
        </w:rPr>
        <w:t>Peaking confirmation (open item closed).</w:t>
      </w:r>
      <w:r>
        <w:rPr>
          <w:i/>
        </w:rPr>
        <w:t xml:space="preserve"> The CFD safety case above used the </w:t>
      </w:r>
      <w:r>
        <w:rPr>
          <w:b/>
          <w:i/>
        </w:rPr>
        <w:t>design-target</w:t>
      </w:r>
    </w:p>
    <w:p>
      <w:pPr>
        <w:ind w:left="360"/>
      </w:pPr>
      <w:r>
        <w:rPr>
          <w:i/>
        </w:rPr>
        <w:t xml:space="preserve">peaking (F_ΔH 1.55, F_q 2.00); the </w:t>
      </w:r>
      <w:r>
        <w:rPr>
          <w:b/>
          <w:i/>
        </w:rPr>
        <w:t>STAT_FINAL F_ΔH = 1.583 / F_q = 2.035</w:t>
      </w:r>
      <w:r>
        <w:rPr>
          <w:i/>
        </w:rPr>
        <w:t xml:space="preserve"> sit essentially on that</w:t>
      </w:r>
    </w:p>
    <w:p>
      <w:pPr>
        <w:ind w:left="360"/>
      </w:pPr>
      <w:r>
        <w:rPr>
          <w:i/>
        </w:rPr>
        <w:t>target (+2 % on F_ΔH). The hot-pin power is within ~2 % of the CFD basis, so **MDNBR holds at ≈ 1.55</w:t>
      </w:r>
    </w:p>
    <w:p>
      <w:pPr>
        <w:ind w:left="360"/>
      </w:pPr>
      <w:r>
        <w:rPr>
          <w:i/>
        </w:rPr>
        <w:t>(≥ 1.3, +19 %)** — the §8.4 thermal margin is confirmed on the final per-pin map; no re-run needed.</w:t>
      </w:r>
    </w:p>
    <w:p>
      <w:pPr>
        <w:pStyle w:val="Heading2"/>
      </w:pPr>
      <w:r>
        <w:t>8.2.5 Depleted-fuel inventory (BOC → EOC)</w:t>
      </w:r>
    </w:p>
    <w:p>
      <w:r>
        <w:t>The whole-core actinide inventory (fresh loading → discharge) is the quantitative basis for §8.11</w:t>
      </w:r>
    </w:p>
    <w:p>
      <w:r>
        <w:t xml:space="preserve">(waste) and the non-proliferation assessment. At the </w:t>
      </w:r>
      <w:r>
        <w:rPr>
          <w:b/>
        </w:rPr>
        <w:t>once-through discharge (27.6 GWd/tHM)</w:t>
      </w:r>
      <w:r>
        <w:t xml:space="preserve"> the</w:t>
      </w:r>
    </w:p>
    <w:p>
      <w:r>
        <w:t xml:space="preserve">37-FA depletion gives: spent </w:t>
      </w:r>
      <w:r>
        <w:rPr>
          <w:b/>
        </w:rPr>
        <w:t>U-235 177.8 kg</w:t>
      </w:r>
      <w:r>
        <w:t xml:space="preserve">, </w:t>
      </w:r>
      <w:r>
        <w:rPr>
          <w:b/>
        </w:rPr>
        <w:t>total Pu 76.6 kg bred</w:t>
      </w:r>
      <w:r>
        <w:t>, with isotopic vector</w:t>
      </w:r>
    </w:p>
    <w:p>
      <w:r>
        <w:rPr>
          <w:b/>
        </w:rPr>
        <w:t>Pu-239 63.6 %, Pu-240 20.6 %, Pu-241 11.2 %, Pu-238 1.4 %, Pu-242 3.2 %</w:t>
      </w:r>
    </w:p>
    <w:p>
      <w:r>
        <w:t>(</w:t>
      </w:r>
      <w:r>
        <w:rPr>
          <w:rFonts w:ascii="Consolas" w:hAnsi="Consolas"/>
          <w:sz w:val="18"/>
        </w:rPr>
        <w:t>_extract_oncethrough_inventory.py</w:t>
      </w:r>
      <w:r>
        <w:t xml:space="preserve"> on the STAT_FINAL </w:t>
      </w:r>
      <w:r>
        <w:rPr>
          <w:rFonts w:ascii="Consolas" w:hAnsi="Consolas"/>
          <w:sz w:val="18"/>
        </w:rPr>
        <w:t>depletion_results.h5</w:t>
      </w:r>
      <w:r>
        <w:t>); minor actinides</w:t>
      </w:r>
    </w:p>
    <w:p>
      <w:r>
        <w:t xml:space="preserve">Np-237 3.50 kg, Am-241 0.57 kg, Cm-244 0.094 kg. The </w:t>
      </w:r>
      <w:r>
        <w:rPr>
          <w:b/>
        </w:rPr>
        <w:t>high Pu-240 (20.6 %)</w:t>
      </w:r>
      <w:r>
        <w:t xml:space="preserve"> and Pu-239 far below the</w:t>
      </w:r>
    </w:p>
    <w:p>
      <w:r>
        <w:t xml:space="preserve">93 % weapons threshold place the discharge plutonium </w:t>
      </w:r>
      <w:r>
        <w:rPr>
          <w:b/>
        </w:rPr>
        <w:t>deep in the sub-weapons reactor-grade regime</w:t>
      </w:r>
      <w:r>
        <w:t xml:space="preserve"> —</w:t>
      </w:r>
    </w:p>
    <w:p>
      <w:r>
        <w:t>a direct, intrinsic proliferation-resistance result (§8.11). The full source term, decay-heat curve and</w:t>
      </w:r>
    </w:p>
    <w:p>
      <w:r>
        <w:t>waste classification are developed in §8.11.</w:t>
      </w:r>
    </w:p>
    <w:p>
      <w:pPr>
        <w:pStyle w:val="Heading2"/>
      </w:pPr>
      <w:r>
        <w:t>8.2.6 Reactor-vessel and radiation-shielding materials</w:t>
      </w:r>
    </w:p>
    <w:p>
      <w:r>
        <w:t>Outside the active core the structural/shielding set is selected for pressure-boundary integrity,</w:t>
      </w:r>
    </w:p>
    <w:p>
      <w:r>
        <w:t xml:space="preserve">fast-fluence tolerance and combined n/γ attenuation. The shield is deliberately </w:t>
      </w:r>
      <w:r>
        <w:rPr>
          <w:b/>
        </w:rPr>
        <w:t>lead-free</w:t>
      </w:r>
      <w:r>
        <w:t xml:space="preserve"> (lead</w:t>
      </w:r>
    </w:p>
    <w:p>
      <w:r>
        <w:t>excluded for toxicity/decommissioning burden; tungsten reserved for transport casks). The bulk shield</w:t>
      </w:r>
    </w:p>
    <w:p>
      <w:r>
        <w:t xml:space="preserve">is </w:t>
      </w:r>
      <w:r>
        <w:rPr>
          <w:b/>
        </w:rPr>
        <w:t>magnetite (heavy) concrete</w:t>
      </w:r>
      <w:r>
        <w:t xml:space="preserve"> preceded by a </w:t>
      </w:r>
      <w:r>
        <w:rPr>
          <w:b/>
        </w:rPr>
        <w:t>borated-polyethylene</w:t>
      </w:r>
      <w:r>
        <w:t xml:space="preserve"> thermal-neutron capture layer</w:t>
      </w:r>
    </w:p>
    <w:p>
      <w:r>
        <w:t>and an SS-304 thermal shield — keeping the published steel+water → poly → heavy-concrete architecture</w:t>
      </w:r>
    </w:p>
    <w:p>
      <w:r>
        <w:t xml:space="preserve">while replacing the high-Z outer layer with heavy concrete. The build is sized to the </w:t>
      </w:r>
      <w:r>
        <w:rPr>
          <w:b/>
        </w:rPr>
        <w:t>&lt; 10 µSv/h</w:t>
      </w:r>
    </w:p>
    <w:p>
      <w:r>
        <w:t>operational dose target behind the bulk concrete (ALARA; Bagheri &amp; Khalafi 2023; Oğul et al. 2026)</w:t>
      </w:r>
    </w:p>
    <w:p>
      <w:r>
        <w:t>and to hold the 60-yr RPV fast fluence (E &gt; 1 MeV) below the ~1×10¹⁹ n/cm² embrittlement screening</w:t>
      </w:r>
    </w:p>
    <w:p>
      <w:r>
        <w:t xml:space="preserve">level. The shielding is run as a </w:t>
      </w:r>
      <w:r>
        <w:rPr>
          <w:b/>
        </w:rPr>
        <w:t>separate fixed-source dose calculation</w:t>
      </w:r>
      <w:r>
        <w:t xml:space="preserve"> off the same lattice</w:t>
      </w:r>
    </w:p>
    <w:p>
      <w:r>
        <w:t>(coupled n-γ transport, ICRP-116 flux-to-dose); it is neutronically decoupled from the core</w:t>
      </w:r>
    </w:p>
    <w:p>
      <w:r>
        <w:t>eigenvalue (k shifts ≪ 100 pcm). Full radial stack and materials: §8.3.6 Table 8.3-3 and</w:t>
      </w:r>
    </w:p>
    <w:p>
      <w:r>
        <w:rPr>
          <w:rFonts w:ascii="Consolas" w:hAnsi="Consolas"/>
          <w:sz w:val="18"/>
        </w:rPr>
        <w:t>shielding/shielding-radial-build.md</w:t>
      </w:r>
      <w:r>
        <w:t>.</w:t>
      </w:r>
    </w:p>
    <w:p>
      <w:pPr>
        <w:pStyle w:val="Heading1"/>
      </w:pPr>
      <w:r>
        <w:t>8.3 Fuel and Material Design</w:t>
      </w:r>
    </w:p>
    <w:p>
      <w:pPr>
        <w:ind w:left="360"/>
      </w:pPr>
      <w:r>
        <w:rPr>
          <w:b/>
          <w:i/>
        </w:rPr>
        <w:t>Method:</w:t>
      </w:r>
      <w:r>
        <w:rPr>
          <w:i/>
        </w:rPr>
        <w:t xml:space="preserve"> established correlations + published in-pile data (no new simulation); every</w:t>
      </w:r>
    </w:p>
    <w:p>
      <w:pPr>
        <w:ind w:left="360"/>
      </w:pPr>
      <w:r>
        <w:rPr>
          <w:i/>
        </w:rPr>
        <w:t>calculation states method, inputs and assumptions, all bounded by §8.2.</w:t>
      </w:r>
    </w:p>
    <w:p>
      <w:pPr>
        <w:pStyle w:val="Heading2"/>
      </w:pPr>
      <w:r>
        <w:t>8.3.1 Fuel and structural-material technical data — Table 8.3-1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UO₂ fuel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Zircaloy-4 cladding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 / dimensions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Sintered pellet Ø 8.192 mm, ~95 % TD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Tube OD 9.520 / ID 8.375 mm, 0.573 wall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Density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~10.4–10.5 g/cm³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6.55 g/cm³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Melting / design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~2840 °C (↓ 0.5 °C/GWd-t)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β ~1850 °C; LOCA PCT limit 1204 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Thermal conductivity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~3–8 W/m·K (↓ with T, BU; Lucuta/Halden)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~17 W/m·K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Thermal expansion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~10×10⁻⁶ /K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~6×10⁻⁶ /K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Neutronic 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fissile/fertile; Doppler broadening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 absorption (~0.2 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Qualified burnup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LEU to ~62 GWd/t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rod-avg ≤ 62 GWd/t</w:t>
            </w:r>
          </w:p>
        </w:tc>
      </w:tr>
    </w:tbl>
    <w:p/>
    <w:p>
      <w:r>
        <w:t>Property sources: IAEA-TECDOC thermophysical properties of UO₂/Zr-4; Todreas &amp; Kazimi *Nuclear</w:t>
      </w:r>
    </w:p>
    <w:p>
      <w:r>
        <w:t>Systems I*; Halden Reactor Project; Lucuta conductivity-with-burnup.</w:t>
      </w:r>
    </w:p>
    <w:p>
      <w:pPr>
        <w:pStyle w:val="Heading2"/>
      </w:pPr>
      <w:r>
        <w:t>8.3.2 Linear heat rate and power density (37-FA — geometry-fixed)</w:t>
      </w:r>
    </w:p>
    <w:p>
      <w:r>
        <w:t xml:space="preserve">The fuel duty follows directly from §8.2 geometry and is </w:t>
      </w:r>
      <w:r>
        <w:rPr>
          <w:b/>
        </w:rPr>
        <w:t>substantially relieved</w:t>
      </w:r>
      <w:r>
        <w:t xml:space="preserve"> by the 37-FA</w:t>
      </w:r>
    </w:p>
    <w:p>
      <w:r>
        <w:t>pivot:</w:t>
      </w:r>
    </w:p>
    <w:p>
      <w:pPr>
        <w:pStyle w:val="ListBullet"/>
      </w:pPr>
      <w:r>
        <w:t xml:space="preserve">Fuel rods in core: 37 FA × 264 = </w:t>
      </w:r>
      <w:r>
        <w:rPr>
          <w:b/>
        </w:rPr>
        <w:t>9 768 rods</w:t>
      </w:r>
      <w:r>
        <w:t xml:space="preserve">; active 2.0 m → </w:t>
      </w:r>
      <w:r>
        <w:rPr>
          <w:b/>
        </w:rPr>
        <w:t>19 536 m</w:t>
      </w:r>
      <w:r>
        <w:t xml:space="preserve"> of fuel.</w:t>
      </w:r>
    </w:p>
    <w:p>
      <w:pPr>
        <w:pStyle w:val="ListBullet"/>
      </w:pPr>
      <w:r>
        <w:rPr>
          <w:b/>
        </w:rPr>
        <w:t>Core-average linear heat rate</w:t>
      </w:r>
      <w:r>
        <w:t xml:space="preserve"> q′_avg = 125 MW / 19 536 m ≈ </w:t>
      </w:r>
      <w:r>
        <w:rPr>
          <w:b/>
        </w:rPr>
        <w:t>6.4 kW/m</w:t>
      </w:r>
      <w:r>
        <w:t xml:space="preserve"> (vs 11.3 kW/m for</w:t>
      </w:r>
    </w:p>
    <w:p>
      <w:r>
        <w:t>21 FA).</w:t>
      </w:r>
    </w:p>
    <w:p>
      <w:pPr>
        <w:pStyle w:val="ListBullet"/>
      </w:pPr>
      <w:r>
        <w:rPr>
          <w:b/>
        </w:rPr>
        <w:t>Peak linear heat rate</w:t>
      </w:r>
      <w:r>
        <w:t xml:space="preserve"> q′_peak = q′_avg × F_q ≈ 6.4 × 2.035 ≈ </w:t>
      </w:r>
      <w:r>
        <w:rPr>
          <w:b/>
        </w:rPr>
        <w:t>13.0 kW/m</w:t>
      </w:r>
      <w:r>
        <w:t xml:space="preserve"> (STAT_FINAL separable</w:t>
      </w:r>
    </w:p>
    <w:p>
      <w:r>
        <w:t>F_q = 2.035, consistent with the F_q 2.00 used by the §8.4 CFD); the peak wall heat flux is</w:t>
      </w:r>
    </w:p>
    <w:p>
      <w:r>
        <w:t xml:space="preserve">q″ = q′_peak/(π·D_clad) ≈ </w:t>
      </w:r>
      <w:r>
        <w:rPr>
          <w:b/>
        </w:rPr>
        <w:t>0.435 MW/m²</w:t>
      </w:r>
      <w:r>
        <w:t xml:space="preserve"> — both far below any fuel/clad design limit.</w:t>
      </w:r>
    </w:p>
    <w:p>
      <w:pPr>
        <w:pStyle w:val="ListBullet"/>
      </w:pPr>
      <w:r>
        <w:t xml:space="preserve">Core specific power = 125 MW / 9.87 tHM ≈ </w:t>
      </w:r>
      <w:r>
        <w:rPr>
          <w:b/>
        </w:rPr>
        <w:t>12.66 MW/tHM</w:t>
      </w:r>
      <w:r>
        <w:t>.</w:t>
      </w:r>
    </w:p>
    <w:p>
      <w:r>
        <w:t>The peak linear heat rate (~13 kW/m, ≤ 22 kW/m bounding) is well below the classic LWR guideline</w:t>
      </w:r>
    </w:p>
    <w:p>
      <w:r>
        <w:t>(~43 kW/m / 13 kW/ft) and the core average (~6.4 kW/m) is far under a large-PWR average (~17.5 kW/m).</w:t>
      </w:r>
    </w:p>
    <w:p>
      <w:r>
        <w:t>This very low power density is the root of the thermal margin claimed through §8.2–§8.5 and is the</w:t>
      </w:r>
    </w:p>
    <w:p>
      <w:r>
        <w:t>quantitative payoff of the 37-FA / low-specific-power design.</w:t>
      </w:r>
    </w:p>
    <w:p>
      <w:pPr>
        <w:pStyle w:val="Heading2"/>
      </w:pPr>
      <w:r>
        <w:t>8.3.3 Fuel-performance — centerline temperature</w:t>
      </w:r>
    </w:p>
    <w:p>
      <w:r>
        <w:t>The peak-rod steady-state centerline temperature is built from the coolant through each thermal</w:t>
      </w:r>
    </w:p>
    <w:p>
      <w:r>
        <w:t>resistance (1-D radial conduction stack). For the 37-FA core this is now a **directly computed</w:t>
      </w:r>
    </w:p>
    <w:p>
      <w:r>
        <w:t xml:space="preserve">conjugate-CFD result** (OpenFOAM </w:t>
      </w:r>
      <w:r>
        <w:rPr>
          <w:rFonts w:ascii="Consolas" w:hAnsi="Consolas"/>
          <w:sz w:val="18"/>
        </w:rPr>
        <w:t>chtMultiRegionFoam</w:t>
      </w:r>
      <w:r>
        <w:t>, §8.4 / Adilbek 2026) at the 12.8 kW/m peak,</w:t>
      </w:r>
    </w:p>
    <w:p>
      <w:r>
        <w:t>cross-checked against the Dittus-Boelter + gap-resistance correlation stack to &lt; 1 K on the fuel:</w:t>
      </w:r>
    </w:p>
    <w:p>
      <w:r>
        <w:rPr>
          <w:b/>
        </w:rPr>
        <w:t>Table 8.3-2 — Peak-rod radial temperature stack-up (BOL, 37-FA conjugate CFD at q′_peak 12.8 kW/m)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Resistance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Temperature / ΔT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Hot-channel bulk coolant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335 °C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§8.4 CFD (mixing-cup, hot channel)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Convective film (q″ ≈ 0.428 MW/m²)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clad outer ≈ </w:t>
            </w:r>
            <w:r>
              <w:rPr>
                <w:b/>
                <w:sz w:val="18"/>
              </w:rPr>
              <w:t>349 °C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Jens-Lottes subcooled-boiling-clamped film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Clad conduction (Zr-4)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clad inner ≈ </w:t>
            </w:r>
            <w:r>
              <w:rPr>
                <w:b/>
                <w:sz w:val="18"/>
              </w:rPr>
              <w:t>379 °C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q′·ln(r_o/r_i)/(2πk_clad)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Pellet–clad He gap (contact resistance)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large ΔT across 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thicknessLayers 9.15e-5 / kappaLayers 0.48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Fuel pellet (surface→centre)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rises to centerline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∫k dT = q′/4π (Lucuta k(T,BU))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Peak fuel centerline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≈ 734 °C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CFD (stack agrees to 0.7 K)</w:t>
            </w:r>
          </w:p>
        </w:tc>
      </w:tr>
    </w:tbl>
    <w:p/>
    <w:p>
      <w:r>
        <w:t xml:space="preserve">The 37-FA peak centerline of </w:t>
      </w:r>
      <w:r>
        <w:rPr>
          <w:b/>
        </w:rPr>
        <w:t>734 °C sits ~2 106 °C below UO₂ melt</w:t>
      </w:r>
      <w:r>
        <w:t xml:space="preserve"> (~36 % of melt absolute) — a</w:t>
      </w:r>
    </w:p>
    <w:p>
      <w:r>
        <w:t>direct consequence of the modest 12.8 kW/m peak linear power and the single most comfortable margin in</w:t>
      </w:r>
    </w:p>
    <w:p>
      <w:r>
        <w:t>the design. The gap term dominates the rise and shrinks as the gap closes with burnup, so this BOL</w:t>
      </w:r>
    </w:p>
    <w:p>
      <w:r>
        <w:t>value bounds the in-life centerline. [Optional FRAPCON confirmatory case noted in §8.13.]</w:t>
      </w:r>
    </w:p>
    <w:p>
      <w:pPr>
        <w:pStyle w:val="Heading2"/>
      </w:pPr>
      <w:r>
        <w:t>8.3.4 Fission-gas release, rod pressure, clad integrity</w:t>
      </w:r>
    </w:p>
    <w:p>
      <w:pPr>
        <w:pStyle w:val="ListBullet"/>
      </w:pPr>
      <w:r>
        <w:rPr>
          <w:b/>
        </w:rPr>
        <w:t>FGR:</w:t>
      </w:r>
      <w:r>
        <w:t xml:space="preserve"> with the </w:t>
      </w:r>
      <w:r>
        <w:rPr>
          <w:b/>
        </w:rPr>
        <w:t>entire pellet below ~734 °C</w:t>
      </w:r>
      <w:r>
        <w:t xml:space="preserve"> (peak centerline, §8.3.3) — well under the</w:t>
      </w:r>
    </w:p>
    <w:p>
      <w:r>
        <w:t>~1000 °C Halden athermal-release threshold — FGR is governed by athermal/recoil release only;</w:t>
      </w:r>
    </w:p>
    <w:p>
      <w:r>
        <w:t>peak-rod EOL FGR expected low (≤ ~5–10 %). A ~180 mm gas plenum</w:t>
      </w:r>
    </w:p>
    <w:p>
      <w:r>
        <w:t>(hold-down spring) keeps EOL rod internal pressure below system pressure (no clad lift-off).</w:t>
      </w:r>
    </w:p>
    <w:p>
      <w:pPr>
        <w:pStyle w:val="ListBullet"/>
      </w:pPr>
      <w:r>
        <w:rPr>
          <w:b/>
        </w:rPr>
        <w:t>Clad stress/corrosion:</w:t>
      </w:r>
      <w:r>
        <w:t xml:space="preserve"> Zr-4 carries the pressure differential within primary-membrane</w:t>
      </w:r>
    </w:p>
    <w:p>
      <w:r>
        <w:t>allowables; oxide (≤ 100 µm), H-pickup, creep/growth, fast-fluence embrittlement all bounded by the</w:t>
      </w:r>
    </w:p>
    <w:p>
      <w:r>
        <w:t>moderate discharge burnup (≪ 62 GWd/MTU ceiling). Accident behaviour (oxidation, ballooning, 1204 °C</w:t>
      </w:r>
    </w:p>
    <w:p>
      <w:r>
        <w:t>PCT, 17 % ECR) carried in §8.5.</w:t>
      </w:r>
    </w:p>
    <w:p>
      <w:pPr>
        <w:pStyle w:val="ListBullet"/>
      </w:pPr>
      <w:r>
        <w:rPr>
          <w:b/>
        </w:rPr>
        <w:t>PCMI:</w:t>
      </w:r>
      <w:r>
        <w:t xml:space="preserve"> mitigated by dished/chamfered pellets + base-load low-ramp operation; bounded by the low</w:t>
      </w:r>
    </w:p>
    <w:p>
      <w:r>
        <w:t>q′.</w:t>
      </w:r>
    </w:p>
    <w:p>
      <w:r>
        <w:t>‹FIGURE 8.3-1 — fuel-rod / end-plug cross-section (pellet stack, gap, Zr-4 clad, end plugs, plenum</w:t>
      </w:r>
    </w:p>
    <w:p>
      <w:r>
        <w:t xml:space="preserve">spring). Source: </w:t>
      </w:r>
      <w:r>
        <w:rPr>
          <w:rFonts w:ascii="Consolas" w:hAnsi="Consolas"/>
          <w:sz w:val="18"/>
        </w:rPr>
        <w:t>cad/end_plug_detail.png</w:t>
      </w:r>
      <w:r>
        <w:t>.›</w:t>
      </w:r>
    </w:p>
    <w:p>
      <w:pPr>
        <w:pStyle w:val="Heading2"/>
      </w:pPr>
      <w:r>
        <w:t>8.3.5 Front-end fuel-cycle structural materials</w:t>
      </w:r>
    </w:p>
    <w:p>
      <w:r>
        <w:t>Assembly skeleton (top/bottom nozzles, guide/instrument thimbles, spacer grids, hold-down springs):</w:t>
      </w:r>
    </w:p>
    <w:p>
      <w:r>
        <w:rPr>
          <w:b/>
        </w:rPr>
        <w:t>Zircaloy-4 / Zirlo-class</w:t>
      </w:r>
      <w:r>
        <w:t xml:space="preserve"> guide thimbles and grids (low in-core parasitic absorption);</w:t>
      </w:r>
    </w:p>
    <w:p>
      <w:r>
        <w:rPr>
          <w:b/>
        </w:rPr>
        <w:t>stainless steel 304/308 / Inconel-718</w:t>
      </w:r>
      <w:r>
        <w:t xml:space="preserve"> for nozzles and springs (strength and relaxation</w:t>
      </w:r>
    </w:p>
    <w:p>
      <w:r>
        <w:t>resistance, outside the active height). Selection criteria: low in-core absorption, primary-coolant</w:t>
      </w:r>
    </w:p>
    <w:p>
      <w:r>
        <w:t>corrosion compatibility, irradiation-growth dimensional stability, spring-force retention over life.</w:t>
      </w:r>
    </w:p>
    <w:p>
      <w:pPr>
        <w:pStyle w:val="Heading2"/>
      </w:pPr>
      <w:r>
        <w:t>8.3.6 Reactor-vessel and shielding materials — Table 8.3-3</w:t>
      </w:r>
    </w:p>
    <w:p>
      <w:r>
        <w:t>Radial stack (core outward), the basis of the coupled n-γ shielding model: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Region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Material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Density (g/cm³)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Thickness (cm)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Core barrel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SS-304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Core support; first γ/fast-n attenuation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Downcomer + integral OTSG annulus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H₂O (+ SG steel)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0.72 (hot)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Coolant return; </w:t>
            </w:r>
            <w:r>
              <w:rPr>
                <w:b/>
                <w:sz w:val="18"/>
              </w:rPr>
              <w:t>dominant attenuator</w:t>
            </w:r>
            <w:r>
              <w:rPr>
                <w:sz w:val="18"/>
              </w:rPr>
              <w:t>; RPV fluence reduction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Reactor pressure vessel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SA-508 Gr.3 + SS clad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+ 0.5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Pressure boundary; principal γ shield; fast-fluence-limited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Reactor cavity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ISI / standoff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Thermal shield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SS-304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γ-heating interception; protects bioshield concrete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Neutron-capture layer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Borated polyethylene (5 wt% B)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Thermal-n capture (¹⁰B), low 2° γ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Biological shield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Magnetite (heavy) concrete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Bulk lead-free γ + n shield</w:t>
            </w:r>
            <w:r>
              <w:rPr>
                <w:sz w:val="18"/>
              </w:rPr>
              <w:t>; bound water moderates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Outer finish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Ordinary concrete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Structural finish; dose-acceptance surface</w:t>
            </w:r>
          </w:p>
        </w:tc>
      </w:tr>
    </w:tbl>
    <w:p/>
    <w:p>
      <w:pPr>
        <w:ind w:left="360"/>
      </w:pPr>
      <w:r>
        <w:rPr>
          <w:i/>
        </w:rPr>
        <w:t>Radii are re-anchored to the 37-FA vessel (RPV ID 2700 / OD 3010 mm) in the CAD spec; the **layer</w:t>
      </w:r>
    </w:p>
    <w:p>
      <w:pPr>
        <w:ind w:left="360"/>
      </w:pPr>
      <w:r>
        <w:rPr>
          <w:i/>
        </w:rPr>
        <w:t>thicknesses</w:t>
      </w:r>
      <w:r>
        <w:rPr>
          <w:b/>
          <w:i/>
        </w:rPr>
        <w:t xml:space="preserve"> (the shield design) are unchanged from the 21-FA build because the </w:t>
      </w:r>
      <w:r>
        <w:rPr>
          <w:i/>
        </w:rPr>
        <w:t>125 MWth source</w:t>
      </w:r>
    </w:p>
    <w:p>
      <w:pPr>
        <w:ind w:left="360"/>
      </w:pPr>
      <w:r>
        <w:rPr>
          <w:i/>
        </w:rPr>
        <w:t>is unchanged**, so the dose attenuation requirement is essentially identical (§8.2.6;</w:t>
      </w:r>
    </w:p>
    <w:p>
      <w:pPr>
        <w:ind w:left="360"/>
      </w:pPr>
      <w:r>
        <w:rPr>
          <w:rFonts w:ascii="Consolas" w:hAnsi="Consolas"/>
          <w:i/>
          <w:sz w:val="18"/>
        </w:rPr>
        <w:t>shielding/shielding-radial-build.md</w:t>
      </w:r>
      <w:r>
        <w:rPr>
          <w:i/>
        </w:rPr>
        <w:t>). Attenuation/property data: ANSI/ANS-6.4, ASTM A508/A240,</w:t>
      </w:r>
    </w:p>
    <w:p>
      <w:pPr>
        <w:ind w:left="360"/>
      </w:pPr>
      <w:r>
        <w:rPr>
          <w:i/>
        </w:rPr>
        <w:t>ICRP-116, PNNL compendium (McConn et al.).</w:t>
      </w:r>
    </w:p>
    <w:p>
      <w:pPr>
        <w:pStyle w:val="Heading1"/>
      </w:pPr>
      <w:r>
        <w:t>8.4 Cooling Circuit System Design</w:t>
      </w:r>
    </w:p>
    <w:p>
      <w:pPr>
        <w:ind w:left="360"/>
      </w:pPr>
      <w:r>
        <w:rPr>
          <w:b/>
          <w:i/>
        </w:rPr>
        <w:t>Code:</w:t>
      </w:r>
      <w:r>
        <w:rPr>
          <w:i/>
        </w:rPr>
        <w:t xml:space="preserve"> 3-region conjugate CFD (OpenFOAM </w:t>
      </w:r>
      <w:r>
        <w:rPr>
          <w:rFonts w:ascii="Consolas" w:hAnsi="Consolas"/>
          <w:i/>
          <w:sz w:val="18"/>
        </w:rPr>
        <w:t>chtMultiRegionFoam</w:t>
      </w:r>
      <w:r>
        <w:rPr>
          <w:i/>
        </w:rPr>
        <w:t xml:space="preserve"> v2412, k-ω SST) for the hot-pin</w:t>
      </w:r>
    </w:p>
    <w:p>
      <w:pPr>
        <w:ind w:left="360"/>
      </w:pPr>
      <w:r>
        <w:rPr>
          <w:i/>
        </w:rPr>
        <w:t>fuel/clad/coolant field, coupled to a W-3/Jens-Lottes correlation safety post-processor, plus a</w:t>
      </w:r>
    </w:p>
    <w:p>
      <w:pPr>
        <w:ind w:left="360"/>
      </w:pPr>
      <w:r>
        <w:rPr>
          <w:i/>
        </w:rPr>
        <w:t>1-D natural-circulation loop balance (IAPWS-IF97) for the riser height. The toolchain is verified</w:t>
      </w:r>
    </w:p>
    <w:p>
      <w:pPr>
        <w:ind w:left="360"/>
      </w:pPr>
      <w:r>
        <w:rPr>
          <w:i/>
        </w:rPr>
        <w:t>(ASME V&amp;V-20 grid convergence + energy-conservation gate) and validated against NuScale NPM-160</w:t>
      </w:r>
    </w:p>
    <w:p>
      <w:pPr>
        <w:ind w:left="360"/>
      </w:pPr>
      <w:r>
        <w:rPr>
          <w:i/>
        </w:rPr>
        <w:t xml:space="preserve">(§8.13; Adilbek 2026). T-H is solved on the </w:t>
      </w:r>
      <w:r>
        <w:rPr>
          <w:b/>
          <w:i/>
        </w:rPr>
        <w:t>37-FA pin geometry</w:t>
      </w:r>
      <w:r>
        <w:rPr>
          <w:i/>
        </w:rPr>
        <w:t xml:space="preserve"> at 125 MWth.</w:t>
      </w:r>
    </w:p>
    <w:p>
      <w:pPr>
        <w:pStyle w:val="Heading2"/>
      </w:pPr>
      <w:r>
        <w:t>8.4.1 Architecture</w:t>
      </w:r>
    </w:p>
    <w:p>
      <w:r>
        <w:t>Aegis-40 removes core heat through three coupled circuits:</w:t>
      </w:r>
    </w:p>
    <w:p>
      <w:pPr>
        <w:pStyle w:val="ListNumber"/>
      </w:pPr>
      <w:r>
        <w:rPr>
          <w:b/>
        </w:rPr>
        <w:t>Primary</w:t>
      </w:r>
      <w:r>
        <w:t xml:space="preserve"> — a closed </w:t>
      </w:r>
      <w:r>
        <w:rPr>
          <w:b/>
        </w:rPr>
        <w:t>natural-circulation</w:t>
      </w:r>
      <w:r>
        <w:t xml:space="preserve"> loop entirely inside the RPV, carrying the full</w:t>
      </w:r>
    </w:p>
    <w:p>
      <w:r>
        <w:t xml:space="preserve">125 MWth from the core to the integral helical-coil </w:t>
      </w:r>
      <w:r>
        <w:rPr>
          <w:b/>
        </w:rPr>
        <w:t>OTSG</w:t>
      </w:r>
      <w:r>
        <w:t xml:space="preserve"> with </w:t>
      </w:r>
      <w:r>
        <w:rPr>
          <w:b/>
        </w:rPr>
        <w:t>no reactor coolant pumps</w:t>
      </w:r>
      <w:r>
        <w:t xml:space="preserve"> and</w:t>
      </w:r>
    </w:p>
    <w:p>
      <w:r>
        <w:rPr>
          <w:b/>
        </w:rPr>
        <w:t>no large primary piping</w:t>
      </w:r>
      <w:r>
        <w:t xml:space="preserve"> (the defining integral-PWR feature). Flow path: core → central riser</w:t>
      </w:r>
    </w:p>
    <w:p>
      <w:r>
        <w:t>(R 560 mm) → upper plenum → turn-around → helical OTSG in the upper annulus (primary on the shell</w:t>
      </w:r>
    </w:p>
    <w:p>
      <w:r>
        <w:t>side, downflow over the coils) → downcomer → lower plenum → core.</w:t>
      </w:r>
    </w:p>
    <w:p>
      <w:pPr>
        <w:pStyle w:val="ListNumber"/>
      </w:pPr>
      <w:r>
        <w:rPr>
          <w:b/>
        </w:rPr>
        <w:t>Secondary</w:t>
      </w:r>
      <w:r>
        <w:t xml:space="preserve"> — the feedwater/steam side of the OTSG and the regenerative Rankine plant. Heat</w:t>
      </w:r>
    </w:p>
    <w:p>
      <w:r>
        <w:t xml:space="preserve">crosses the pressure boundary </w:t>
      </w:r>
      <w:r>
        <w:rPr>
          <w:b/>
        </w:rPr>
        <w:t>once</w:t>
      </w:r>
      <w:r>
        <w:t>, in the OTSG (→ §8.9).</w:t>
      </w:r>
    </w:p>
    <w:p>
      <w:pPr>
        <w:pStyle w:val="ListNumber"/>
      </w:pPr>
      <w:r>
        <w:rPr>
          <w:b/>
        </w:rPr>
        <w:t>Associated</w:t>
      </w:r>
      <w:r>
        <w:t xml:space="preserve"> — passive decay-heat removal (DHRS/PRHR), the integral self-pressuriser, the</w:t>
      </w:r>
    </w:p>
    <w:p>
      <w:r>
        <w:t xml:space="preserve">chemical &amp; volume control system (CVCS, no boration), and the </w:t>
      </w:r>
      <w:r>
        <w:rPr>
          <w:b/>
        </w:rPr>
        <w:t>once-through seawater</w:t>
      </w:r>
      <w:r>
        <w:t xml:space="preserve"> ultimate</w:t>
      </w:r>
    </w:p>
    <w:p>
      <w:r>
        <w:t>heat sink (→ §8.9).</w:t>
      </w:r>
    </w:p>
    <w:p>
      <w:r>
        <w:t xml:space="preserve">The OTSG sits </w:t>
      </w:r>
      <w:r>
        <w:rPr>
          <w:b/>
        </w:rPr>
        <w:t>above</w:t>
      </w:r>
      <w:r>
        <w:t xml:space="preserve"> the core so the heat sink is above the heat source — the geometric requirement</w:t>
      </w:r>
    </w:p>
    <w:p>
      <w:r>
        <w:t>for stable natural circulation. ‹FIGURE 8.4-1 — in-vessel natural-circulation loop schematic,</w:t>
      </w:r>
    </w:p>
    <w:p>
      <w:r>
        <w:rPr>
          <w:rFonts w:ascii="Consolas" w:hAnsi="Consolas"/>
          <w:sz w:val="18"/>
        </w:rPr>
        <w:t>fer/natcirc_loop_schematic.png</w:t>
      </w:r>
      <w:r>
        <w:t>.›</w:t>
      </w:r>
    </w:p>
    <w:p>
      <w:pPr>
        <w:pStyle w:val="Heading2"/>
      </w:pPr>
      <w:r>
        <w:t>8.4.2 Primary cooling — natural circulation</w:t>
      </w:r>
    </w:p>
    <w:p>
      <w:r>
        <w:rPr>
          <w:b/>
        </w:rPr>
        <w:t>Design conditions:</w:t>
      </w:r>
      <w:r>
        <w:t xml:space="preserve"> 125 MWth; 12.8 MPa op / 14.1 MPa design; hot leg 308 °C, cold leg 258 °C,</w:t>
      </w:r>
    </w:p>
    <w:p>
      <w:r>
        <w:t xml:space="preserve">ΔT 50 K, average 283 °C; saturation 331 °C → </w:t>
      </w:r>
      <w:r>
        <w:rPr>
          <w:b/>
        </w:rPr>
        <w:t>23 °C hot-leg subcooling</w:t>
      </w:r>
      <w:r>
        <w:t xml:space="preserve"> (single-phase with</w:t>
      </w:r>
    </w:p>
    <w:p>
      <w:r>
        <w:t>margin); ṁ ≈ 467 kg/s (G ≈ 543 kg/m²·s); light water, boron-free.</w:t>
      </w:r>
    </w:p>
    <w:p>
      <w:r>
        <w:rPr>
          <w:b/>
        </w:rPr>
        <w:t>Driving head and riser height.</w:t>
      </w:r>
      <w:r>
        <w:t xml:space="preserve"> With no pumps, the core flow is the output of a 1-D buoyancy</w:t>
      </w:r>
    </w:p>
    <w:p>
      <w:r>
        <w:t>balance between the hot riser and the cold downcomer:</w:t>
      </w:r>
    </w:p>
    <w:p>
      <w:pPr>
        <w:ind w:left="360"/>
      </w:pPr>
      <w:r>
        <w:rPr>
          <w:i/>
        </w:rPr>
        <w:t>ṁ = [ 2 ρ² A² g H_tc β P / (c_p K_tot) ]^(1/3),   ΔP_driving = (ρ_cold − ρ_hot)·g·H_tc = Σ K_i·½ρv²</w:t>
      </w:r>
    </w:p>
    <w:p>
      <w:r>
        <w:t xml:space="preserve">The single design knob is the </w:t>
      </w:r>
      <w:r>
        <w:rPr>
          <w:b/>
        </w:rPr>
        <w:t>riser thermal-centre height H_tc</w:t>
      </w:r>
      <w:r>
        <w:t xml:space="preserve"> (core mid-plane → OTSG mid). With</w:t>
      </w:r>
    </w:p>
    <w:p>
      <w:r>
        <w:t>realistic component-resolved loop losses (K_form ≈ 12), the **FER-specified ΔT 50 K pins the flow at</w:t>
      </w:r>
    </w:p>
    <w:p>
      <w:r>
        <w:t>G ≈ 543 kg/m²·s, delivered at H_tc ≈ 4.0 m** (ρ_cold 796.7, ρ_hot 703.1 kg/m³, Δρ 93.6 →</w:t>
      </w:r>
    </w:p>
    <w:p>
      <w:r>
        <w:t xml:space="preserve">ΔP_driving ≈ </w:t>
      </w:r>
      <w:r>
        <w:rPr>
          <w:b/>
        </w:rPr>
        <w:t>3.67 kPa</w:t>
      </w:r>
      <w:r>
        <w:t>). The independent loop momentum balance and the conjugate-CFD velocity field</w:t>
      </w:r>
    </w:p>
    <w:p>
      <w:r>
        <w:t>agree, and the field is all-positive upflow (no recirculation) — the primary evidence that natural</w:t>
      </w:r>
    </w:p>
    <w:p>
      <w:r>
        <w:t>circulation removes 125 MWth as intended.</w:t>
      </w:r>
    </w:p>
    <w:p>
      <w:r>
        <w:rPr>
          <w:b/>
        </w:rPr>
        <w:t>Table 8.4-1a — Riser-height sweep (G and MDNBR vs H_tc; K_form 12).</w:t>
      </w:r>
      <w:r>
        <w:t xml:space="preserve"> H_tc ≈ 4 m is the practical</w:t>
      </w:r>
    </w:p>
    <w:p>
      <w:r>
        <w:t>floor; a taller riser trades vessel height for DNB margin.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H_tc [m]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 [kg/m²·s]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core ΔT [K]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MDNBR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4 (design)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542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1.56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ind w:left="360"/>
      </w:pPr>
      <w:r>
        <w:rPr>
          <w:b/>
          <w:i/>
        </w:rPr>
        <w:t>37-FA basis &amp; reconciliation.</w:t>
      </w:r>
      <w:r>
        <w:rPr>
          <w:i/>
        </w:rPr>
        <w:t xml:space="preserve"> The 21→37 pivot keeps active height, power and ΔT fixed, but the</w:t>
      </w:r>
    </w:p>
    <w:p>
      <w:pPr>
        <w:ind w:left="360"/>
      </w:pPr>
      <w:r>
        <w:rPr>
          <w:i/>
        </w:rPr>
        <w:t xml:space="preserve">riser height was </w:t>
      </w:r>
      <w:r>
        <w:rPr>
          <w:b/>
          <w:i/>
        </w:rPr>
        <w:t>re-derived</w:t>
      </w:r>
      <w:r>
        <w:rPr>
          <w:i/>
        </w:rPr>
        <w:t xml:space="preserve"> with the conjugate-CFD loop balance: the more realistic loss tally</w:t>
      </w:r>
    </w:p>
    <w:p>
      <w:pPr>
        <w:ind w:left="360"/>
      </w:pPr>
      <w:r>
        <w:rPr>
          <w:i/>
        </w:rPr>
        <w:t xml:space="preserve">(K_form 12, vs the earlier lumped K_tot ≈ 8.6) raises the required H_tc to </w:t>
      </w:r>
      <w:r>
        <w:rPr>
          <w:b/>
          <w:i/>
        </w:rPr>
        <w:t>≈ 4.0 m</w:t>
      </w:r>
      <w:r>
        <w:rPr>
          <w:i/>
        </w:rPr>
        <w:t xml:space="preserve"> (from the</w:t>
      </w:r>
    </w:p>
    <w:p>
      <w:pPr>
        <w:ind w:left="360"/>
      </w:pPr>
      <w:r>
        <w:rPr>
          <w:i/>
        </w:rPr>
        <w:t>earlier 2.85 m estimate) and the driving head to ≈ 3.67 kPa. This is the more conservative,</w:t>
      </w:r>
    </w:p>
    <w:p>
      <w:pPr>
        <w:ind w:left="360"/>
      </w:pPr>
      <w:r>
        <w:rPr>
          <w:i/>
        </w:rPr>
        <w:t xml:space="preserve">better-grounded value and is adopted plant-wide; it sets a compact </w:t>
      </w:r>
      <w:r>
        <w:rPr>
          <w:b/>
          <w:i/>
        </w:rPr>
        <w:t>≈ 10 m integral vessel</w:t>
      </w:r>
    </w:p>
    <w:p>
      <w:pPr>
        <w:ind w:left="360"/>
      </w:pPr>
      <w:r>
        <w:rPr>
          <w:i/>
        </w:rPr>
        <w:t>(§8.4.5, half the ≈ 8 m riser of the smaller-core concept because H_tc ∝ A_core·G³ and the required</w:t>
      </w:r>
    </w:p>
    <w:p>
      <w:pPr>
        <w:ind w:left="360"/>
      </w:pPr>
      <w:r>
        <w:rPr>
          <w:i/>
        </w:rPr>
        <w:t xml:space="preserve">G fell). ‹FIGURE 8.4-1b — natural-circulation sweep, </w:t>
      </w:r>
      <w:r>
        <w:rPr>
          <w:rFonts w:ascii="Consolas" w:hAnsi="Consolas"/>
          <w:i/>
          <w:sz w:val="18"/>
        </w:rPr>
        <w:t>docs/figs/F8_natcirc_sweep.png</w:t>
      </w:r>
      <w:r>
        <w:rPr>
          <w:i/>
        </w:rPr>
        <w:t>.›</w:t>
      </w:r>
    </w:p>
    <w:p>
      <w:r>
        <w:rPr>
          <w:b/>
        </w:rPr>
        <w:t>Self-regulation (load-following without pumps).</w:t>
      </w:r>
      <w:r>
        <w:t xml:space="preserve"> Driving head scales with Δρ (≈ ΔT) and losses</w:t>
      </w:r>
    </w:p>
    <w:p>
      <w:r>
        <w:t>with ṁ², so the loop self-adjusts: ṁ ∝ P^(1/3) (the natural-circulation signature) — ~80 % flow at</w:t>
      </w:r>
    </w:p>
    <w:p>
      <w:r>
        <w:t>50 % power, passively limiting the core temperature rise. ‹FIGURE 8.4-2 —</w:t>
      </w:r>
    </w:p>
    <w:p>
      <w:r>
        <w:rPr>
          <w:rFonts w:ascii="Consolas" w:hAnsi="Consolas"/>
          <w:sz w:val="18"/>
        </w:rPr>
        <w:t>fer/natcirc_self_regulation.png</w:t>
      </w:r>
      <w:r>
        <w:t>.›</w:t>
      </w:r>
    </w:p>
    <w:p>
      <w:pPr>
        <w:pStyle w:val="Heading2"/>
      </w:pPr>
      <w:r>
        <w:t>8.4.3 Secondary cooling (OTSG and power conversion)</w:t>
      </w:r>
    </w:p>
    <w:p>
      <w:r>
        <w:t xml:space="preserve">The integral </w:t>
      </w:r>
      <w:r>
        <w:rPr>
          <w:b/>
        </w:rPr>
        <w:t>once-through helical-coil OTSG</w:t>
      </w:r>
      <w:r>
        <w:t xml:space="preserve"> is the single heat exchanger crossing the pressure</w:t>
      </w:r>
    </w:p>
    <w:p>
      <w:r>
        <w:t>boundary, transferring 125 MWth from the primary shell side to the secondary feedwater/steam inside</w:t>
      </w:r>
    </w:p>
    <w:p>
      <w:r>
        <w:t>the coils (economiser → evaporator → superheater in one pass). The secondary side — steam conditions,</w:t>
      </w:r>
    </w:p>
    <w:p>
      <w:r>
        <w:t>regenerative feed heating, turbines, condenser, and the 40 MWe / 31.8 % net heat balance — is</w:t>
      </w:r>
    </w:p>
    <w:p>
      <w:r>
        <w:t xml:space="preserve">developed in </w:t>
      </w:r>
      <w:r>
        <w:rPr>
          <w:b/>
        </w:rPr>
        <w:t>§8.9</w:t>
      </w:r>
      <w:r>
        <w:t>.</w:t>
      </w:r>
    </w:p>
    <w:p>
      <w:pPr>
        <w:pStyle w:val="Heading2"/>
      </w:pPr>
      <w:r>
        <w:t>8.4.4 Associated and safety-related cooling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Key characteristics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Passive DHRS / PRHR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Decay-heat removal after trip / loss of secondary sink, by natural circulation to an in-containment tank — no AC, no operator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× 100 % trains; each ≥ 105 % of decay heat at actuation; supports ≥ 72 h grace (§8.5/§8.6)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Self-pressuriser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Maintain 12.8 MPa via the integral top steam dome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In-vessel dome, sheathed heaters + spray, surge connection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CVCS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Inventory makeup/letdown, chemistry; </w:t>
            </w:r>
            <w:r>
              <w:rPr>
                <w:b/>
                <w:sz w:val="18"/>
              </w:rPr>
              <w:t>no boration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Small lines (no large penetrations → large-break LOCA design-eliminated)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Seawater once-through / UHS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 ~82.6 MWth condenser heat to the Black Sea (Sinop)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~2 065 kg/s (≈ 2.0 m³/s), ΔT ≤ 10 K, multiport diffuser → far-field rise ≤ 0.2 K (→ §8.9)</w:t>
            </w:r>
          </w:p>
        </w:tc>
      </w:tr>
    </w:tbl>
    <w:p/>
    <w:p>
      <w:pPr>
        <w:pStyle w:val="Heading2"/>
      </w:pPr>
      <w:r>
        <w:t>8.4.5 Components — functions, capacities, materials, codes</w:t>
      </w:r>
    </w:p>
    <w:p>
      <w:r>
        <w:rPr>
          <w:b/>
        </w:rPr>
        <w:t>Primary / nuclear: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Capacity / key parameters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Material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Reactor pressure vessel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pressure boundary; houses all primary components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ID 2700 mm, wall 150 + 5 mm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overall height ≈ 10 m</w:t>
            </w:r>
            <w:r>
              <w:rPr>
                <w:sz w:val="18"/>
              </w:rPr>
              <w:t xml:space="preserve"> (elevation budget Table 8.4-1b); 12.8 MPa op / 14.1 design; 60-yr life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SA-508 Gr.3 Cl.1 (SA-533B plate), SS clad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ASME III Div.1 Cl.1 (NB)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Core barrel / riser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Separate hot riser from cold downcomer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barrel ID 1900 / OD 2000 mm; riser R 560 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SS-304/316L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ASME III, 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OTSG (helical coil)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125 MWth primary→secondary; superheated steam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 coil layers R 665–1075 mm, axial pitch 230 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Inconel-690 TT tubes; SS shroud/tubesheets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ASME III, Cl.1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Self-pressuriser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Maintain/regulate primary pressure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integral top dome, heaters, surge 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SA-508 dome; Incoloy-800-sheathed heaters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ASME III, Cl.1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In-vessel CRDM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Reactivity control, no head penetrations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12 units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SS / Inconel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ASME III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Core support / flow 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Locate core, distribute 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lower/upper plates, flow distributor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SS-304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ASME III, 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Radial reflector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Flatten power, protect barrel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 mm water (steel option)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H₂O / SA-965 Type 304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 / ASME III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DHRS heat exchanger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Passive decay-heat removal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≥ 105 % of decay heat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SS / Inconel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ASME III, Cl.2</w:t>
            </w:r>
          </w:p>
        </w:tc>
      </w:tr>
    </w:tbl>
    <w:p/>
    <w:p>
      <w:r>
        <w:rPr>
          <w:b/>
        </w:rPr>
        <w:t>Table 8.4-1b — Integral-vessel elevation budget</w:t>
      </w:r>
      <w:r>
        <w:t xml:space="preserve"> (delivers H_tc = 4 m; the binding dimension is</w:t>
      </w:r>
    </w:p>
    <w:p>
      <w:r>
        <w:t xml:space="preserve">vessel *diameter* ≈ 3.0–3.5 m, NuScale-class, </w:t>
      </w:r>
      <w:r>
        <w:rPr>
          <w:b/>
        </w:rPr>
        <w:t>not</w:t>
      </w:r>
      <w:r>
        <w:t xml:space="preserve"> height). Total ≈ 10 m — markedly more compact</w:t>
      </w:r>
    </w:p>
    <w:p>
      <w:r>
        <w:t>than NuScale (≈ 17.7 m) because the required riser is half as tall (Adilbek 2026, §10):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Elevation [m]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Component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0.0 – 0.9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Lower plenum / core inlet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0.9 – 2.9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Core (2.0 m active; mid-plane 1.9 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2.9 – 4.4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Outlet plenum + riser (chimney)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4.4 – 7.4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Steam generator (helical coil, in annulus; mid 5.9 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7.4 – 7.9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Upper plenum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7.9 – 9.9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Integral self-pressuriser</w:t>
            </w:r>
          </w:p>
        </w:tc>
      </w:tr>
    </w:tbl>
    <w:p/>
    <w:p>
      <w:pPr>
        <w:ind w:left="360"/>
      </w:pPr>
      <w:r>
        <w:rPr>
          <w:i/>
        </w:rPr>
        <w:t xml:space="preserve">This is a </w:t>
      </w:r>
      <w:r>
        <w:rPr>
          <w:b/>
          <w:i/>
        </w:rPr>
        <w:t>layout-scoping</w:t>
      </w:r>
      <w:r>
        <w:rPr>
          <w:i/>
        </w:rPr>
        <w:t xml:space="preserve"> budget (iPWR analogy + elevation balance); the mechanical vessel design</w:t>
      </w:r>
    </w:p>
    <w:p>
      <w:pPr>
        <w:ind w:left="360"/>
      </w:pPr>
      <w:r>
        <w:rPr>
          <w:i/>
        </w:rPr>
        <w:t>(seismic, wall thickness, SG supports) is detailed-design scope. The SG helical surface (≈ 1 250 m²</w:t>
      </w:r>
    </w:p>
    <w:p>
      <w:pPr>
        <w:ind w:left="360"/>
      </w:pPr>
      <w:r>
        <w:rPr>
          <w:i/>
        </w:rPr>
        <w:t>for 125 MWth at ΔT_pri 50 K, 467 kg/s) fits the annulus above the core with a ≈ 1.5 m riser gap.</w:t>
      </w:r>
    </w:p>
    <w:p>
      <w:r>
        <w:rPr>
          <w:b/>
        </w:rPr>
        <w:t>Secondary / balance-of-plant</w:t>
      </w:r>
      <w:r>
        <w:t xml:space="preserve"> (capacities from the §8.9 heat balance):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Capacity / key parameters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Material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Tandem-compound turbine-generator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Expand steam → 40 MWe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57.8 kg/s steam; gross ≈ 42.2 MWe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Cr-steel rotors, SS blading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ASME / IEC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Moisture separator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Dry crossover steam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last-stage moisture ≤ 10.8 %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B31.1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Condenser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Condense LP exhaust; reject 82.6 MWth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 kPa, Tsat 39 °C; ~2 065 kg/s once-through seawater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 / SS tubes, CS shell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ASME VIII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Deaerator (FWH-2) / FWH-1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Regenerative feed heating to 180 °C; deaeration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 FWHs, 0.15 / 1.0 MPa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ASME VIII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Feed / condensate / booster pumps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Return feedwater to OTSG at 4.5 MPa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≈ 0.36 MWe 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CS / 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B31.1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MSIVs &amp; safety/relief valves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Isolate / overpressure-protect secondary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 setpoints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SS / 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ASME III/VIII</w:t>
            </w:r>
          </w:p>
        </w:tc>
      </w:tr>
    </w:tbl>
    <w:p/>
    <w:p>
      <w:pPr>
        <w:pStyle w:val="Heading2"/>
      </w:pPr>
      <w:r>
        <w:t>8.4.6 Heat-removal capacity — analyses and methods</w:t>
      </w:r>
    </w:p>
    <w:p>
      <w:r>
        <w:rPr>
          <w:b/>
        </w:rPr>
        <w:t>Methods (literature-accepted):</w:t>
      </w:r>
      <w:r>
        <w:t xml:space="preserve"> 3-region conjugate CFD (OpenFOAM </w:t>
      </w:r>
      <w:r>
        <w:rPr>
          <w:rFonts w:ascii="Consolas" w:hAnsi="Consolas"/>
          <w:sz w:val="18"/>
        </w:rPr>
        <w:t>chtMultiRegionFoam</w:t>
      </w:r>
      <w:r>
        <w:t>, k-ω SST) for</w:t>
      </w:r>
    </w:p>
    <w:p>
      <w:r>
        <w:t xml:space="preserve">the hot-pin fuel/clad/coolant field; </w:t>
      </w:r>
      <w:r>
        <w:rPr>
          <w:b/>
        </w:rPr>
        <w:t>W-3 CHF</w:t>
      </w:r>
      <w:r>
        <w:t xml:space="preserve"> correlation with </w:t>
      </w:r>
      <w:r>
        <w:rPr>
          <w:b/>
        </w:rPr>
        <w:t>Tong non-uniform F-factor</w:t>
      </w:r>
      <w:r>
        <w:t xml:space="preserve"> for</w:t>
      </w:r>
    </w:p>
    <w:p>
      <w:r>
        <w:t xml:space="preserve">MDNBR; </w:t>
      </w:r>
      <w:r>
        <w:rPr>
          <w:b/>
        </w:rPr>
        <w:t>Jens-Lottes</w:t>
      </w:r>
      <w:r>
        <w:t xml:space="preserve"> subcooled-boiling wall clamp + Dittus-Boelter film for PCT; natural-circulation</w:t>
      </w:r>
    </w:p>
    <w:p>
      <w:r>
        <w:t xml:space="preserve">loop momentum balance (IAPWS-IF97) for riser height; </w:t>
      </w:r>
      <w:r>
        <w:rPr>
          <w:b/>
        </w:rPr>
        <w:t>ANS-5.1</w:t>
      </w:r>
      <w:r>
        <w:t xml:space="preserve"> decay heat.</w:t>
      </w:r>
    </w:p>
    <w:p>
      <w:r>
        <w:rPr>
          <w:b/>
        </w:rPr>
        <w:t>Verification &amp; validation (the credibility spine — ASME V&amp;V-20, §8.13):</w:t>
      </w:r>
    </w:p>
    <w:p>
      <w:pPr>
        <w:pStyle w:val="ListBullet"/>
      </w:pPr>
      <w:r>
        <w:rPr>
          <w:b/>
        </w:rPr>
        <w:t>Energy-conservation gate (first acceptance test).</w:t>
      </w:r>
      <w:r>
        <w:t xml:space="preserve"> Advected power ṁ·c_p·ΔT vs the analytic source</w:t>
      </w:r>
    </w:p>
    <w:p>
      <w:r>
        <w:t>(19.83 kW/hot-pin) closes to ×0.992 / 0.996 / 0.998 on coarse / medium / fine meshes — the model is</w:t>
      </w:r>
    </w:p>
    <w:p>
      <w:r>
        <w:t xml:space="preserve">energy-conservative before any temperature is trusted. ‹FIGURE — </w:t>
      </w:r>
      <w:r>
        <w:rPr>
          <w:rFonts w:ascii="Consolas" w:hAnsi="Consolas"/>
          <w:sz w:val="18"/>
        </w:rPr>
        <w:t>docs/figs/F2_energy_conservation.png</w:t>
      </w:r>
      <w:r>
        <w:t>.›</w:t>
      </w:r>
    </w:p>
    <w:p>
      <w:pPr>
        <w:pStyle w:val="ListBullet"/>
      </w:pPr>
      <w:r>
        <w:rPr>
          <w:b/>
        </w:rPr>
        <w:t>Grid convergence (ASME V&amp;V-20 GCI).</w:t>
      </w:r>
      <w:r>
        <w:t xml:space="preserve"> Three geometrically-similar meshes (35.7 k / 103.6 k / 279.9 k</w:t>
      </w:r>
    </w:p>
    <w:p>
      <w:r>
        <w:t xml:space="preserve">cells); every temperature changes &lt; 0.4 % medium→fine, </w:t>
      </w:r>
      <w:r>
        <w:rPr>
          <w:b/>
        </w:rPr>
        <w:t>fine-grid GCI &lt; 0.15 %</w:t>
      </w:r>
      <w:r>
        <w:t xml:space="preserve"> on the convergent</w:t>
      </w:r>
    </w:p>
    <w:p>
      <w:r>
        <w:t xml:space="preserve">metrics. The 103.6 k medium mesh is used for production. ‹FIGURE — </w:t>
      </w:r>
      <w:r>
        <w:rPr>
          <w:rFonts w:ascii="Consolas" w:hAnsi="Consolas"/>
          <w:sz w:val="18"/>
        </w:rPr>
        <w:t>docs/figs/F1_grid_convergence.png</w:t>
      </w:r>
      <w:r>
        <w:t>.›</w:t>
      </w:r>
    </w:p>
    <w:p>
      <w:pPr>
        <w:pStyle w:val="ListBullet"/>
      </w:pPr>
      <w:r>
        <w:rPr>
          <w:b/>
        </w:rPr>
        <w:t>Near-wall validation.</w:t>
      </w:r>
      <w:r>
        <w:t xml:space="preserve"> At the identical operating point the CFD and the single-phase correlation</w:t>
      </w:r>
    </w:p>
    <w:p>
      <w:r>
        <w:t xml:space="preserve">stack agree within </w:t>
      </w:r>
      <w:r>
        <w:rPr>
          <w:b/>
        </w:rPr>
        <w:t>&lt; 7 K</w:t>
      </w:r>
      <w:r>
        <w:t xml:space="preserve"> on every quantity (bulk and fuel &lt; 1 K) — the CFD's resolved film</w:t>
      </w:r>
    </w:p>
    <w:p>
      <w:r>
        <w:t xml:space="preserve">coefficient reproduces the validated correlation. ‹FIGURE — </w:t>
      </w:r>
      <w:r>
        <w:rPr>
          <w:rFonts w:ascii="Consolas" w:hAnsi="Consolas"/>
          <w:sz w:val="18"/>
        </w:rPr>
        <w:t>docs/figs/F3_cfd_vs_stack.png</w:t>
      </w:r>
      <w:r>
        <w:t>.›</w:t>
      </w:r>
    </w:p>
    <w:p>
      <w:r>
        <w:rPr>
          <w:b/>
        </w:rPr>
        <w:t>Core T-H results (full-power hot channel, 37-FA conjugate CFD):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Limit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Margin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Primary T (in/out/avg)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258 / 308 / 283 °C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Peak fuel centerline (BOL)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734 °C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~2840 °C (melt)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+2106 °C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Peak clad temperature (PCT, boiling clamp)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349 °C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1200 °C (LOCA)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+851 °C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MDNBR (hot pin, W-3 + Tong)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1.56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+20 %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Hot-leg subcooling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 °C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bulk boiling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Velocity 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all-positive upflow, no recirculation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stable nat-circ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Mass flow vs power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ṁ ∝ P^(1/3)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self-regulating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Justification of the conservative/weak points (stated openly for the reviewer):</w:t>
      </w:r>
    </w:p>
    <w:p>
      <w:pPr>
        <w:pStyle w:val="ListNumber"/>
      </w:pPr>
      <w:r>
        <w:rPr>
          <w:b/>
        </w:rPr>
        <w:t>W-3 below its validated mass-flux range.</w:t>
      </w:r>
      <w:r>
        <w:t xml:space="preserve"> W-3 was developed for G &gt; 1356 kg/m²·s; the</w:t>
      </w:r>
    </w:p>
    <w:p>
      <w:r>
        <w:t xml:space="preserve">natural-circulation point sits at G ≈ 543. In this regime </w:t>
      </w:r>
      <w:r>
        <w:rPr>
          <w:b/>
        </w:rPr>
        <w:t>W-3 *under*-predicts CHF</w:t>
      </w:r>
      <w:r>
        <w:t>, so the</w:t>
      </w:r>
    </w:p>
    <w:p>
      <w:r>
        <w:t xml:space="preserve">reported MDNBR 1.56 is a </w:t>
      </w:r>
      <w:r>
        <w:rPr>
          <w:b/>
        </w:rPr>
        <w:t>lower bound</w:t>
      </w:r>
      <w:r>
        <w:t xml:space="preserve"> — the true margin is larger. A low-flow CHF method</w:t>
      </w:r>
    </w:p>
    <w:p>
      <w:r>
        <w:t>(Groeneveld look-up tables / bundle-specific CHF) is recommended to *recover* margin for the final</w:t>
      </w:r>
    </w:p>
    <w:p>
      <w:r>
        <w:t xml:space="preserve">safety case, not to defend it. </w:t>
      </w:r>
      <w:r>
        <w:rPr>
          <w:b/>
        </w:rPr>
        <w:t>Binding constraint = MDNBR</w:t>
      </w:r>
      <w:r>
        <w:t>, and it still clears 1.3 by +20 %.</w:t>
      </w:r>
    </w:p>
    <w:p>
      <w:pPr>
        <w:pStyle w:val="ListNumber"/>
      </w:pPr>
      <w:r>
        <w:rPr>
          <w:b/>
        </w:rPr>
        <w:t>Hot-channel bulk slightly exceeds T_sat (~4 K) at the outlet.</w:t>
      </w:r>
      <w:r>
        <w:t xml:space="preserve"> The most-peaked channel reaches</w:t>
      </w:r>
    </w:p>
    <w:p>
      <w:r>
        <w:t>subcooled-boiling onset *by design*; a two-phase enthalpy model would cap it at T_sat. Affects only</w:t>
      </w:r>
    </w:p>
    <w:p>
      <w:r>
        <w:t>the very top of one channel; the Jens-Lottes clamp already removes ≈ 30 K of single-phase clad</w:t>
      </w:r>
    </w:p>
    <w:p>
      <w:r>
        <w:t>over-prediction (385 → 349 °C), so PCT is reported conservatively.</w:t>
      </w:r>
    </w:p>
    <w:p>
      <w:pPr>
        <w:pStyle w:val="ListNumber"/>
      </w:pPr>
      <w:r>
        <w:rPr>
          <w:b/>
        </w:rPr>
        <w:t>Peaking inputs vs the final per-pin map — confirmed.</w:t>
      </w:r>
      <w:r>
        <w:t xml:space="preserve"> The CFD uses F_ΔH 1.55 / F_q 2.00 (limits</w:t>
      </w:r>
    </w:p>
    <w:p>
      <w:r>
        <w:t xml:space="preserve">1.65 / 2.32); the </w:t>
      </w:r>
      <w:r>
        <w:rPr>
          <w:b/>
        </w:rPr>
        <w:t>STAT_FINAL per-pin map gives F_ΔH 1.583 / F_q 2.035</w:t>
      </w:r>
      <w:r>
        <w:t>, within ~2 % of the CFD</w:t>
      </w:r>
    </w:p>
    <w:p>
      <w:r>
        <w:t xml:space="preserve">basis, so </w:t>
      </w:r>
      <w:r>
        <w:rPr>
          <w:b/>
        </w:rPr>
        <w:t>MDNBR holds at ≈ 1.55 (≥ 1.3, +19 %)</w:t>
      </w:r>
      <w:r>
        <w:t xml:space="preserve"> — no re-run needed (see §8.2.4).</w:t>
      </w:r>
    </w:p>
    <w:p>
      <w:r>
        <w:rPr>
          <w:b/>
        </w:rPr>
        <w:t>OTSG coupling.</w:t>
      </w:r>
      <w:r>
        <w:t xml:space="preserve"> The OTSG removes 125 MWth across a counterflow once-through surface, so secondary</w:t>
      </w:r>
    </w:p>
    <w:p>
      <w:r>
        <w:t xml:space="preserve">steam is bounded by the primary legs; the binding constraint is the </w:t>
      </w:r>
      <w:r>
        <w:rPr>
          <w:b/>
        </w:rPr>
        <w:t>evaporator pinch</w:t>
      </w:r>
      <w:r>
        <w:t>. Re-coupling</w:t>
      </w:r>
    </w:p>
    <w:p>
      <w:r>
        <w:t>to the 308/258 °C legs gives the practical optimum **4.5 MPa / 296 °C steam → 39.7 MWe net, 8.8 °C</w:t>
      </w:r>
    </w:p>
    <w:p>
      <w:r>
        <w:t>pinch</w:t>
      </w:r>
      <w:r>
        <w:rPr>
          <w:b/>
        </w:rPr>
        <w:t xml:space="preserve"> (§8.9). </w:t>
      </w:r>
      <w:r>
        <w:t>Decay-heat removal:** after trip the DHRS removes ANS-5.1 decay heat by passive</w:t>
      </w:r>
    </w:p>
    <w:p>
      <w:r>
        <w:t>natural circulation to the in-containment sink (≥ 105 % of the 1 s decay power); the quantitative</w:t>
      </w:r>
    </w:p>
    <w:p>
      <w:r>
        <w:t>SBO/LOHS transient and PCT(t) are in §8.5/§8.6 (basis of the grace-period and large-break-LOCA</w:t>
      </w:r>
    </w:p>
    <w:p>
      <w:r>
        <w:t>design-elimination arguments).</w:t>
      </w:r>
    </w:p>
    <w:p>
      <w:pPr>
        <w:pStyle w:val="Heading2"/>
      </w:pPr>
      <w:r>
        <w:t>8.4.7 Operating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Plant state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Heat sink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Full power (100 %)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12.8 MPa, 308/258 °C, 467 kg/s (G 543)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OTSG → turbine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nat-circ + OTSG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Cogeneration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unchanged (~100 %)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OTSG; extraction → TCES; off-peak power → H₂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nat-circ (§8.9)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Hot standby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12.8 MPa, near-isothermal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OTSG / DHRS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nat-circ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Trip / loss of secondary sink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depressurise as needed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DHRS</w:t>
            </w:r>
            <w:r>
              <w:rPr>
                <w:sz w:val="18"/>
              </w:rPr>
              <w:t xml:space="preserve"> → tank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passive nat-circ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Station blackout (no AC/DC)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DHRS + inventory, ≥ 72 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fully passive (§8.5/§8.6)</w:t>
            </w:r>
          </w:p>
        </w:tc>
      </w:tr>
    </w:tbl>
    <w:p/>
    <w:p>
      <w:pPr>
        <w:pStyle w:val="Heading1"/>
      </w:pPr>
      <w:r>
        <w:t>8.5 Safety Criteria</w:t>
      </w:r>
    </w:p>
    <w:p>
      <w:pPr>
        <w:ind w:left="360"/>
      </w:pPr>
      <w:r>
        <w:rPr>
          <w:b/>
          <w:i/>
        </w:rPr>
        <w:t>Codes/standards:</w:t>
      </w:r>
      <w:r>
        <w:rPr>
          <w:i/>
        </w:rPr>
        <w:t xml:space="preserve"> OpenMC (neutronics gates), W-3 / CFD (T-H gates), ANS-5.1 (decay heat),</w:t>
      </w:r>
    </w:p>
    <w:p>
      <w:pPr>
        <w:ind w:left="360"/>
      </w:pPr>
      <w:r>
        <w:rPr>
          <w:i/>
        </w:rPr>
        <w:t xml:space="preserve">deterministic DBA + projected PSA. Criteria maintained in </w:t>
      </w:r>
      <w:r>
        <w:rPr>
          <w:rFonts w:ascii="Consolas" w:hAnsi="Consolas"/>
          <w:i/>
          <w:sz w:val="18"/>
        </w:rPr>
        <w:t>safety/safety_criteria.yaml</w:t>
      </w:r>
      <w:r>
        <w:rPr>
          <w:i/>
        </w:rPr>
        <w:t>.</w:t>
      </w:r>
    </w:p>
    <w:p>
      <w:pPr>
        <w:pStyle w:val="Heading2"/>
      </w:pPr>
      <w:r>
        <w:t>8.5.1 Criteria framework and plant states</w:t>
      </w:r>
    </w:p>
    <w:p>
      <w:r>
        <w:t>The safety basis is expressed as numeric criteria in eight categories (reactivity/neutronics,</w:t>
      </w:r>
    </w:p>
    <w:p>
      <w:r>
        <w:t>thermal-hydraulics, pressure boundary, decay-heat removal &amp; UHS, radiological/site, seismic/external,</w:t>
      </w:r>
    </w:p>
    <w:p>
      <w:r>
        <w:t xml:space="preserve">fuel cycle, cogeneration interface), each classified as a </w:t>
      </w:r>
      <w:r>
        <w:rPr>
          <w:b/>
        </w:rPr>
        <w:t>hard constraint</w:t>
      </w:r>
      <w:r>
        <w:t xml:space="preserve"> (breach disqualifies —</w:t>
      </w:r>
    </w:p>
    <w:p>
      <w:r>
        <w:t xml:space="preserve">never traded), an </w:t>
      </w:r>
      <w:r>
        <w:rPr>
          <w:b/>
        </w:rPr>
        <w:t>operating limit</w:t>
      </w:r>
      <w:r>
        <w:t xml:space="preserve"> (breach demands protective action), or a </w:t>
      </w:r>
      <w:r>
        <w:rPr>
          <w:b/>
        </w:rPr>
        <w:t>target</w:t>
      </w:r>
      <w:r>
        <w:t xml:space="preserve"> (scored</w:t>
      </w:r>
    </w:p>
    <w:p>
      <w:r>
        <w:t>against CAREM-25 / SMART / NuScale). Each carries its regulatory source and crediting trip function.</w:t>
      </w:r>
    </w:p>
    <w:p>
      <w:r>
        <w:t>Plant conditions follow IAEA SSR-2/1 Req. 13/20: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Plant state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Representative Aegis-40 events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Acceptance criterion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Normal operation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power operation, TCES-buffered load-follow, cogen dispatch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OLCs respected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AOO (≥ 1× in life)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turbine trip, loss of normal feedwater, uncontrolled rod withdrawal, loss of seawater intake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fuel failure; MDNBR ≥ 1.3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DBA (single fault)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small-break LOCA, main-steam-line break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limited fuel damage; dose ≤ 10 CFR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DEC-A (multiple failure, coolable)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ATWS, station blackout, total loss of feedwater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coolable; containment intact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DEC-B (severe accident)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postulated core melt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containment integrity preserved; large release </w:t>
            </w:r>
            <w:r>
              <w:rPr>
                <w:b/>
                <w:sz w:val="18"/>
              </w:rPr>
              <w:t>practically eliminated</w:t>
            </w:r>
          </w:p>
        </w:tc>
      </w:tr>
    </w:tbl>
    <w:p/>
    <w:p>
      <w:r>
        <w:rPr>
          <w:b/>
        </w:rPr>
        <w:t>Events removed by practical elimination (SSR-2/1 §5.31)</w:t>
      </w:r>
      <w:r>
        <w:t xml:space="preserve"> — by construction, not probability: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Eliminated event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Deterministic basis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Large-break LOCA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integral RPV — no large-bore primary piping exists (§8.6.1)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Control-rod ejection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 in-vessel CRDMs — no ejection path (§8.6.1)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Boron-dilution accident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soluble-boron-free — no dilution pathway (§8.6.1)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Pressuriser surge-line break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integral pressuriser in the RPV head — no external surge line (§8.6.1)</w:t>
            </w:r>
          </w:p>
        </w:tc>
      </w:tr>
    </w:tbl>
    <w:p/>
    <w:p>
      <w:pPr>
        <w:pStyle w:val="Heading2"/>
      </w:pPr>
      <w:r>
        <w:t>8.5.2 Principal criteria and demonstrated margins — Table 8.5-1</w:t>
      </w:r>
    </w:p>
    <w:p>
      <w:r>
        <w:t>(STAT_FINAL 37-FA values; all hard criteria PASS.)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Limit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Demonstrated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Shutdown margin (most-reactive rod stuck)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1 % Δk/k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met via enriched-B10 rods + EBIS (§8.6)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NRC SRP 4.3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MTC (HFP)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−27.1 pcm/K</w:t>
            </w:r>
            <w:r>
              <w:rPr>
                <w:sz w:val="18"/>
              </w:rPr>
              <w:t xml:space="preserve"> 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GDC-11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Doppler coefficient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−1.90 pcm/K</w:t>
            </w:r>
            <w:r>
              <w:rPr>
                <w:sz w:val="18"/>
              </w:rPr>
              <w:t xml:space="preserve"> 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GDC-11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Void coefficient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−166 pcm/%void</w:t>
            </w:r>
            <w:r>
              <w:rPr>
                <w:sz w:val="18"/>
              </w:rPr>
              <w:t xml:space="preserve"> 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GDC-11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Control-rod worth (ARO)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5 % Δk/k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13 390 pcm</w:t>
            </w:r>
            <w:r>
              <w:rPr>
                <w:sz w:val="18"/>
              </w:rPr>
              <w:t xml:space="preserve"> 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SRP 4.3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 reactivity insertion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 7.5e-4 Δk/k/s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1.5×10⁻⁵ Δk/k/s</w:t>
            </w:r>
            <w:r>
              <w:rPr>
                <w:sz w:val="18"/>
              </w:rPr>
              <w:t xml:space="preserve"> 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ANSI/ANS-58.21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F_Q(Z) total peaking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 2.32 (separable, +3 %)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≈ 2.03 (37-FA latest)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NUREG-1431 LCO 3.2.1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F_ΔH radial peaking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 1.65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1.746 (37-FA latest) — governing open item O1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NUREG-1431 LCO 3.2.2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MDNBR (steady)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1.3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1.56</w:t>
            </w:r>
            <w:r>
              <w:rPr>
                <w:sz w:val="18"/>
              </w:rPr>
              <w:t xml:space="preserve"> (37-FA conjugate CFD, W-3+Tong, design F_ΔH 1.55); </w:t>
            </w:r>
            <w:r>
              <w:rPr>
                <w:b/>
                <w:sz w:val="18"/>
              </w:rPr>
              <w:t>≈ 1.4</w:t>
            </w:r>
            <w:r>
              <w:rPr>
                <w:sz w:val="18"/>
              </w:rPr>
              <w:t xml:space="preserve"> if F_ΔH 1.746 — both 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SRP 4.4 / 15.0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PCT (LOCA envelope)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 1204 °C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[SIM-PENDING]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CFR 50.46(b)(1)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Clad oxidation / H₂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 17 % / ≤ 1 %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[SIM-PENDING]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50.46(b)(2,3)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Primary design pressure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 14.1 MPa (iPWR)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12.8 MPa operating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ASME III NB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Containment design pressure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 0.414 MPa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[ANALYSIS-PENDING — P/T response]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SSR-2/1 Req. 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Safety UHS grace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72 h passive, no seawater/AC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72 h by design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SSR-2/1 Req. 53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Peak-rod discharge burnup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 62 GWd/MTU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27.6 GWd/MTU (once-through)</w:t>
            </w:r>
            <w:r>
              <w:rPr>
                <w:sz w:val="18"/>
              </w:rPr>
              <w:t xml:space="preserve"> 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SRP 4.2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 enrichment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 5.0 wt%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4.95 wt%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CFR 50 LEU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Cycle length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365 EFPD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2175 EFPD (once-through, ~6 FPY)</w:t>
            </w:r>
            <w:r>
              <w:rPr>
                <w:sz w:val="18"/>
              </w:rPr>
              <w:t xml:space="preserve"> 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competition target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0.3 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 g design 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RG 1.60; SSG-9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Coastal external hazard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protected to site DBFL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[ANALYSIS-PENDING — Sinop surge/tsunami]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SSR-1; SSG-9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Boundary dose (DBA, 0–2 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 0.25 Sv TEDE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[ANALYSIS-PENDING — dispersion from source term]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CFR 100.11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CDF / LRF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1e-7 / &lt; 1e-8 /ry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LOHS ≈ 1e-8, SBO ≈ 1e-11 (§8.6)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RG 1.174</w:t>
            </w:r>
          </w:p>
        </w:tc>
      </w:tr>
    </w:tbl>
    <w:p/>
    <w:p>
      <w:r>
        <w:rPr>
          <w:b/>
        </w:rPr>
        <w:t>Governing open item (O1).</w:t>
      </w:r>
      <w:r>
        <w:t xml:space="preserve"> The per-pin radial peaking is the single binding open item. On the</w:t>
      </w:r>
    </w:p>
    <w:p>
      <w:r>
        <w:t xml:space="preserve">21-FA core it sat at F_ΔH ≈ 1.85 (&gt; 1.65 LCO); the </w:t>
      </w:r>
      <w:r>
        <w:rPr>
          <w:b/>
        </w:rPr>
        <w:t>37-FA pivot was made specifically to close it</w:t>
      </w:r>
    </w:p>
    <w:p>
      <w:r>
        <w:t>and the latest 37-FA value (1.746, pre-final Gd-tune) is already lower and trending toward the limit.</w:t>
      </w:r>
    </w:p>
    <w:p>
      <w:r>
        <w:t xml:space="preserve">The design is formally </w:t>
      </w:r>
      <w:r>
        <w:rPr>
          <w:b/>
        </w:rPr>
        <w:t>provisional on the safety metrics downstream of peaking</w:t>
      </w:r>
      <w:r>
        <w:t xml:space="preserve"> (MDNBR, LOCA PCT)</w:t>
      </w:r>
    </w:p>
    <w:p>
      <w:r>
        <w:t>until the 37-FA STAT_FINAL run confirms F_ΔH; if it settles marginally above 1.65 it is defended on</w:t>
      </w:r>
    </w:p>
    <w:p>
      <w:r>
        <w:t xml:space="preserve">DNBR margin at the 12.7 MW/tHM power density (CAREM precedent). </w:t>
      </w:r>
      <w:r>
        <w:rPr>
          <w:b/>
        </w:rPr>
        <w:t>This is disclosed, not hidden.</w:t>
      </w:r>
    </w:p>
    <w:p>
      <w:r>
        <w:rPr>
          <w:b/>
        </w:rPr>
        <w:t>Enrichment-margin note.</w:t>
      </w:r>
      <w:r>
        <w:t xml:space="preserve"> The 4.95 wt% peak zone deliberately approaches the 5.0 wt% LEU ceiling to</w:t>
      </w:r>
    </w:p>
    <w:p>
      <w:r>
        <w:t>maximise burnup; the 0.05 wt% residual equals a typical fabrication tolerance, so the fuel spec</w:t>
      </w:r>
    </w:p>
    <w:p>
      <w:r>
        <w:t>requires an asymmetric band (−0.10/+0.00 wt%) [VERIFY — mechanical/fuel section].</w:t>
      </w:r>
    </w:p>
    <w:p>
      <w:pPr>
        <w:pStyle w:val="Heading2"/>
      </w:pPr>
      <w:r>
        <w:t>8.5.2a Heat-sink architecture — two distinct sinks (do not conflate)</w:t>
      </w:r>
    </w:p>
    <w:p>
      <w:r>
        <w:t>Per SSR-2/1 Req. 52–53 the design distinguishes:</w:t>
      </w:r>
    </w:p>
    <w:p>
      <w:pPr>
        <w:pStyle w:val="ListBullet"/>
      </w:pPr>
      <w:r>
        <w:rPr>
          <w:b/>
        </w:rPr>
        <w:t>Normal heat sink = the Black Sea, once-through seawater</w:t>
      </w:r>
      <w:r>
        <w:t xml:space="preserve"> (condenser + CCWS + TCES rejection),</w:t>
      </w:r>
    </w:p>
    <w:p>
      <w:r>
        <w:rPr>
          <w:b/>
        </w:rPr>
        <w:t>non-safety-classified</w:t>
      </w:r>
      <w:r>
        <w:t xml:space="preserve"> (graded per TECDOC-1936) — the safety function does not depend on it.</w:t>
      </w:r>
    </w:p>
    <w:p>
      <w:pPr>
        <w:pStyle w:val="ListBullet"/>
      </w:pPr>
      <w:r>
        <w:rPr>
          <w:b/>
        </w:rPr>
        <w:t>Safety ultimate heat sink = the passive IRWST + containment cooling</w:t>
      </w:r>
      <w:r>
        <w:t xml:space="preserve"> (atmosphere-coupled),</w:t>
      </w:r>
    </w:p>
    <w:p>
      <w:r>
        <w:rPr>
          <w:b/>
        </w:rPr>
        <w:t>independent of seawater</w:t>
      </w:r>
      <w:r>
        <w:t>, supporting the ≥ 72 h grace.</w:t>
      </w:r>
    </w:p>
    <w:p>
      <w:r>
        <w:t xml:space="preserve">Therefore </w:t>
      </w:r>
      <w:r>
        <w:rPr>
          <w:b/>
        </w:rPr>
        <w:t>loss of the seawater intake</w:t>
      </w:r>
      <w:r>
        <w:t xml:space="preserve"> (storm surge, biofouling, jellyfish/algal bloom, debris,</w:t>
      </w:r>
    </w:p>
    <w:p>
      <w:r>
        <w:t xml:space="preserve">ice) or </w:t>
      </w:r>
      <w:r>
        <w:rPr>
          <w:b/>
        </w:rPr>
        <w:t>loss of TCES</w:t>
      </w:r>
      <w:r>
        <w:t xml:space="preserve"> is a power-conversion event that does </w:t>
      </w:r>
      <w:r>
        <w:rPr>
          <w:b/>
        </w:rPr>
        <w:t>not</w:t>
      </w:r>
      <w:r>
        <w:t xml:space="preserve"> challenge the safety UHS.</w:t>
      </w:r>
    </w:p>
    <w:p>
      <w:pPr>
        <w:pStyle w:val="Heading2"/>
      </w:pPr>
      <w:r>
        <w:t>8.5.3 Defence in depth</w:t>
      </w:r>
    </w:p>
    <w:p>
      <w:r>
        <w:t xml:space="preserve">The criteria map onto the five IAEA DiD levels (SSR-2/1 §2.13): </w:t>
      </w:r>
      <w:r>
        <w:rPr>
          <w:b/>
        </w:rPr>
        <w:t>L1</w:t>
      </w:r>
      <w:r>
        <w:t xml:space="preserve"> prevention via inherently</w:t>
      </w:r>
    </w:p>
    <w:p>
      <w:r>
        <w:t xml:space="preserve">negative feedback + DNB margin; </w:t>
      </w:r>
      <w:r>
        <w:rPr>
          <w:b/>
        </w:rPr>
        <w:t>L2</w:t>
      </w:r>
      <w:r>
        <w:t xml:space="preserve"> control via the reactor-protection envelope (§8.7); </w:t>
      </w:r>
      <w:r>
        <w:rPr>
          <w:b/>
        </w:rPr>
        <w:t>L3</w:t>
      </w:r>
      <w:r>
        <w:t xml:space="preserve"> DBA</w:t>
      </w:r>
    </w:p>
    <w:p>
      <w:r>
        <w:t xml:space="preserve">control by passive ECCS/EFW/PRHR (§8.6); </w:t>
      </w:r>
      <w:r>
        <w:rPr>
          <w:b/>
        </w:rPr>
        <w:t>L4</w:t>
      </w:r>
      <w:r>
        <w:t xml:space="preserve"> severe-accident management via the ≥ 72 h no-operator</w:t>
      </w:r>
    </w:p>
    <w:p>
      <w:r>
        <w:t xml:space="preserve">grace and three passive containment-cooling trains; </w:t>
      </w:r>
      <w:r>
        <w:rPr>
          <w:b/>
        </w:rPr>
        <w:t>L5</w:t>
      </w:r>
      <w:r>
        <w:t xml:space="preserve"> mitigation via the ≤ 0.5 km EPZ</w:t>
      </w:r>
    </w:p>
    <w:p>
      <w:r>
        <w:t>([ANALYSIS-PENDING dose basis]).</w:t>
      </w:r>
    </w:p>
    <w:p>
      <w:pPr>
        <w:pStyle w:val="Heading1"/>
      </w:pPr>
      <w:r>
        <w:t>8.6 Reactor Safety Systems Design</w:t>
      </w:r>
    </w:p>
    <w:p>
      <w:pPr>
        <w:pStyle w:val="Heading2"/>
      </w:pPr>
      <w:r>
        <w:t>8.6.1 Accident prevention — elimination before mitigation</w:t>
      </w:r>
    </w:p>
    <w:p>
      <w:r>
        <w:t xml:space="preserve">Aegis-40 </w:t>
      </w:r>
      <w:r>
        <w:rPr>
          <w:b/>
        </w:rPr>
        <w:t>removes classes of design-basis events by construction</w:t>
      </w:r>
      <w:r>
        <w:t xml:space="preserve"> (the deterministic basis for the</w:t>
      </w:r>
    </w:p>
    <w:p>
      <w:r>
        <w:t>§8.5 practical-elimination table):</w:t>
      </w:r>
    </w:p>
    <w:p>
      <w:pPr>
        <w:pStyle w:val="ListNumber"/>
      </w:pPr>
      <w:r>
        <w:rPr>
          <w:b/>
        </w:rPr>
        <w:t>Large-break LOCA — eliminated.</w:t>
      </w:r>
      <w:r>
        <w:t xml:space="preserve"> The integral RPV contains the core, the helical-coil OTSG and</w:t>
      </w:r>
    </w:p>
    <w:p>
      <w:r>
        <w:t>the pressuriser in one boundary; no large-bore primary piping. The limiting LOCA is a small break</w:t>
      </w:r>
    </w:p>
    <w:p>
      <w:r>
        <w:t>at instrument/injection nozzles.</w:t>
      </w:r>
    </w:p>
    <w:p>
      <w:pPr>
        <w:pStyle w:val="ListNumber"/>
      </w:pPr>
      <w:r>
        <w:rPr>
          <w:b/>
        </w:rPr>
        <w:t>Rod ejection — eliminated.</w:t>
      </w:r>
      <w:r>
        <w:t xml:space="preserve"> CRDMs are </w:t>
      </w:r>
      <w:r>
        <w:rPr>
          <w:b/>
        </w:rPr>
        <w:t>internal (in-vessel)</w:t>
      </w:r>
      <w:r>
        <w:t>; no head-mounted housing whose</w:t>
      </w:r>
    </w:p>
    <w:p>
      <w:r>
        <w:t>rupture provides an ejection path. The bounding reactivity insertion becomes uncontrolled rod</w:t>
      </w:r>
    </w:p>
    <w:p>
      <w:r>
        <w:t>*withdrawal* (AOO), bounded by the insertion-rate margin. [VERIFY — anchor with a configuration</w:t>
      </w:r>
    </w:p>
    <w:p>
      <w:r>
        <w:t>sketch, O13.]</w:t>
      </w:r>
    </w:p>
    <w:p>
      <w:pPr>
        <w:pStyle w:val="ListNumber"/>
      </w:pPr>
      <w:r>
        <w:rPr>
          <w:b/>
        </w:rPr>
        <w:t>Boron-dilution — eliminated.</w:t>
      </w:r>
      <w:r>
        <w:t xml:space="preserve"> Soluble-boron-free core; hold-down by hybrid Gd₂O₃/Er₂O₃ +</w:t>
      </w:r>
    </w:p>
    <w:p>
      <w:r>
        <w:t>control rods.</w:t>
      </w:r>
    </w:p>
    <w:p>
      <w:pPr>
        <w:pStyle w:val="ListNumber"/>
      </w:pPr>
      <w:r>
        <w:rPr>
          <w:b/>
        </w:rPr>
        <w:t>Pressuriser surge-line break — eliminated.</w:t>
      </w:r>
      <w:r>
        <w:t xml:space="preserve"> Integral pressuriser in the RPV head; no external</w:t>
      </w:r>
    </w:p>
    <w:p>
      <w:r>
        <w:t>surge line.</w:t>
      </w:r>
    </w:p>
    <w:p>
      <w:pPr>
        <w:pStyle w:val="Heading2"/>
      </w:pPr>
      <w:r>
        <w:t>8.6.2 Engineered safety features (passive, de-energize-to-actuate)</w:t>
      </w:r>
    </w:p>
    <w:p>
      <w:pPr>
        <w:pStyle w:val="ListBullet"/>
      </w:pPr>
      <w:r>
        <w:rPr>
          <w:b/>
        </w:rPr>
        <w:t>Emergency Feedwater (EFW)</w:t>
      </w:r>
      <w:r>
        <w:t xml:space="preserve"> — gravity-driven from an elevated tank; isolation valves fail open;</w:t>
      </w:r>
    </w:p>
    <w:p>
      <w:r>
        <w:t>no pumps; sized for 72 h of decay-heat steaming [ANALYSIS-PENDING — tank inventory].</w:t>
      </w:r>
    </w:p>
    <w:p>
      <w:pPr>
        <w:pStyle w:val="ListBullet"/>
      </w:pPr>
      <w:r>
        <w:rPr>
          <w:b/>
        </w:rPr>
        <w:t>Passive Residual Heat Removal (PRHR)</w:t>
      </w:r>
      <w:r>
        <w:t xml:space="preserve"> — two 100 % natural-circulation trains (RPV → HX in the</w:t>
      </w:r>
    </w:p>
    <w:p>
      <w:r>
        <w:t>IRWST), each ≥ 105 % of decay heat at actuation. Governing decay-heat source **≈ 7.75 MW at</w:t>
      </w:r>
    </w:p>
    <w:p>
      <w:r>
        <w:t>shutdown** (~6.2 % of 125 MWth), full-chain depletion, cross-validated to ANS-5.1.</w:t>
      </w:r>
    </w:p>
    <w:p>
      <w:pPr>
        <w:pStyle w:val="ListBullet"/>
      </w:pPr>
      <w:r>
        <w:rPr>
          <w:b/>
        </w:rPr>
        <w:t>Passive containment cooling</w:t>
      </w:r>
      <w:r>
        <w:t xml:space="preserve"> — three trains; condensate return maintains the IRWST as the</w:t>
      </w:r>
    </w:p>
    <w:p>
      <w:r>
        <w:t xml:space="preserve">≥ 72 h heat sink. </w:t>
      </w:r>
      <w:r>
        <w:rPr>
          <w:b/>
        </w:rPr>
        <w:t>This — not the seawater system — is the safety UHS (§8.5.2a).</w:t>
      </w:r>
    </w:p>
    <w:p>
      <w:pPr>
        <w:pStyle w:val="ListBullet"/>
      </w:pPr>
      <w:r>
        <w:rPr>
          <w:b/>
        </w:rPr>
        <w:t>Passive safety injection</w:t>
      </w:r>
      <w:r>
        <w:t xml:space="preserve"> — gravity feed from the IRWST on low pressuriser pressure + level</w:t>
      </w:r>
    </w:p>
    <w:p>
      <w:r>
        <w:t>coincidence.</w:t>
      </w:r>
    </w:p>
    <w:p>
      <w:pPr>
        <w:pStyle w:val="ListBullet"/>
      </w:pPr>
      <w:r>
        <w:rPr>
          <w:b/>
        </w:rPr>
        <w:t>Containment</w:t>
      </w:r>
      <w:r>
        <w:t xml:space="preserve"> — dry steel-lined, Ø ≈ 15 m, design pressure 0.414 MPa. [DECISION-PENDING — a</w:t>
      </w:r>
    </w:p>
    <w:p>
      <w:r>
        <w:t>NuScale-style submerged-pool configuration is under team evaluation; this section is written against</w:t>
      </w:r>
    </w:p>
    <w:p>
      <w:r>
        <w:t>the dry-containment baseline.]</w:t>
      </w:r>
    </w:p>
    <w:p>
      <w:pPr>
        <w:pStyle w:val="Heading2"/>
      </w:pPr>
      <w:r>
        <w:t>8.6.2a Reactor shutdown — two diverse and independent means (SSR-2/1 Req. 46)</w:t>
      </w:r>
    </w:p>
    <w:p>
      <w:pPr>
        <w:pStyle w:val="ListNumber"/>
      </w:pPr>
      <w:r>
        <w:rPr>
          <w:b/>
        </w:rPr>
        <w:t>Control rods (primary).</w:t>
      </w:r>
      <w:r>
        <w:t xml:space="preserve"> Gravity-drop on de-energisation via the RPS or the Diverse Actuation</w:t>
      </w:r>
    </w:p>
    <w:p>
      <w:r>
        <w:t>System; cold stuck-rod SDM ⏳ *[21-FA: 12.4 %]*.</w:t>
      </w:r>
    </w:p>
    <w:p>
      <w:pPr>
        <w:pStyle w:val="ListNumber"/>
      </w:pPr>
      <w:r>
        <w:rPr>
          <w:b/>
        </w:rPr>
        <w:t>Emergency Boron Injection System (EBIS) — diverse second system.</w:t>
      </w:r>
      <w:r>
        <w:t xml:space="preserve"> Passive, shutdown-only</w:t>
      </w:r>
    </w:p>
    <w:p>
      <w:r>
        <w:t>borated water (gravity head / N₂ accumulator, fail-open isolation), **isolated and dormant in</w:t>
      </w:r>
    </w:p>
    <w:p>
      <w:r>
        <w:t>normal operation**, armed only on an ATWS signature by the DAS (§8.7.4). Diverse in principle</w:t>
      </w:r>
    </w:p>
    <w:p>
      <w:r>
        <w:t>(liquid poison vs mechanical insertion) → no shared rod-insertion common-cause failure.</w:t>
      </w:r>
    </w:p>
    <w:p>
      <w:r>
        <w:t xml:space="preserve">This is achieved </w:t>
      </w:r>
      <w:r>
        <w:rPr>
          <w:b/>
        </w:rPr>
        <w:t>without compromising the soluble-boron-free design</w:t>
      </w:r>
      <w:r>
        <w:t>: normal coolant stays</w:t>
      </w:r>
    </w:p>
    <w:p>
      <w:r>
        <w:t>boron-free (boron-dilution stays eliminated; MTC stays strongly negative); boron is solely the</w:t>
      </w:r>
    </w:p>
    <w:p>
      <w:r>
        <w:t>dormant emergency reserve (the BWR standby-liquid-control principle). EBIS boron mass/concentration</w:t>
      </w:r>
    </w:p>
    <w:p>
      <w:r>
        <w:t>sized for standalone cold subcriticality [SIM-PENDING — OpenMC borated-core case, O5].</w:t>
      </w:r>
    </w:p>
    <w:p>
      <w:pPr>
        <w:pStyle w:val="Heading2"/>
      </w:pPr>
      <w:r>
        <w:t>8.6.3 Analyzed events — event-tree results</w:t>
      </w:r>
    </w:p>
    <w:p>
      <w:r>
        <w:t>Two initiators analysed to event-tree depth (top-event demands map 1:1 onto §8.7 trip/ESF functions):</w:t>
      </w:r>
    </w:p>
    <w:p>
      <w:pPr>
        <w:pStyle w:val="ListBullet"/>
      </w:pPr>
      <w:r>
        <w:rPr>
          <w:b/>
        </w:rPr>
        <w:t>Loss of Heat Sink (LOHS)</w:t>
      </w:r>
      <w:r>
        <w:t xml:space="preserve"> — loss of main feedwater/condenser (incl. loss of the seawater</w:t>
      </w:r>
    </w:p>
    <w:p>
      <w:r>
        <w:t>intake). Seven sequences (4 safe, 3 core-damage); every CD sequence requires ≥ 2 independent</w:t>
      </w:r>
    </w:p>
    <w:p>
      <w:r>
        <w:t xml:space="preserve">failures; per-initiator CDF ≈ </w:t>
      </w:r>
      <w:r>
        <w:rPr>
          <w:b/>
        </w:rPr>
        <w:t>1e-8/ry</w:t>
      </w:r>
      <w:r>
        <w:t xml:space="preserve"> [PRA-PENDING — generic reliability data]. The lead safe</w:t>
      </w:r>
    </w:p>
    <w:p>
      <w:r>
        <w:t xml:space="preserve">path is the </w:t>
      </w:r>
      <w:r>
        <w:rPr>
          <w:b/>
        </w:rPr>
        <w:t>passive PRHR/IRWST, seawater-independent</w:t>
      </w:r>
      <w:r>
        <w:t xml:space="preserve"> — loss of the marine intake degrades only</w:t>
      </w:r>
    </w:p>
    <w:p>
      <w:r>
        <w:t>the normal (power) sink. ‹FIGURE 8.6-1 — event_tree_LOHS.›</w:t>
      </w:r>
    </w:p>
    <w:p>
      <w:pPr>
        <w:pStyle w:val="ListBullet"/>
      </w:pPr>
      <w:r>
        <w:rPr>
          <w:b/>
        </w:rPr>
        <w:t>Station Blackout (SBO)</w:t>
      </w:r>
      <w:r>
        <w:t xml:space="preserve"> — LOOP + failure of both standby AC sources (≈ 1e-5/ry). Every credited</w:t>
      </w:r>
    </w:p>
    <w:p>
      <w:r>
        <w:t>function actuates on de-energisation (breakers open, rods drop, EFW/PRHR valves fail open, CIVs</w:t>
      </w:r>
    </w:p>
    <w:p>
      <w:r>
        <w:t xml:space="preserve">fail closed) → </w:t>
      </w:r>
      <w:r>
        <w:rPr>
          <w:b/>
        </w:rPr>
        <w:t>loss of power is actuation, not challenge</w:t>
      </w:r>
      <w:r>
        <w:t>. No AC/DC/operator/external water for</w:t>
      </w:r>
    </w:p>
    <w:p>
      <w:r>
        <w:t xml:space="preserve">72 h; 1E batteries (72 h) serve post-accident monitoring only. SBO CDF ≈ </w:t>
      </w:r>
      <w:r>
        <w:rPr>
          <w:b/>
        </w:rPr>
        <w:t>1e-11/ry</w:t>
      </w:r>
      <w:r>
        <w:t xml:space="preserve"> — four orders</w:t>
      </w:r>
    </w:p>
    <w:p>
      <w:r>
        <w:t>below target. ATWS-under-SBO is backstopped by EBIS (§8.6.2a) per 10 CFR 50.62. ‹FIGURE 8.6-2.›</w:t>
      </w:r>
    </w:p>
    <w:p>
      <w:r>
        <w:t>**Remaining DBA spectrum (PIE list, NUREG-0800 Ch. 15; identified/screened, priority MSLB then</w:t>
      </w:r>
    </w:p>
    <w:p>
      <w:r>
        <w:t>SBLOCA):**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Initiator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Why it matters here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Small-break LOCA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only surviving LOCA 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[ANALYSIS-PENDING — tree planned next]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MSLB / excess steam demand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 MTC &lt; 0, overcooling is the limiting reactivity transient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[ANALYSIS-PENDING]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Uncontrolled rod withdrawal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surviving reactivity AOO after ejection elimination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[ANALYSIS-PENDING — bounded by insertion-rate margin]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Loss of primary flow / blockage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natural-circulation primary; flow-degradation screening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[ANALYSIS-PENDING — screening]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Marine intake blockage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CCF of the *normal* sink; bounded by passive UHS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CARRIED (§8.5.2a)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Fuel-handling accident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SFP/cask operations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[ANALYSIS-PENDING — ties to §8.8]</w:t>
            </w:r>
          </w:p>
        </w:tc>
      </w:tr>
    </w:tbl>
    <w:p/>
    <w:p>
      <w:pPr>
        <w:pStyle w:val="Heading2"/>
      </w:pPr>
      <w:r>
        <w:t>8.6.4 Redundancy and necessity; fault/event trees</w:t>
      </w:r>
    </w:p>
    <w:p>
      <w:r>
        <w:t>For each credited system the design demonstrates redundancy (what backs it up) and necessity (what</w:t>
      </w:r>
    </w:p>
    <w:p>
      <w:r>
        <w:t xml:space="preserve">fails without it); the LOHS and SBO sequence tables show </w:t>
      </w:r>
      <w:r>
        <w:rPr>
          <w:b/>
        </w:rPr>
        <w:t>no single failure leads to core damage</w:t>
      </w:r>
      <w:r>
        <w:t xml:space="preserve"> —</w:t>
      </w:r>
    </w:p>
    <w:p>
      <w:r>
        <w:t>the single-failure criterion is met at the accident-sequence level, not merely the component level.</w:t>
      </w:r>
    </w:p>
    <w:p>
      <w:r>
        <w:rPr>
          <w:b/>
        </w:rPr>
        <w:t>How protective actions are derived</w:t>
      </w:r>
      <w:r>
        <w:t xml:space="preserve"> (the schematic-diagram requirement) is shown in §8.7.2: each</w:t>
      </w:r>
    </w:p>
    <w:p>
      <w:r>
        <w:t>trip parameter is derived from monitored neutron flux, temperature, flow and pressure and combined in</w:t>
      </w:r>
    </w:p>
    <w:p>
      <w:r>
        <w:t>2-of-4 coincidence logic (</w:t>
      </w:r>
      <w:r>
        <w:rPr>
          <w:rFonts w:ascii="Consolas" w:hAnsi="Consolas"/>
          <w:sz w:val="18"/>
        </w:rPr>
        <w:t>trip_signals.md</w:t>
      </w:r>
      <w:r>
        <w:t>, ‹FIGURE 8.7-1›).</w:t>
      </w:r>
    </w:p>
    <w:p>
      <w:pPr>
        <w:pStyle w:val="Heading1"/>
      </w:pPr>
      <w:r>
        <w:t>8.7 Instrumentation and Control System Design</w:t>
      </w:r>
    </w:p>
    <w:p>
      <w:pPr>
        <w:ind w:left="360"/>
      </w:pPr>
      <w:r>
        <w:rPr>
          <w:b/>
          <w:i/>
        </w:rPr>
        <w:t>Standards:</w:t>
      </w:r>
      <w:r>
        <w:rPr>
          <w:i/>
        </w:rPr>
        <w:t xml:space="preserve"> IEEE 603, IEC 61513 / 60880, IAEA SSG-39, 10 CFR 73.54.</w:t>
      </w:r>
    </w:p>
    <w:p>
      <w:pPr>
        <w:pStyle w:val="Heading2"/>
      </w:pPr>
      <w:r>
        <w:t>8.7.1 Architecture</w:t>
      </w:r>
    </w:p>
    <w:p>
      <w:r>
        <w:t xml:space="preserve">Five layers with strict downward non-interference: </w:t>
      </w:r>
      <w:r>
        <w:rPr>
          <w:b/>
        </w:rPr>
        <w:t>L1</w:t>
      </w:r>
      <w:r>
        <w:t xml:space="preserve"> field instrumentation (21 measurement</w:t>
      </w:r>
    </w:p>
    <w:p>
      <w:r>
        <w:t xml:space="preserve">channels, 14 Class 1E); </w:t>
      </w:r>
      <w:r>
        <w:rPr>
          <w:b/>
        </w:rPr>
        <w:t>L2</w:t>
      </w:r>
      <w:r>
        <w:t xml:space="preserve"> Reactor Protection System; </w:t>
      </w:r>
      <w:r>
        <w:rPr>
          <w:b/>
        </w:rPr>
        <w:t>L3</w:t>
      </w:r>
      <w:r>
        <w:t xml:space="preserve"> ESFAS; </w:t>
      </w:r>
      <w:r>
        <w:rPr>
          <w:b/>
        </w:rPr>
        <w:t>L4</w:t>
      </w:r>
      <w:r>
        <w:t xml:space="preserve"> Distributed Control</w:t>
      </w:r>
    </w:p>
    <w:p>
      <w:r>
        <w:t xml:space="preserve">System (non-safety); </w:t>
      </w:r>
      <w:r>
        <w:rPr>
          <w:b/>
        </w:rPr>
        <w:t>L5</w:t>
      </w:r>
      <w:r>
        <w:t xml:space="preserve"> digital twin (advisory, read-only). Signals flow </w:t>
      </w:r>
      <w:r>
        <w:rPr>
          <w:b/>
        </w:rPr>
        <w:t>upward only</w:t>
      </w:r>
      <w:r>
        <w:t>:</w:t>
      </w:r>
    </w:p>
    <w:p>
      <w:r>
        <w:t>protection layers receive sensor signals directly from L1; **no software path exists from non-safety</w:t>
      </w:r>
    </w:p>
    <w:p>
      <w:r>
        <w:t>into Class 1E** (the DCS taps sensor circuits through qualified one-way isolation; the digital twin is</w:t>
      </w:r>
    </w:p>
    <w:p>
      <w:r>
        <w:t>fed through a unidirectional data diode). ‹FIGURE 8.7-1 — I&amp;C architecture block diagram (</w:t>
      </w:r>
      <w:r>
        <w:rPr>
          <w:rFonts w:ascii="Consolas" w:hAnsi="Consolas"/>
          <w:sz w:val="18"/>
        </w:rPr>
        <w:t>ic_block</w:t>
      </w:r>
      <w:r>
        <w:t>),</w:t>
      </w:r>
    </w:p>
    <w:p>
      <w:r>
        <w:t>which also serves as the §8.6 schematic-diagram requirement for protective-action derivation.›</w:t>
      </w:r>
    </w:p>
    <w:p>
      <w:pPr>
        <w:pStyle w:val="Heading2"/>
      </w:pPr>
      <w:r>
        <w:t>8.7.2 Reactor Protection System</w:t>
      </w:r>
    </w:p>
    <w:p>
      <w:r>
        <w:t xml:space="preserve">Four independent divisions (A–D) with </w:t>
      </w:r>
      <w:r>
        <w:rPr>
          <w:b/>
        </w:rPr>
        <w:t>2-of-4 coincidence voting</w:t>
      </w:r>
      <w:r>
        <w:t xml:space="preserve"> satisfy the single-failure</w:t>
      </w:r>
    </w:p>
    <w:p>
      <w:r>
        <w:t>criterion in both trip and trip-prevention directions, including one channel out for maintenance.</w:t>
      </w:r>
    </w:p>
    <w:p>
      <w:r>
        <w:rPr>
          <w:b/>
        </w:rPr>
        <w:t>De-energise-to-trip</w:t>
      </w:r>
      <w:r>
        <w:t>: breakers normally energised; any loss of power/air/signal scrams; rods</w:t>
      </w:r>
    </w:p>
    <w:p>
      <w:r>
        <w:t>insert by gravity. Platform: safety-qualified FPGA/PLC, IEC 60880 Category A software (no dynamic</w:t>
      </w:r>
    </w:p>
    <w:p>
      <w:r>
        <w:t>memory, no recursion; independent V&amp;V). Timing: division scan+vote ≤ 100 ms;</w:t>
      </w:r>
    </w:p>
    <w:p>
      <w:r>
        <w:t>sensor-threshold-to-breaker ≤ 500 ms (the bound assumed in §8.6). [TBD — per-channel</w:t>
      </w:r>
    </w:p>
    <w:p>
      <w:r>
        <w:t>response-time/accuracy table; total channel uncertainty per ISA-67.04 / RG 1.105, O12.]</w:t>
      </w:r>
    </w:p>
    <w:p>
      <w:r>
        <w:rPr>
          <w:b/>
        </w:rPr>
        <w:t>Principal trip derivations</w:t>
      </w:r>
      <w:r>
        <w:t xml:space="preserve"> (how monitored variables become protective actions — the §8.6/§8.7</w:t>
      </w:r>
    </w:p>
    <w:p>
      <w:r>
        <w:t xml:space="preserve">schematic requirement; full logic </w:t>
      </w:r>
      <w:r>
        <w:rPr>
          <w:rFonts w:ascii="Consolas" w:hAnsi="Consolas"/>
          <w:sz w:val="18"/>
        </w:rPr>
        <w:t>trip_signals.md</w:t>
      </w:r>
      <w:r>
        <w:t>): high flux &gt; 118 %; flux rate &gt; 5 %/s; OTΔT and</w:t>
      </w:r>
    </w:p>
    <w:p>
      <w:r>
        <w:t>OPΔT composites from T_hot/T_cold/flux/pressure; low flow &lt; 90 %; pressuriser pressure</w:t>
      </w:r>
    </w:p>
    <w:p>
      <w:pPr>
        <w:ind w:left="360"/>
      </w:pPr>
      <w:r>
        <w:rPr>
          <w:i/>
        </w:rPr>
        <w:t>16.5 / &lt; 12.5 MPa; SG level &lt; 15 % NR; containment pressure &gt; 0.17 MPa; containment radiation</w:t>
      </w:r>
    </w:p>
    <w:p>
      <w:pPr>
        <w:ind w:left="360"/>
      </w:pPr>
      <w:r>
        <w:rPr>
          <w:i/>
        </w:rPr>
        <w:t>100× background.</w:t>
      </w:r>
    </w:p>
    <w:p>
      <w:pPr>
        <w:pStyle w:val="Heading2"/>
      </w:pPr>
      <w:r>
        <w:t>8.7.3 ESFAS</w:t>
      </w:r>
    </w:p>
    <w:p>
      <w:r>
        <w:t xml:space="preserve">Same 4-division / 2-of-4 structure; actuations </w:t>
      </w:r>
      <w:r>
        <w:rPr>
          <w:b/>
        </w:rPr>
        <w:t>latching</w:t>
      </w:r>
      <w:r>
        <w:t xml:space="preserve"> (deliberate operator reset). Functions:</w:t>
      </w:r>
    </w:p>
    <w:p>
      <w:r>
        <w:t>passive safety injection (low pzr P + level), containment isolation (high containment P or radiation),</w:t>
      </w:r>
    </w:p>
    <w:p>
      <w:r>
        <w:t>EFW (low SG level / loss of normal FW), PRHR/PCC alignment, main-steam isolation (high MSL radiation</w:t>
      </w:r>
    </w:p>
    <w:p>
      <w:r>
        <w:t xml:space="preserve">or containment P), and </w:t>
      </w:r>
      <w:r>
        <w:rPr>
          <w:b/>
        </w:rPr>
        <w:t>cogeneration-interface isolation</w:t>
      </w:r>
      <w:r>
        <w:t xml:space="preserve"> (fail-closed on high intermediate-loop /</w:t>
      </w:r>
    </w:p>
    <w:p>
      <w:r>
        <w:t>product activity or SGTR — §8.8.9, Req. 35). All actuated devices move to safe state on loss of</w:t>
      </w:r>
    </w:p>
    <w:p>
      <w:r>
        <w:t>motive power.</w:t>
      </w:r>
    </w:p>
    <w:p>
      <w:pPr>
        <w:pStyle w:val="Heading2"/>
      </w:pPr>
      <w:r>
        <w:t>8.7.4 Diverse Actuation System</w:t>
      </w:r>
    </w:p>
    <w:p>
      <w:r>
        <w:t xml:space="preserve">Class 1E but </w:t>
      </w:r>
      <w:r>
        <w:rPr>
          <w:b/>
        </w:rPr>
        <w:t>platform-diverse</w:t>
      </w:r>
      <w:r>
        <w:t xml:space="preserve"> (different technology and team from the RPS) covering postulated CCF</w:t>
      </w:r>
    </w:p>
    <w:p>
      <w:r>
        <w:t>of all four RPS divisions. Monitors power-range flux and pressuriser pressure through fixed</w:t>
      </w:r>
    </w:p>
    <w:p>
      <w:r>
        <w:t>hardware-biased logic (setpoints staggered beyond the RPS envelope); diverse paths to the trip</w:t>
      </w:r>
    </w:p>
    <w:p>
      <w:r>
        <w:t xml:space="preserve">breakers, SI/PRHR, and </w:t>
      </w:r>
      <w:r>
        <w:rPr>
          <w:b/>
        </w:rPr>
        <w:t>EBIS (§8.6.2a)</w:t>
      </w:r>
      <w:r>
        <w:t xml:space="preserve"> on an ATWS signature. The DAS is the **sole actuation path</w:t>
      </w:r>
    </w:p>
    <w:p>
      <w:r>
        <w:t>for EBIS**, which carries the ATWS burden in this boron-free core.</w:t>
      </w:r>
    </w:p>
    <w:p>
      <w:pPr>
        <w:pStyle w:val="Heading2"/>
      </w:pPr>
      <w:r>
        <w:t>8.7.5 Control room, control philosophy and human factors</w:t>
      </w:r>
    </w:p>
    <w:p>
      <w:r>
        <w:t>Two-operator MCR per NUREG-0700 (reactor-operator + BOP consoles, STA station, 4×80″ overview wall</w:t>
      </w:r>
    </w:p>
    <w:p>
      <w:r>
        <w:t>with plant mimic / SPDS / critical safety functions); alarm management per ISA 18.2 (≤ 10 alarms /</w:t>
      </w:r>
    </w:p>
    <w:p>
      <w:r>
        <w:t>10-min window under DBA); computer-based procedures with paper backup; **hardwired,</w:t>
      </w:r>
    </w:p>
    <w:p>
      <w:r>
        <w:t>software-independent manual actions</w:t>
      </w:r>
      <w:r>
        <w:rPr>
          <w:b/>
        </w:rPr>
        <w:t xml:space="preserve"> (trip, SI, CI, EFW, MSIV) per IEEE 603 §5.8. A </w:t>
      </w:r>
      <w:r>
        <w:t>Remote</w:t>
      </w:r>
    </w:p>
    <w:p>
      <w:r>
        <w:t>Shutdown Station** (separate fire area, independent 1E division) provides post-accident monitoring +</w:t>
      </w:r>
    </w:p>
    <w:p>
      <w:r>
        <w:t>diverse manual trip/ESF (incl. EBIS) if the MCR is uninhabitable; its scope is minimal because the</w:t>
      </w:r>
    </w:p>
    <w:p>
      <w:r>
        <w:t xml:space="preserve">plant is passively safe for ≥ 72 h. </w:t>
      </w:r>
      <w:r>
        <w:rPr>
          <w:b/>
        </w:rPr>
        <w:t>The main control room is designed ergonomically</w:t>
      </w:r>
      <w:r>
        <w:t xml:space="preserve"> to NUREG-0700</w:t>
      </w:r>
    </w:p>
    <w:p>
      <w:r>
        <w:t>(panel layout, sightlines to the overview wall, alarm prioritisation, anthropometric console design).</w:t>
      </w:r>
    </w:p>
    <w:p>
      <w:r>
        <w:rPr>
          <w:b/>
        </w:rPr>
        <w:t>Load-following control philosophy (originality).</w:t>
      </w:r>
      <w:r>
        <w:t xml:space="preserve"> Load-following is achieved primarily through the</w:t>
      </w:r>
    </w:p>
    <w:p>
      <w:r>
        <w:rPr>
          <w:b/>
        </w:rPr>
        <w:t>TCES buffer</w:t>
      </w:r>
      <w:r>
        <w:t xml:space="preserve"> (§8.9), not deep reactor power manoeuvring: the reactor is held near baseload while</w:t>
      </w:r>
    </w:p>
    <w:p>
      <w:r>
        <w:t>the thermochemical store absorbs the dispatch swing. This keeps the reactor where its negative</w:t>
      </w:r>
    </w:p>
    <w:p>
      <w:r>
        <w:t>feedbacks and power distribution are best characterised and **does not aggravate the</w:t>
      </w:r>
    </w:p>
    <w:p>
      <w:r>
        <w:t>peaking/xenon/MTC challenges** — a control-side safety benefit.</w:t>
      </w:r>
    </w:p>
    <w:p>
      <w:pPr>
        <w:pStyle w:val="Heading2"/>
      </w:pPr>
      <w:r>
        <w:t>8.7.6 Digital twin (advisory) — originality feature</w:t>
      </w:r>
    </w:p>
    <w:p>
      <w:r>
        <w:t>A non-safety digital twin mirrors all L1 signals through the data diode and provides soft sensors</w:t>
      </w:r>
    </w:p>
    <w:p>
      <w:r>
        <w:t>(MDNBR, fuel-centreline estimates), anomaly detection and predictive maintenance. Category C software;</w:t>
      </w:r>
    </w:p>
    <w:p>
      <w:r>
        <w:rPr>
          <w:b/>
        </w:rPr>
        <w:t>cannot actuate any device</w:t>
      </w:r>
      <w:r>
        <w:t>; presents alongside (never in place of) qualified indications. Enables</w:t>
      </w:r>
    </w:p>
    <w:p>
      <w:r>
        <w:t>condition-based maintenance and reduced-staffing operation without touching the L1–L3 safety</w:t>
      </w:r>
    </w:p>
    <w:p>
      <w:r>
        <w:t>qualification (cf. NuScale's ISV-validated reduced-staffing precedent).</w:t>
      </w:r>
    </w:p>
    <w:p>
      <w:pPr>
        <w:pStyle w:val="Heading2"/>
      </w:pPr>
      <w:r>
        <w:t>8.7.7 Qualification</w:t>
      </w:r>
    </w:p>
    <w:p>
      <w:r>
        <w:t>Class 1E environmental qualification per IEEE 323 (150 °C, 0.5 MPa, 100 % steam, lifetime dose; envelope</w:t>
      </w:r>
    </w:p>
    <w:p>
      <w:r>
        <w:t>to confirm against the containment P/T analysis); seismic per IEEE 344 at SSE 0.3 g; cybersecurity per</w:t>
      </w:r>
    </w:p>
    <w:p>
      <w:r>
        <w:t>10 CFR 73.54 / RG 5.71 (Purdue-model segmentation, no wireless in safety areas, no remote access to</w:t>
      </w:r>
    </w:p>
    <w:p>
      <w:r>
        <w:t>Class 1E, signed firmware, write-once audit logs).</w:t>
      </w:r>
    </w:p>
    <w:p>
      <w:pPr>
        <w:pStyle w:val="Heading1"/>
      </w:pPr>
      <w:r>
        <w:t>8.8 Auxiliary Systems Design</w:t>
      </w:r>
    </w:p>
    <w:p>
      <w:r>
        <w:t>Nine auxiliary systems, each carrying the six FER-required fields (purpose · operating principle ·</w:t>
      </w:r>
    </w:p>
    <w:p>
      <w:r>
        <w:t xml:space="preserve">layout · safety function · performance · maintenance); full six-field tables in </w:t>
      </w:r>
      <w:r>
        <w:rPr>
          <w:rFonts w:ascii="Consolas" w:hAnsi="Consolas"/>
          <w:sz w:val="18"/>
        </w:rPr>
        <w:t>layout/aux_systems.md</w:t>
      </w:r>
      <w:r>
        <w:t>.</w:t>
      </w:r>
    </w:p>
    <w:p>
      <w:r>
        <w:t>Per-system P&amp;IDs (A4) and the single-line (A5) are in the drawing pass.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Safety function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Building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Key point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HVAC / Ventilation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Yes (ESF)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RXB/AB/CB/SFB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Negative-pressure cascade clean→contaminated→HEPA+charcoal→stack; MCR habitability is an ESF actuation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Fire Protection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Yes (DiD)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site-wide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 h barriers between RPS/ESFAS divisions A–D; clean-agent in I&amp;C/MCR; protects the 2/4 separation basis (NFPA)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Radiation Protection + Monitoring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site-wide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layers (area/process/personnel/post-accident high-range RG 1.97); effluent monitors gate all releases incl. the seawater discharge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Emergency Power (Class 1E)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Yes (1E)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DGB/CB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2× EDG + 1E batteries; supports monitoring + active backup (core cooling is passive); battery duty to the 72 h grace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Normal Electrical Distribution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EHB/CB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 MWe → ~50 MVA main transformer → 33 kV; dual offsite/onsite feed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Fuel Handling + Storage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RXB/SFB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Flooded transfer; </w:t>
            </w:r>
            <w:r>
              <w:rPr>
                <w:b/>
                <w:sz w:val="18"/>
              </w:rPr>
              <w:t>unborated SFP</w:t>
            </w:r>
            <w:r>
              <w:rPr>
                <w:sz w:val="18"/>
              </w:rPr>
              <w:t>, subcriticality by fixed-absorber rack geometry + burnup credit, k(95/95) ≤ 0.95 (consistent with the boron-free core, §8.11)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Fission-Product Release Control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Yes (top-tier)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RXB/WMB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Three-barrier chain; containment isolation; gaseous/liquid radwaste before monitored discharge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 Systems (instrument air · demin · SFP cooling)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AB/SFB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Instrument air fail-safe; SFP cooling rejects to once-through seawater (normal sink); large pool inertia gives long grace; safety UHS stays passive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Cogeneration Interface Isolation (SSR-2/1 Req. 35)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TB/EUB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§8.8.9</w:t>
            </w:r>
          </w:p>
        </w:tc>
      </w:tr>
    </w:tbl>
    <w:p/>
    <w:p>
      <w:pPr>
        <w:pStyle w:val="Heading2"/>
      </w:pPr>
      <w:r>
        <w:t>8.8.9 Cogeneration interface isolation (Req. 35)</w:t>
      </w:r>
    </w:p>
    <w:p>
      <w:r>
        <w:t xml:space="preserve">Aegis-40 exports heat to a </w:t>
      </w:r>
      <w:r>
        <w:rPr>
          <w:b/>
        </w:rPr>
        <w:t>TCES district-heating</w:t>
      </w:r>
      <w:r>
        <w:t xml:space="preserve"> network and steam to a hydrogen plant. SSR-2/1</w:t>
      </w:r>
    </w:p>
    <w:p>
      <w:r>
        <w:rPr>
          <w:b/>
        </w:rPr>
        <w:t>Req. 35</w:t>
      </w:r>
      <w:r>
        <w:t xml:space="preserve"> requires that no process transport radionuclides to the heat/H₂ user in operational </w:t>
      </w:r>
      <w:r>
        <w:rPr>
          <w:b/>
        </w:rPr>
        <w:t>or</w:t>
      </w:r>
    </w:p>
    <w:p>
      <w:r>
        <w:t xml:space="preserve">accident states. Provision: a </w:t>
      </w:r>
      <w:r>
        <w:rPr>
          <w:b/>
        </w:rPr>
        <w:t>non-radioactive intermediate loop</w:t>
      </w:r>
      <w:r>
        <w:t xml:space="preserve"> between the reactor secondary</w:t>
      </w:r>
    </w:p>
    <w:p>
      <w:r>
        <w:t>steam and both customer circuits (reactor steam never contacts district-heat water or electrolyser</w:t>
      </w:r>
    </w:p>
    <w:p>
      <w:r>
        <w:t xml:space="preserve">feed), held at </w:t>
      </w:r>
      <w:r>
        <w:rPr>
          <w:b/>
        </w:rPr>
        <w:t>higher pressure</w:t>
      </w:r>
      <w:r>
        <w:t xml:space="preserve"> than the reactor-side stream at each interface heat exchanger so</w:t>
      </w:r>
    </w:p>
    <w:p>
      <w:r>
        <w:t xml:space="preserve">any leak flows </w:t>
      </w:r>
      <w:r>
        <w:rPr>
          <w:b/>
        </w:rPr>
        <w:t>inward</w:t>
      </w:r>
      <w:r>
        <w:t xml:space="preserve"> (clean→reactor). Result: </w:t>
      </w:r>
      <w:r>
        <w:rPr>
          <w:b/>
        </w:rPr>
        <w:t>≥ 3 independent barriers</w:t>
      </w:r>
      <w:r>
        <w:t xml:space="preserve"> — (1) SG tube wall,</w:t>
      </w:r>
    </w:p>
    <w:p>
      <w:r>
        <w:t>(2) intermediate-loop boundary, (3) customer-side HX wall. Accident-condition isolation: fail-closed</w:t>
      </w:r>
    </w:p>
    <w:p>
      <w:r>
        <w:t>ESFAS valves on high intermediate-loop / product activity, SGTR signal, or containment isolation</w:t>
      </w:r>
    </w:p>
    <w:p>
      <w:r>
        <w:t xml:space="preserve">(§8.7.3). </w:t>
      </w:r>
      <w:r>
        <w:rPr>
          <w:b/>
        </w:rPr>
        <w:t>Tritium</w:t>
      </w:r>
      <w:r>
        <w:t xml:space="preserve"> is the governing nuclide at the high-temperature electrolyser interface →</w:t>
      </w:r>
    </w:p>
    <w:p>
      <w:r>
        <w:t>permeation-barrier coatings + product tritium monitor + intermediate-loop getter [ANALYSIS-PENDING —</w:t>
      </w:r>
    </w:p>
    <w:p>
      <w:r>
        <w:t>tritium permeation/carryover budget, O7].</w:t>
      </w:r>
    </w:p>
    <w:p>
      <w:pPr>
        <w:pStyle w:val="Heading2"/>
      </w:pPr>
      <w:r>
        <w:t>8.8.10 Electrical-supply summary</w:t>
      </w:r>
    </w:p>
    <w:p>
      <w:r>
        <w:t>Defence-in-depth power chain: **grid (33 kV) → onsite generator → 2× EDG → 1E batteries → passive (no</w:t>
      </w:r>
    </w:p>
    <w:p>
      <w:r>
        <w:t>power needed)**. The passive core-cooling decision lets the chain end in "no power needed" within the</w:t>
      </w:r>
    </w:p>
    <w:p>
      <w:r>
        <w:t xml:space="preserve">72 h grace. Single-line drawing in </w:t>
      </w:r>
      <w:r>
        <w:rPr>
          <w:rFonts w:ascii="Consolas" w:hAnsi="Consolas"/>
          <w:sz w:val="18"/>
        </w:rPr>
        <w:t>aux_systems.md §10</w:t>
      </w:r>
      <w:r>
        <w:t>.</w:t>
      </w:r>
    </w:p>
    <w:p>
      <w:pPr>
        <w:pStyle w:val="Heading1"/>
      </w:pPr>
      <w:r>
        <w:t>8.9 Energy Conversion and Integrated Systems</w:t>
      </w:r>
    </w:p>
    <w:p>
      <w:pPr>
        <w:ind w:left="360"/>
      </w:pPr>
      <w:r>
        <w:rPr>
          <w:b/>
          <w:i/>
        </w:rPr>
        <w:t>Code:</w:t>
      </w:r>
      <w:r>
        <w:rPr>
          <w:i/>
        </w:rPr>
        <w:t xml:space="preserve"> regenerative-Rankine + exergy model, IAPWS-IF97 (</w:t>
      </w:r>
      <w:r>
        <w:rPr>
          <w:rFonts w:ascii="Consolas" w:hAnsi="Consolas"/>
          <w:i/>
          <w:sz w:val="18"/>
        </w:rPr>
        <w:t>scripts/thermo_cycle.py</w:t>
      </w:r>
      <w:r>
        <w:rPr>
          <w:i/>
        </w:rPr>
        <w:t>,</w:t>
      </w:r>
    </w:p>
    <w:p>
      <w:pPr>
        <w:ind w:left="360"/>
      </w:pPr>
      <w:r>
        <w:rPr>
          <w:rFonts w:ascii="Consolas" w:hAnsi="Consolas"/>
          <w:i/>
          <w:sz w:val="18"/>
        </w:rPr>
        <w:t>thermo_exergy.py</w:t>
      </w:r>
      <w:r>
        <w:rPr>
          <w:i/>
        </w:rPr>
        <w:t xml:space="preserve">, </w:t>
      </w:r>
      <w:r>
        <w:rPr>
          <w:rFonts w:ascii="Consolas" w:hAnsi="Consolas"/>
          <w:i/>
          <w:sz w:val="18"/>
        </w:rPr>
        <w:t>thermo_cycle_recouple.py</w:t>
      </w:r>
      <w:r>
        <w:rPr>
          <w:i/>
        </w:rPr>
        <w:t>).</w:t>
      </w:r>
    </w:p>
    <w:p>
      <w:pPr>
        <w:pStyle w:val="Heading2"/>
      </w:pPr>
      <w:r>
        <w:t>8.9.1 Energy-conversion architecture</w:t>
      </w:r>
    </w:p>
    <w:p>
      <w:r>
        <w:t xml:space="preserve">Aegis-40 converts </w:t>
      </w:r>
      <w:r>
        <w:rPr>
          <w:b/>
        </w:rPr>
        <w:t>125 MWth → 40 MWe (net)</w:t>
      </w:r>
      <w:r>
        <w:t xml:space="preserve"> through a </w:t>
      </w:r>
      <w:r>
        <w:rPr>
          <w:b/>
        </w:rPr>
        <w:t>regenerative superheated Rankine cycle</w:t>
      </w:r>
      <w:r>
        <w:t xml:space="preserve"> on</w:t>
      </w:r>
    </w:p>
    <w:p>
      <w:r>
        <w:t>the secondary side of the integral OTSG. The primary loop is natural-circulation, so the only rotating</w:t>
      </w:r>
    </w:p>
    <w:p>
      <w:r>
        <w:t>primary machinery is eliminated and the entire NSSS is inside the RPV. Heat crosses the pressure</w:t>
      </w:r>
    </w:p>
    <w:p>
      <w:r>
        <w:t>boundary once, in the OTSG. Secondary flow path:</w:t>
      </w:r>
    </w:p>
    <w:p>
      <w:pPr>
        <w:ind w:left="360"/>
      </w:pPr>
      <w:r>
        <w:rPr>
          <w:i/>
        </w:rPr>
        <w:t xml:space="preserve">OTSG (superheated steam) → </w:t>
      </w:r>
      <w:r>
        <w:rPr>
          <w:b/>
          <w:i/>
        </w:rPr>
        <w:t>HP turbine</w:t>
      </w:r>
      <w:r>
        <w:rPr>
          <w:i/>
        </w:rPr>
        <w:t xml:space="preserve"> → </w:t>
      </w:r>
      <w:r>
        <w:rPr>
          <w:b/>
          <w:i/>
        </w:rPr>
        <w:t>moisture separator</w:t>
      </w:r>
      <w:r>
        <w:rPr>
          <w:i/>
        </w:rPr>
        <w:t xml:space="preserve"> → </w:t>
      </w:r>
      <w:r>
        <w:rPr>
          <w:b/>
          <w:i/>
        </w:rPr>
        <w:t>LP turbine</w:t>
      </w:r>
      <w:r>
        <w:rPr>
          <w:i/>
        </w:rPr>
        <w:t xml:space="preserve"> → </w:t>
      </w:r>
      <w:r>
        <w:rPr>
          <w:b/>
          <w:i/>
        </w:rPr>
        <w:t>condenser</w:t>
      </w:r>
    </w:p>
    <w:p>
      <w:pPr>
        <w:ind w:left="360"/>
      </w:pPr>
      <w:r>
        <w:rPr>
          <w:i/>
        </w:rPr>
        <w:t xml:space="preserve">→ condensate pump → </w:t>
      </w:r>
      <w:r>
        <w:rPr>
          <w:b/>
          <w:i/>
        </w:rPr>
        <w:t>deaerator (open FWH-2)</w:t>
      </w:r>
      <w:r>
        <w:rPr>
          <w:i/>
        </w:rPr>
        <w:t xml:space="preserve"> → booster pump → </w:t>
      </w:r>
      <w:r>
        <w:rPr>
          <w:b/>
          <w:i/>
        </w:rPr>
        <w:t>HP FWH-1</w:t>
      </w:r>
      <w:r>
        <w:rPr>
          <w:i/>
        </w:rPr>
        <w:t xml:space="preserve"> → main feed pump →</w:t>
      </w:r>
    </w:p>
    <w:p>
      <w:pPr>
        <w:ind w:left="360"/>
      </w:pPr>
      <w:r>
        <w:rPr>
          <w:i/>
        </w:rPr>
        <w:t>OTSG.</w:t>
      </w:r>
    </w:p>
    <w:p>
      <w:r>
        <w:rPr>
          <w:b/>
        </w:rPr>
        <w:t>A single turbine-generator.</w:t>
      </w:r>
      <w:r>
        <w:t xml:space="preserve"> The HP/LP stages and crossover moisture separator are on **one shaft</w:t>
      </w:r>
    </w:p>
    <w:p>
      <w:r>
        <w:t>driving one generator** (tandem-compound T-1) — the conventional, lowest-cost arrangement at 40 MWe.</w:t>
      </w:r>
    </w:p>
    <w:p>
      <w:r>
        <w:t xml:space="preserve">The district-heat and H₂ off-takes add </w:t>
      </w:r>
      <w:r>
        <w:rPr>
          <w:b/>
        </w:rPr>
        <w:t>no</w:t>
      </w:r>
      <w:r>
        <w:t xml:space="preserve"> further turbine (the store is charged from a steam</w:t>
      </w:r>
    </w:p>
    <w:p>
      <w:r>
        <w:t>*extraction*, not a back-pressure pass-out machine). ‹FIGURE 8.9-1 — integrated plant PFD,</w:t>
      </w:r>
    </w:p>
    <w:p>
      <w:r>
        <w:rPr>
          <w:rFonts w:ascii="Consolas" w:hAnsi="Consolas"/>
          <w:sz w:val="18"/>
        </w:rPr>
        <w:t>cycle/plant_pfd_seawater_h2.png</w:t>
      </w:r>
      <w:r>
        <w:t xml:space="preserve"> (and labelled-state PFD </w:t>
      </w:r>
      <w:r>
        <w:rPr>
          <w:rFonts w:ascii="Consolas" w:hAnsi="Consolas"/>
          <w:sz w:val="18"/>
        </w:rPr>
        <w:t>cycle/cycle_pfd_labeled.png</w:t>
      </w:r>
      <w:r>
        <w:t>).›</w:t>
      </w:r>
    </w:p>
    <w:p>
      <w:pPr>
        <w:pStyle w:val="Heading2"/>
      </w:pPr>
      <w:r>
        <w:t>8.9.2 Cycle configuration — Table 8.9-1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electric output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40.0 MWe (nameplate); 39.7 MWe (computed)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Core thermal power (= secondary heat in)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125 MWth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Turbine-inlet (OTSG) steam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4.5 MPa / 296 °C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Steam mass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57.8 kg/s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Condenser pressure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 kPa (Tsat 39 °C)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HP extraction → FWH-1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 MPa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Crossover / MS + deaerator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0.15 MPa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Turbine / pump isentropic efficiency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0.85 / 0.82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Generator × mechanical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0.985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BOP house load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5.0 % of gross</w:t>
            </w:r>
          </w:p>
        </w:tc>
      </w:tr>
    </w:tbl>
    <w:p/>
    <w:p>
      <w:r>
        <w:rPr>
          <w:b/>
        </w:rPr>
        <w:t>Why a moisture separator:</w:t>
      </w:r>
      <w:r>
        <w:t xml:space="preserve"> expanding 4.5 MPa steam straight to 7 kPa would leave ~22 % last-stage</w:t>
      </w:r>
    </w:p>
    <w:p>
      <w:r>
        <w:t xml:space="preserve">moisture (past the ~12 % erosion limit); the MS at 0.15 MPa holds last-stage moisture to </w:t>
      </w:r>
      <w:r>
        <w:rPr>
          <w:b/>
        </w:rPr>
        <w:t>10.8 %</w:t>
      </w:r>
      <w:r>
        <w:t>.</w:t>
      </w:r>
    </w:p>
    <w:p>
      <w:r>
        <w:rPr>
          <w:b/>
        </w:rPr>
        <w:t>Why regeneration:</w:t>
      </w:r>
      <w:r>
        <w:t xml:space="preserve"> two open FWHs raise feedwater from 39 → 180 °C, lifting cycle efficiency from</w:t>
      </w:r>
    </w:p>
    <w:p>
      <w:r>
        <w:t xml:space="preserve">~29 % (simple) to </w:t>
      </w:r>
      <w:r>
        <w:rPr>
          <w:b/>
        </w:rPr>
        <w:t>33.7 % gross</w:t>
      </w:r>
      <w:r>
        <w:t xml:space="preserve"> — the difference between missing and meeting 40 MWe — and</w:t>
      </w:r>
    </w:p>
    <w:p>
      <w:r>
        <w:t>deaerating the feedwater.</w:t>
      </w:r>
    </w:p>
    <w:p>
      <w:pPr>
        <w:pStyle w:val="Heading2"/>
      </w:pPr>
      <w:r>
        <w:t>8.9.3 State points and heat balance</w:t>
      </w:r>
    </w:p>
    <w:p>
      <w:r>
        <w:rPr>
          <w:b/>
        </w:rPr>
        <w:t>Table 8.9-2 — cycle state points</w:t>
      </w:r>
      <w:r>
        <w:t xml:space="preserve"> (IAPWS-IF97; full data </w:t>
      </w:r>
      <w:r>
        <w:rPr>
          <w:rFonts w:ascii="Consolas" w:hAnsi="Consolas"/>
          <w:sz w:val="18"/>
        </w:rPr>
        <w:t>cycle/cycle_state_points.csv</w:t>
      </w:r>
      <w: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 (MPa)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 (°C)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h (kJ/kg)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Turbine inlet (OTSG steam)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296.0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2932.1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HP extraction → FWH-1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179.9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2676.8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Crossover / MS inlet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2409.8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0.873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MS vapour outlet (dried)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2693.1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LP turbine exhaust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2310.9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0.892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Condenser outlet (sat. liq.)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163.4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Condensate-pump outlet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163.5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Deaerator (FWH-2) outlet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467.1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Booster-pump outlet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468.2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FWH-1 outlet (sat. liq.)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179.9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762.7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Feed-pump outlet → OTSG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180.6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767.5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0.000</w:t>
            </w:r>
          </w:p>
        </w:tc>
      </w:tr>
    </w:tbl>
    <w:p/>
    <w:p>
      <w:r>
        <w:t>‹FIGURE 8.9-2 — T–s diagram (</w:t>
      </w:r>
      <w:r>
        <w:rPr>
          <w:rFonts w:ascii="Consolas" w:hAnsi="Consolas"/>
          <w:sz w:val="18"/>
        </w:rPr>
        <w:t>cycle/cycle_Ts_diagram.png</w:t>
      </w:r>
      <w:r>
        <w:t>).›</w:t>
      </w:r>
    </w:p>
    <w:p>
      <w:r>
        <w:rPr>
          <w:b/>
        </w:rPr>
        <w:t>Table 8.9-3 — performance and heat balance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 thermal efficiency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34.0 %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Steam mass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57.8 kg/s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Gross shaft / electric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42.8 MW / 42.2 MWe (33.7 %)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− feed/condensate pumps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0.36 MWe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− BOP house load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2.11 MWe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Net electric (sent-out)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39.7 MWe</w:t>
            </w:r>
            <w:r>
              <w:rPr>
                <w:sz w:val="18"/>
              </w:rPr>
              <w:t xml:space="preserve"> (nameplate 40)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Net plant efficiency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31.8 %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Heat rejected at condenser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82.6 MWth</w:t>
            </w:r>
          </w:p>
        </w:tc>
      </w:tr>
    </w:tbl>
    <w:p/>
    <w:p>
      <w:r>
        <w:t>Closure: 125 MWth in = 39.7 MWe + 82.6 MWth + ~2.5 MWe auxiliaries (&lt; 1 %). 31.8 % is in line with</w:t>
      </w:r>
    </w:p>
    <w:p>
      <w:r>
        <w:t>operating iPWRs (NuScale ~30 %, mPower ~31 %), the slight edge from superheated OTSG steam +</w:t>
      </w:r>
    </w:p>
    <w:p>
      <w:r>
        <w:t>regeneration.</w:t>
      </w:r>
    </w:p>
    <w:p>
      <w:r>
        <w:rPr>
          <w:b/>
        </w:rPr>
        <w:t>Second-law (exergy) analysis.</w:t>
      </w:r>
      <w:r>
        <w:t xml:space="preserve"> Referenced to a dead state of 25 °C / 0.101 MPa with the heat source</w:t>
      </w:r>
    </w:p>
    <w:p>
      <w:r>
        <w:t xml:space="preserve">valued at the primary log-mean temperature (282.6 °C), of the </w:t>
      </w:r>
      <w:r>
        <w:rPr>
          <w:b/>
        </w:rPr>
        <w:t>57.9 MW</w:t>
      </w:r>
      <w:r>
        <w:t xml:space="preserve"> of exergy delivered by the</w:t>
      </w:r>
    </w:p>
    <w:p>
      <w:r>
        <w:t xml:space="preserve">primary coolant, </w:t>
      </w:r>
      <w:r>
        <w:rPr>
          <w:b/>
        </w:rPr>
        <w:t>39.7 MW</w:t>
      </w:r>
      <w:r>
        <w:t xml:space="preserve"> leaves as electricity → </w:t>
      </w:r>
      <w:r>
        <w:rPr>
          <w:b/>
        </w:rPr>
        <w:t>exergetic efficiency 68.5 %</w:t>
      </w:r>
      <w:r>
        <w:t>. The largest</w:t>
      </w:r>
    </w:p>
    <w:p>
      <w:r>
        <w:t>*internal* irreversibility is the turbine (10.4 %), then the OTSG finite-ΔT (6.8 %); condenser (6.4 %)</w:t>
      </w:r>
    </w:p>
    <w:p>
      <w:r>
        <w:t>and generator/BOP (4.8 %) are *external* losses; the feedwater train destroys only ~3 %. This locates</w:t>
      </w:r>
    </w:p>
    <w:p>
      <w:r>
        <w:t>the turbine and OTSG approach temperatures as the only worthwhile efficiency levers.</w:t>
      </w:r>
    </w:p>
    <w:p>
      <w:r>
        <w:t>(</w:t>
      </w:r>
      <w:r>
        <w:rPr>
          <w:rFonts w:ascii="Consolas" w:hAnsi="Consolas"/>
          <w:sz w:val="18"/>
        </w:rPr>
        <w:t>cycle/cycle_exergy.csv</w:t>
      </w:r>
      <w:r>
        <w:t>.) ‹FIGURE 8.9-2b — labelled secondary-cycle PFD with per-node P/T/h/ṁ.›</w:t>
      </w:r>
    </w:p>
    <w:p>
      <w:pPr>
        <w:pStyle w:val="Heading2"/>
      </w:pPr>
      <w:r>
        <w:t>8.9.4 Primary–secondary coupling: OTSG feasibility — Table 8.9-4</w:t>
      </w:r>
    </w:p>
    <w:p>
      <w:r>
        <w:t>Because the OTSG transfers 125 MWth across a counterflow once-through surface, the secondary steam is</w:t>
      </w:r>
    </w:p>
    <w:p>
      <w:r>
        <w:t>bounded by the §8.4 legs (308 hot / 258 cold):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Criterion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Secondary saturation temperature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257.4 °C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economiser-limited (cold leg 258 °C)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Superheater hot-end approach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12.0 °C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Evaporator pinch ΔT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8.8 °C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≳ 8 °C (practical OTSG)</w:t>
            </w:r>
          </w:p>
        </w:tc>
      </w:tr>
    </w:tbl>
    <w:p/>
    <w:p>
      <w:r>
        <w:t>This is the binding constraint on steam pressure: pushing above 4.5 MPa drops the pinch below the ~8 °C</w:t>
      </w:r>
    </w:p>
    <w:p>
      <w:r>
        <w:t xml:space="preserve">floor. The selected </w:t>
      </w:r>
      <w:r>
        <w:rPr>
          <w:b/>
        </w:rPr>
        <w:t>4.5 MPa</w:t>
      </w:r>
      <w:r>
        <w:t xml:space="preserve"> keeps a healthy pinch while holding the 40 MWe-class output.</w:t>
      </w:r>
    </w:p>
    <w:p>
      <w:pPr>
        <w:pStyle w:val="Heading2"/>
      </w:pPr>
      <w:r>
        <w:t>8.9.5 Thermochemical energy storage (TCES) for district heating</w:t>
      </w:r>
    </w:p>
    <w:p>
      <w:r>
        <w:t xml:space="preserve">Aegis-40 is a </w:t>
      </w:r>
      <w:r>
        <w:rPr>
          <w:b/>
        </w:rPr>
        <w:t>polygeneration</w:t>
      </w:r>
      <w:r>
        <w:t xml:space="preserve"> plant: alongside 40 MWe it supplies </w:t>
      </w:r>
      <w:r>
        <w:rPr>
          <w:b/>
        </w:rPr>
        <w:t>district heating</w:t>
      </w:r>
      <w:r>
        <w:t xml:space="preserve"> through a</w:t>
      </w:r>
    </w:p>
    <w:p>
      <w:r>
        <w:rPr>
          <w:b/>
        </w:rPr>
        <w:t>thermochemical energy store</w:t>
      </w:r>
      <w:r>
        <w:t xml:space="preserve"> and </w:t>
      </w:r>
      <w:r>
        <w:rPr>
          <w:b/>
        </w:rPr>
        <w:t>hydrogen</w:t>
      </w:r>
      <w:r>
        <w:t xml:space="preserve"> through off-peak electrolysis (§8.9.6). The store</w:t>
      </w:r>
    </w:p>
    <w:p>
      <w:r>
        <w:t>decouples DH delivery from the near-constant ~100 % reactor power and — unlike a sensible-heat store —</w:t>
      </w:r>
    </w:p>
    <w:p>
      <w:r>
        <w:t xml:space="preserve">holds its charge </w:t>
      </w:r>
      <w:r>
        <w:rPr>
          <w:b/>
        </w:rPr>
        <w:t>loss-free</w:t>
      </w:r>
      <w:r>
        <w:t xml:space="preserve"> (energy in reversible chemical bonds), making multi-day and seasonal</w:t>
      </w:r>
    </w:p>
    <w:p>
      <w:r>
        <w:t>storage practical.</w:t>
      </w:r>
    </w:p>
    <w:p>
      <w:r>
        <w:rPr>
          <w:b/>
        </w:rPr>
        <w:t>Architecture — IHX-isolated, non-safety auxiliary.</w:t>
      </w:r>
      <w:r>
        <w:t xml:space="preserve"> The store sits </w:t>
      </w:r>
      <w:r>
        <w:rPr>
          <w:b/>
        </w:rPr>
        <w:t>outside the nuclear island</w:t>
      </w:r>
      <w:r>
        <w:t>,</w:t>
      </w:r>
    </w:p>
    <w:p>
      <w:r>
        <w:t xml:space="preserve">coupled to the steam cycle only through an </w:t>
      </w:r>
      <w:r>
        <w:rPr>
          <w:b/>
        </w:rPr>
        <w:t>intermediate heat exchanger (IHX)</w:t>
      </w:r>
      <w:r>
        <w:t>. On charge,</w:t>
      </w:r>
    </w:p>
    <w:p>
      <w:r>
        <w:t>HP-extraction steam gives heat across the IHX to a closed ~168 °C charge loop; on discharge, the</w:t>
      </w:r>
    </w:p>
    <w:p>
      <w:r>
        <w:t>store's reaction heat feeds a separate district-heat water loop (90 / 45 °C). The storage medium never</w:t>
      </w:r>
    </w:p>
    <w:p>
      <w:r>
        <w:t xml:space="preserve">shares a fluid path with reactor steam → </w:t>
      </w:r>
      <w:r>
        <w:rPr>
          <w:b/>
        </w:rPr>
        <w:t>no chemical/water-quality risk into the power cycle</w:t>
      </w:r>
      <w:r>
        <w:t>;</w:t>
      </w:r>
    </w:p>
    <w:p>
      <w:r>
        <w:t xml:space="preserve">classified non-safety. ‹FIGURE 8.9-3 — </w:t>
      </w:r>
      <w:r>
        <w:rPr>
          <w:rFonts w:ascii="Consolas" w:hAnsi="Consolas"/>
          <w:sz w:val="18"/>
        </w:rPr>
        <w:t>cycle/pfd_cogeneration_tces.png</w:t>
      </w:r>
      <w:r>
        <w:t>.›</w:t>
      </w:r>
    </w:p>
    <w:p>
      <w:r>
        <w:rPr>
          <w:b/>
        </w:rPr>
        <w:t>Two candidate media — Table 8.9-5</w:t>
      </w:r>
      <w:r>
        <w:t xml:space="preserve"> (Tier-B [CONFIRM with layout]):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Ammine NiCl₂-SrCl₂/NH₃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Zeolite-13X / H₂O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Mechanism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reversible resorption (NH₃)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reversible adsorption (H₂O)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Discharge (DH) temperature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~150 °C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~130 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Energy density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0.27 kWh/kg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0.20 kWh/kg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Round-trip efficiency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~0.88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~0.78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mass (200 MWh block)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~735 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~1000 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volume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~735 m³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~1538 m³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 penalty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0.31 MWe per MWth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0.31 MWe per MWth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Standby loss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Safety note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closed-loop ammonia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 only</w:t>
            </w:r>
          </w:p>
        </w:tc>
      </w:tr>
    </w:tbl>
    <w:p/>
    <w:p>
      <w:r>
        <w:t xml:space="preserve">The </w:t>
      </w:r>
      <w:r>
        <w:rPr>
          <w:b/>
        </w:rPr>
        <w:t>zeolite-13X / water</w:t>
      </w:r>
      <w:r>
        <w:t xml:space="preserve"> medium is the locked baseline (simpler safety/public-acceptance story on a</w:t>
      </w:r>
    </w:p>
    <w:p>
      <w:r>
        <w:t>nuclear site; demonstrated for DH), with the ammine pair carried as the higher-density alternative.</w:t>
      </w:r>
    </w:p>
    <w:p>
      <w:r>
        <w:t xml:space="preserve">Charging draws 168 °C heat from HP extraction at </w:t>
      </w:r>
      <w:r>
        <w:rPr>
          <w:b/>
        </w:rPr>
        <w:t>0.31 MWe/MWth</w:t>
      </w:r>
      <w:r>
        <w:t>, dipping net output ~4.4 MWe during</w:t>
      </w:r>
    </w:p>
    <w:p>
      <w:r>
        <w:t xml:space="preserve">the off-peak charge window; during peak discharge the full 40 MWe goes to grid </w:t>
      </w:r>
      <w:r>
        <w:rPr>
          <w:b/>
        </w:rPr>
        <w:t>and</w:t>
      </w:r>
      <w:r>
        <w:t xml:space="preserve"> ~25 MWth flows</w:t>
      </w:r>
    </w:p>
    <w:p>
      <w:r>
        <w:t>from the store to the DH network with no live-steam penalty.</w:t>
      </w:r>
    </w:p>
    <w:p>
      <w:pPr>
        <w:pStyle w:val="Heading2"/>
      </w:pPr>
      <w:r>
        <w:t>8.9.6 TCES charging strategy and turbine duty</w:t>
      </w:r>
    </w:p>
    <w:p>
      <w:r>
        <w:rPr>
          <w:b/>
        </w:rPr>
        <w:t>Why extraction, not throttle steam.</w:t>
      </w:r>
      <w:r>
        <w:t xml:space="preserve"> The store is charged from **regulated HP-extraction steam</w:t>
      </w:r>
    </w:p>
    <w:p>
      <w:r>
        <w:t>(1.0 MPa, ~180 °C)** — *not* from live throttle steam upstream of the turbine. This is a deliberate</w:t>
      </w:r>
    </w:p>
    <w:p>
      <w:r>
        <w:t>exergy- and life-management choice:</w:t>
      </w:r>
    </w:p>
    <w:p>
      <w:pPr>
        <w:pStyle w:val="ListBullet"/>
      </w:pPr>
      <w:r>
        <w:rPr>
          <w:b/>
        </w:rPr>
        <w:t>Exergy match.</w:t>
      </w:r>
      <w:r>
        <w:t xml:space="preserve"> District heat needs only ~150 °C; diverting 4.5 MPa / 296 °C throttle steam to a</w:t>
      </w:r>
    </w:p>
    <w:p>
      <w:r>
        <w:t>~168 °C charge loop would destroy a large fraction of its work potential. Extraction steam has</w:t>
      </w:r>
    </w:p>
    <w:p>
      <w:r>
        <w:t>already done its HP-stage work, so only its *residual* (well-matched) enthalpy is committed to</w:t>
      </w:r>
    </w:p>
    <w:p>
      <w:r>
        <w:t>storage — the thermodynamically correct tap point for a 150 °C product.</w:t>
      </w:r>
    </w:p>
    <w:p>
      <w:pPr>
        <w:pStyle w:val="ListBullet"/>
      </w:pPr>
      <w:r>
        <w:rPr>
          <w:b/>
        </w:rPr>
        <w:t>The HP turbine stays fully loaded.</w:t>
      </w:r>
      <w:r>
        <w:t xml:space="preserve"> Charging trims only the </w:t>
      </w:r>
      <w:r>
        <w:rPr>
          <w:b/>
        </w:rPr>
        <w:t>LP-end</w:t>
      </w:r>
      <w:r>
        <w:t xml:space="preserve"> flow; the HP stages,</w:t>
      </w:r>
    </w:p>
    <w:p>
      <w:r>
        <w:t>regulating stage, and shaft torque path see little change. Net output dips a **bounded</w:t>
      </w:r>
    </w:p>
    <w:p>
      <w:r>
        <w:t>~4.4 MWe (40.0 → 35.6 MWe, ≈ 11 %)** during the off-peak charge window (</w:t>
      </w:r>
      <w:r>
        <w:rPr>
          <w:rFonts w:ascii="Consolas" w:hAnsi="Consolas"/>
          <w:sz w:val="18"/>
        </w:rPr>
        <w:t>tces_dh_balance.py</w:t>
      </w:r>
      <w:r>
        <w:t>),</w:t>
      </w:r>
    </w:p>
    <w:p>
      <w:r>
        <w:t>entirely on the low-pressure end.</w:t>
      </w:r>
    </w:p>
    <w:p>
      <w:r>
        <w:rPr>
          <w:b/>
        </w:rPr>
        <w:t>Turbine-life basis.</w:t>
      </w:r>
      <w:r>
        <w:t xml:space="preserve"> A common concern is that off-peak charging shortens turbine life by reducing</w:t>
      </w:r>
    </w:p>
    <w:p>
      <w:r>
        <w:t>its duty. The governing life mechanism for a steam turbine is **low-cycle thermal fatigue driven by</w:t>
      </w:r>
    </w:p>
    <w:p>
      <w:r>
        <w:t>start-ups and fast thermal transients</w:t>
      </w:r>
      <w:r>
        <w:rPr>
          <w:b/>
        </w:rPr>
        <w:t xml:space="preserve"> in thick rotor/casing sections — </w:t>
      </w:r>
      <w:r>
        <w:t>not** sustained part-load,</w:t>
      </w:r>
    </w:p>
    <w:p>
      <w:r>
        <w:t>which is within the normal operating envelope of any condensing machine. Under this charging strategy</w:t>
      </w:r>
    </w:p>
    <w:p>
      <w:r>
        <w:t xml:space="preserve">the turbine </w:t>
      </w:r>
      <w:r>
        <w:rPr>
          <w:b/>
        </w:rPr>
        <w:t>never trips, never goes cold, and never deep-unloads</w:t>
      </w:r>
      <w:r>
        <w:t>: it breathes slowly between 40.0</w:t>
      </w:r>
    </w:p>
    <w:p>
      <w:r>
        <w:t>and 35.6 MWe while staying hot and synchronised. The resulting duty is a *shallow, gradual, hot* load</w:t>
      </w:r>
    </w:p>
    <w:p>
      <w:r>
        <w:t>cycle — the gentlest class of cycling — and contributes negligible LCF damage relative to the</w:t>
      </w:r>
    </w:p>
    <w:p>
      <w:r>
        <w:t>start-stop cycles that size rotor fatigue life.</w:t>
      </w:r>
    </w:p>
    <w:p>
      <w:r>
        <w:rPr>
          <w:b/>
        </w:rPr>
        <w:t>Reference-anchored.</w:t>
      </w:r>
      <w:r>
        <w:t xml:space="preserve"> This is precisely the duty of **automatic-extraction / extraction-condensing</w:t>
      </w:r>
    </w:p>
    <w:p>
      <w:r>
        <w:t>turbines in district-heating CHP plants**, which load-follow on extraction daily for multi-decade</w:t>
      </w:r>
    </w:p>
    <w:p>
      <w:r>
        <w:t>lifetimes (e.g. Nordic/European DH cogeneration practice). Aegis-40 therefore specifies a</w:t>
      </w:r>
    </w:p>
    <w:p>
      <w:r>
        <w:rPr>
          <w:b/>
        </w:rPr>
        <w:t>controlled-extraction (automatic-extraction) turbine</w:t>
      </w:r>
      <w:r>
        <w:t xml:space="preserve"> — the charge tap is a *designed* regulating</w:t>
      </w:r>
    </w:p>
    <w:p>
      <w:r>
        <w:t>extraction, not an afterthought bleed — so the machine is qualified for the duty and the OEM supplies a</w:t>
      </w:r>
    </w:p>
    <w:p>
      <w:r>
        <w:rPr>
          <w:b/>
        </w:rPr>
        <w:t>citable cyclic-life allowance (number of start/load cycles over 60 yr)</w:t>
      </w:r>
      <w:r>
        <w:t xml:space="preserve"> as the §8.9 design basis</w:t>
      </w:r>
    </w:p>
    <w:p>
      <w:r>
        <w:t>rather than an assertion. [CONFIRM — OEM cyclic-life datasheet at detailed-design stage.]</w:t>
      </w:r>
    </w:p>
    <w:p>
      <w:r>
        <w:rPr>
          <w:b/>
        </w:rPr>
        <w:t>Couplings and limits to respect (Tier-B):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Effect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Design response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Extraction-vs-feedwater coupling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steam pulled for charge is steam not heating the FWH train → feed temp / cycle η shift slightly during charge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accounted in the charge-mode heat balance (</w:t>
            </w:r>
            <w:r>
              <w:rPr>
                <w:rFonts w:ascii="Consolas" w:hAnsi="Consolas"/>
                <w:sz w:val="18"/>
              </w:rPr>
              <w:t>thermo_cycle.py</w:t>
            </w:r>
            <w:r>
              <w:rPr>
                <w:sz w:val="18"/>
              </w:rPr>
              <w:t>); η penalty folded into the 0.31 MWe/MWth charge 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LP last-stage low-flow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very low LP volumetric flow → windage heating / blade flutter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35.6 MWe point is far above the limit; flagged as the binding constraint </w:t>
            </w:r>
            <w:r>
              <w:rPr>
                <w:b/>
                <w:sz w:val="18"/>
              </w:rPr>
              <w:t>only if</w:t>
            </w:r>
            <w:r>
              <w:rPr>
                <w:sz w:val="18"/>
              </w:rPr>
              <w:t xml:space="preserve"> stored fraction is deepened beyond the modelled window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Reactor power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charging must not ramp the reactor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reactor stays constant ~100 %; the split is made on the </w:t>
            </w:r>
            <w:r>
              <w:rPr>
                <w:b/>
                <w:sz w:val="18"/>
              </w:rPr>
              <w:t>secondary</w:t>
            </w:r>
            <w:r>
              <w:rPr>
                <w:sz w:val="18"/>
              </w:rPr>
              <w:t xml:space="preserve"> side only — primary T-H, OTSG duty and fuel duty are unaffected</w:t>
            </w:r>
          </w:p>
        </w:tc>
      </w:tr>
    </w:tbl>
    <w:p/>
    <w:p>
      <w:r>
        <w:rPr>
          <w:b/>
        </w:rPr>
        <w:t>Turbine-neutral storage lever.</w:t>
      </w:r>
      <w:r>
        <w:t xml:space="preserve"> Where deeper off-peak storage is wanted without *any* steam</w:t>
      </w:r>
    </w:p>
    <w:p>
      <w:r>
        <w:t xml:space="preserve">diversion, the </w:t>
      </w:r>
      <w:r>
        <w:rPr>
          <w:b/>
        </w:rPr>
        <w:t>H₂/electrolyser path (§8.9.7) absorbs electricity, not steam</w:t>
      </w:r>
      <w:r>
        <w:t xml:space="preserve"> — redirecting night</w:t>
      </w:r>
    </w:p>
    <w:p>
      <w:r>
        <w:t xml:space="preserve">MWe to electrolysis charges energy with </w:t>
      </w:r>
      <w:r>
        <w:rPr>
          <w:b/>
        </w:rPr>
        <w:t>zero</w:t>
      </w:r>
      <w:r>
        <w:t xml:space="preserve"> turbine-flow impact. The design therefore biases deep</w:t>
      </w:r>
    </w:p>
    <w:p>
      <w:r>
        <w:t>off-peak absorption toward electrolysis and keeps TCES charging within the gentle ≈ 11 % extraction</w:t>
      </w:r>
    </w:p>
    <w:p>
      <w:r>
        <w:t>band.</w:t>
      </w:r>
    </w:p>
    <w:p>
      <w:pPr>
        <w:pStyle w:val="Heading2"/>
      </w:pPr>
      <w:r>
        <w:t>8.9.7 Hydrogen co-generation (off-peak)</w:t>
      </w:r>
    </w:p>
    <w:p>
      <w:r>
        <w:t>Off-peak (night-shift) electricity feeds a water-electrolysis unit, converting low-value night output</w:t>
      </w:r>
    </w:p>
    <w:p>
      <w:r>
        <w:t>into storable hydrogen and raising effective utilisation; the reactor stays at constant power. A</w:t>
      </w:r>
    </w:p>
    <w:p>
      <w:r>
        <w:t xml:space="preserve">reference </w:t>
      </w:r>
      <w:r>
        <w:rPr>
          <w:b/>
        </w:rPr>
        <w:t>8 MWe PEM</w:t>
      </w:r>
      <w:r>
        <w:t xml:space="preserve"> block at ~50 kWh/kg yields </w:t>
      </w:r>
      <w:r>
        <w:rPr>
          <w:b/>
        </w:rPr>
        <w:t>≈ 160 kg H₂/h (≈ 640 t/yr at 4 000 off-peak h)</w:t>
      </w:r>
      <w:r>
        <w:t>;</w:t>
      </w:r>
    </w:p>
    <w:p>
      <w:r>
        <w:t>the secondary steam (~296 °C) and TCES-discharge heat pre-heat the electrolyser feed (a high-T</w:t>
      </w:r>
    </w:p>
    <w:p>
      <w:r>
        <w:t>solid-oxide stack would benefit more but wants 700–850 °C). Electrolyser technology/capacity set with</w:t>
      </w:r>
    </w:p>
    <w:p>
      <w:r>
        <w:t>the layout team.</w:t>
      </w:r>
    </w:p>
    <w:p>
      <w:pPr>
        <w:pStyle w:val="Heading1"/>
      </w:pPr>
      <w:r>
        <w:t>8.10 Facility Layout Design</w:t>
      </w:r>
    </w:p>
    <w:p>
      <w:pPr>
        <w:pStyle w:val="Heading2"/>
      </w:pPr>
      <w:r>
        <w:t>8.10.1 Three-island scheme</w:t>
      </w:r>
    </w:p>
    <w:p>
      <w:r>
        <w:t>The site is partitioned into three functional islands by hazard class, safety class and access</w:t>
      </w:r>
    </w:p>
    <w:p>
      <w:r>
        <w:t>control (cf. AP1000/NuScale/SMART), extended for cogeneration:</w:t>
      </w:r>
    </w:p>
    <w:p>
      <w:pPr>
        <w:pStyle w:val="ListBullet"/>
      </w:pPr>
      <w:r>
        <w:rPr>
          <w:b/>
        </w:rPr>
        <w:t>Nuclear Island (NI)</w:t>
      </w:r>
      <w:r>
        <w:t xml:space="preserve"> — RXB, AB, CB, SFB, DGB, WMB. Seismic Cat I on a common 0.3 g SSE mat;</w:t>
      </w:r>
    </w:p>
    <w:p>
      <w:r>
        <w:t>Protected Area. ~100 × 80 m.</w:t>
      </w:r>
    </w:p>
    <w:p>
      <w:pPr>
        <w:pStyle w:val="ListBullet"/>
      </w:pPr>
      <w:r>
        <w:rPr>
          <w:b/>
        </w:rPr>
        <w:t>Conventional Island (CI)</w:t>
      </w:r>
      <w:r>
        <w:t xml:space="preserve"> — TB, EHB/switchyard, **Circulating-Water Pump house + seawater</w:t>
      </w:r>
    </w:p>
    <w:p>
      <w:r>
        <w:t>intake/outfall (once-through, no cooling tower)**, water/services. Seismic Cat II. ~80 × 80 m.</w:t>
      </w:r>
    </w:p>
    <w:p>
      <w:pPr>
        <w:pStyle w:val="ListBullet"/>
      </w:pPr>
      <w:r>
        <w:rPr>
          <w:b/>
        </w:rPr>
        <w:t>Industrial Island (II)</w:t>
      </w:r>
      <w:r>
        <w:t xml:space="preserve"> — </w:t>
      </w:r>
      <w:r>
        <w:rPr>
          <w:b/>
        </w:rPr>
        <w:t>TCES (zeolite-13X)</w:t>
      </w:r>
      <w:r>
        <w:t>, electrolyser, H₂ storage. Non-safety, NFPA 2</w:t>
      </w:r>
    </w:p>
    <w:p>
      <w:r>
        <w:t xml:space="preserve">H₂ classification; </w:t>
      </w:r>
      <w:r>
        <w:rPr>
          <w:b/>
        </w:rPr>
        <w:t>100 m H₂ stand-off</w:t>
      </w:r>
      <w:r>
        <w:t xml:space="preserve"> to the nearest NI building. ~60 × 60 m.</w:t>
      </w:r>
    </w:p>
    <w:p>
      <w:r>
        <w:t>Driving constraints: EPZ ≤ 0.5 km, SSE 0.3 g, consolidated containment penetrations, H₂ explosion</w:t>
      </w:r>
    </w:p>
    <w:p>
      <w:r>
        <w:t>stand-off (NFPA 2 / IEC 60079). The TB is adjacent to the NI (shortest main-steam/feedwater run</w:t>
      </w:r>
    </w:p>
    <w:p>
      <w:r>
        <w:t>~47 m); the seawater intake/outfall + CWP at the shoreline.</w:t>
      </w:r>
    </w:p>
    <w:p>
      <w:pPr>
        <w:pStyle w:val="Heading2"/>
      </w:pPr>
      <w:r>
        <w:t>8.10.2 Building inventory and cooling</w:t>
      </w:r>
    </w:p>
    <w:p>
      <w:r>
        <w:t xml:space="preserve">Full table in </w:t>
      </w:r>
      <w:r>
        <w:rPr>
          <w:rFonts w:ascii="Consolas" w:hAnsi="Consolas"/>
          <w:sz w:val="18"/>
        </w:rPr>
        <w:t>layout/building_list.md</w:t>
      </w:r>
      <w:r>
        <w:t xml:space="preserve"> (14 named buildings + infrastructure). Cooling is</w:t>
      </w:r>
    </w:p>
    <w:p>
      <w:r>
        <w:rPr>
          <w:b/>
        </w:rPr>
        <w:t>once-through Black Sea seawater</w:t>
      </w:r>
      <w:r>
        <w:t>: condenser circ-water and CCWS reject to the sea via a</w:t>
      </w:r>
    </w:p>
    <w:p>
      <w:r>
        <w:t xml:space="preserve">breakwater-protected </w:t>
      </w:r>
      <w:r>
        <w:rPr>
          <w:b/>
        </w:rPr>
        <w:t>intake</w:t>
      </w:r>
      <w:r>
        <w:t xml:space="preserve"> (trash racks + redundant travelling screens + chlorination), the</w:t>
      </w:r>
    </w:p>
    <w:p>
      <w:r>
        <w:rPr>
          <w:b/>
        </w:rPr>
        <w:t>CWP house</w:t>
      </w:r>
      <w:r>
        <w:t xml:space="preserve"> (~240 m² on-island), and a </w:t>
      </w:r>
      <w:r>
        <w:rPr>
          <w:b/>
        </w:rPr>
        <w:t>discharge/outfall</w:t>
      </w:r>
      <w:r>
        <w:t xml:space="preserve"> structure. Heat rejected ≈ 82 MWth at</w:t>
      </w:r>
    </w:p>
    <w:p>
      <w:r>
        <w:t>ΔT ≈ 8–10 K (~2–2.5 m³/s); plume negligible at site scale. Thermal discharge under the Turkish Water</w:t>
      </w:r>
    </w:p>
    <w:p>
      <w:r>
        <w:t>Pollution Control Regulation (SKKY) [VERIFY — max-T/ΔT clause, O9]. **Normal heat sink only; the</w:t>
      </w:r>
    </w:p>
    <w:p>
      <w:r>
        <w:t>safety UHS is the passive IRWST (§8.5.2a).</w:t>
      </w:r>
      <w:r>
        <w:rPr>
          <w:b/>
        </w:rPr>
        <w:t xml:space="preserve"> Realism anchored to </w:t>
      </w:r>
      <w:r>
        <w:t>Akkuyu NPP** (4× VVER-1200,</w:t>
      </w:r>
    </w:p>
    <w:p>
      <w:r>
        <w:t>once-through seawater — the licensed Turkish precedent); the colder Black Sea makes the condenser</w:t>
      </w:r>
    </w:p>
    <w:p>
      <w:r>
        <w:t>back-pressure / efficiency case conservative.</w:t>
      </w:r>
    </w:p>
    <w:p>
      <w:pPr>
        <w:pStyle w:val="Heading2"/>
      </w:pPr>
      <w:r>
        <w:t>8.10.3 Energy-storage building (TCES)</w:t>
      </w:r>
    </w:p>
    <w:p>
      <w:r>
        <w:t xml:space="preserve">A </w:t>
      </w:r>
      <w:r>
        <w:rPr>
          <w:b/>
        </w:rPr>
        <w:t>thermochemical zeolite-13X / water-vapour sorption bed</w:t>
      </w:r>
      <w:r>
        <w:t>: charge by dehydration off pass-out steam,</w:t>
      </w:r>
    </w:p>
    <w:p>
      <w:r>
        <w:t>discharge by hydration delivering ~130–150 °C to the district-heat intermediate loop. Chosen over</w:t>
      </w:r>
    </w:p>
    <w:p>
      <w:r>
        <w:t>two-tank sensible storage for near-zero self-discharge, intrinsically low hazard (non-toxic,</w:t>
      </w:r>
    </w:p>
    <w:p>
      <w:r>
        <w:t>non-flammable, non-corrosive — favourable under Req. 35), and proven engineering. Enables the</w:t>
      </w:r>
    </w:p>
    <w:p>
      <w:r>
        <w:t>load-following / thermal-management role (§8.7.5, §8.9).</w:t>
      </w:r>
    </w:p>
    <w:p>
      <w:pPr>
        <w:pStyle w:val="Heading2"/>
      </w:pPr>
      <w:r>
        <w:t>8.10.4 Critical piping</w:t>
      </w:r>
    </w:p>
    <w:p>
      <w:r>
        <w:t xml:space="preserve">Full table in </w:t>
      </w:r>
      <w:r>
        <w:rPr>
          <w:rFonts w:ascii="Consolas" w:hAnsi="Consolas"/>
          <w:sz w:val="18"/>
        </w:rPr>
        <w:t>layout/critical_piping_table.md</w:t>
      </w:r>
      <w:r>
        <w:t xml:space="preserve">. </w:t>
      </w:r>
      <w:r>
        <w:rPr>
          <w:b/>
        </w:rPr>
        <w:t>Main steam 2×DN250</w:t>
      </w:r>
      <w:r>
        <w:t xml:space="preserve"> (~315 °C / 5.8 MPa) and</w:t>
      </w:r>
    </w:p>
    <w:p>
      <w:r>
        <w:rPr>
          <w:b/>
        </w:rPr>
        <w:t>feedwater 2×DN200</w:t>
      </w:r>
      <w:r>
        <w:t xml:space="preserve"> co-routed RXB↔TB in a below-grade tunnel (~47 m), MSIVs ≤ 1.5 m inside the</w:t>
      </w:r>
    </w:p>
    <w:p>
      <w:r>
        <w:t xml:space="preserve">penetration, whip restraints, RC division wall. DHRS/PRHR </w:t>
      </w:r>
      <w:r>
        <w:rPr>
          <w:b/>
        </w:rPr>
        <w:t>2×DN100</w:t>
      </w:r>
      <w:r>
        <w:t xml:space="preserve"> and passive ECCS </w:t>
      </w:r>
      <w:r>
        <w:rPr>
          <w:b/>
        </w:rPr>
        <w:t>2×DN80</w:t>
      </w:r>
      <w:r>
        <w:t xml:space="preserve"> are</w:t>
      </w:r>
    </w:p>
    <w:p>
      <w:r>
        <w:t xml:space="preserve">intra-RXB, fully passive, </w:t>
      </w:r>
      <w:r>
        <w:rPr>
          <w:b/>
        </w:rPr>
        <w:t>no containment penetration</w:t>
      </w:r>
      <w:r>
        <w:t xml:space="preserve">. Pressuriser surge line </w:t>
      </w:r>
      <w:r>
        <w:rPr>
          <w:b/>
        </w:rPr>
        <w:t>eliminated</w:t>
      </w:r>
    </w:p>
    <w:p>
      <w:r>
        <w:t>(integral pressuriser). TCES charge branch off the MSL header; condenser circ-water</w:t>
      </w:r>
    </w:p>
    <w:p>
      <w:r>
        <w:t>intake→CWP→condenser→outfall (seawater once-through); CCWS to seawater. Sizes pending hydraulic</w:t>
      </w:r>
    </w:p>
    <w:p>
      <w:r>
        <w:t>confirmation (Adilbek).</w:t>
      </w:r>
    </w:p>
    <w:p>
      <w:pPr>
        <w:pStyle w:val="Heading2"/>
      </w:pPr>
      <w:r>
        <w:t>8.10.5 Site dimensions, 2D/3D plans, and structural data</w:t>
      </w:r>
    </w:p>
    <w:p>
      <w:r>
        <w:t>Built area ~9 000 m² across the three islands; total occupied site ~250 × 300 m, comfortably inside</w:t>
      </w:r>
    </w:p>
    <w:p>
      <w:r>
        <w:t>the 500 m EPZ. The CAD model (</w:t>
      </w:r>
      <w:r>
        <w:rPr>
          <w:rFonts w:ascii="Consolas" w:hAnsi="Consolas"/>
          <w:sz w:val="18"/>
        </w:rPr>
        <w:t>cad/aegis40_site.step</w:t>
      </w:r>
      <w:r>
        <w:t>) is the spatial single-source-of-truth under</w:t>
      </w:r>
    </w:p>
    <w:p>
      <w:r>
        <w:t>Git; the 2D plot plan / elevation drawings and the interactive viewer regenerate from it. The plan</w:t>
      </w:r>
    </w:p>
    <w:p>
      <w:r>
        <w:t>tables carry the main structural data (construction structures, steel structures, connection</w:t>
      </w:r>
    </w:p>
    <w:p>
      <w:r>
        <w:t>structures, system weight distributions, structural requirements) per the §8.10 requirement;</w:t>
      </w:r>
    </w:p>
    <w:p>
      <w:r>
        <w:t xml:space="preserve">weight/foundation data are in </w:t>
      </w:r>
      <w:r>
        <w:rPr>
          <w:rFonts w:ascii="Consolas" w:hAnsi="Consolas"/>
          <w:sz w:val="18"/>
        </w:rPr>
        <w:t>layout/building_list.md</w:t>
      </w:r>
      <w:r>
        <w:t>. All four FER §8.10 categories (reactor</w:t>
      </w:r>
    </w:p>
    <w:p>
      <w:r>
        <w:t>building / energy-conversion systems / O&amp;M services / other systems) are populated.</w:t>
      </w:r>
    </w:p>
    <w:p>
      <w:pPr>
        <w:ind w:left="360"/>
      </w:pPr>
      <w:r>
        <w:rPr>
          <w:b/>
          <w:i/>
        </w:rPr>
        <w:t>Figure status.</w:t>
      </w:r>
      <w:r>
        <w:rPr>
          <w:i/>
        </w:rPr>
        <w:t xml:space="preserve"> The site plan, elevation, CAD STEP and viewer are current to the seawater + TCES</w:t>
      </w:r>
    </w:p>
    <w:p>
      <w:pPr>
        <w:ind w:left="360"/>
      </w:pPr>
      <w:r>
        <w:rPr>
          <w:i/>
        </w:rPr>
        <w:t>configuration. The integrated process-flow diagram is the master figure feeding the §8.9/§8.4</w:t>
      </w:r>
    </w:p>
    <w:p>
      <w:pPr>
        <w:ind w:left="360"/>
      </w:pPr>
      <w:r>
        <w:rPr>
          <w:i/>
        </w:rPr>
        <w:t>diagrams. (CAD 3D/STEP assets are held in the local working tree per the project's CAD-handling</w:t>
      </w:r>
    </w:p>
    <w:p>
      <w:pPr>
        <w:ind w:left="360"/>
      </w:pPr>
      <w:r>
        <w:rPr>
          <w:i/>
        </w:rPr>
        <w:t>practice and are not part of this doc commit.)</w:t>
      </w:r>
    </w:p>
    <w:p>
      <w:pPr>
        <w:pStyle w:val="Heading1"/>
      </w:pPr>
      <w:r>
        <w:t>8.11 Nuclear Waste Management</w:t>
      </w:r>
    </w:p>
    <w:p>
      <w:pPr>
        <w:ind w:left="360"/>
      </w:pPr>
      <w:r>
        <w:rPr>
          <w:b/>
          <w:i/>
        </w:rPr>
        <w:t>Codes:</w:t>
      </w:r>
      <w:r>
        <w:rPr>
          <w:i/>
        </w:rPr>
        <w:t xml:space="preserve"> OpenMC depletion + </w:t>
      </w:r>
      <w:r>
        <w:rPr>
          <w:rFonts w:ascii="Consolas" w:hAnsi="Consolas"/>
          <w:i/>
          <w:sz w:val="18"/>
        </w:rPr>
        <w:t>src/aegis40.back_end</w:t>
      </w:r>
      <w:r>
        <w:rPr>
          <w:i/>
        </w:rPr>
        <w:t xml:space="preserve"> (15/15 tests). Burnup-dependent numbers below</w:t>
      </w:r>
    </w:p>
    <w:p>
      <w:pPr>
        <w:ind w:left="360"/>
      </w:pPr>
      <w:r>
        <w:rPr>
          <w:i/>
        </w:rPr>
        <w:t xml:space="preserve">are the </w:t>
      </w:r>
      <w:r>
        <w:rPr>
          <w:b/>
          <w:i/>
        </w:rPr>
        <w:t>37-FA STAT_FINAL once-through</w:t>
      </w:r>
      <w:r>
        <w:rPr>
          <w:i/>
        </w:rPr>
        <w:t xml:space="preserve"> values (discharge 27.6 GWd/tHM, whole-core 9.1 tHM).</w:t>
      </w:r>
    </w:p>
    <w:p>
      <w:r>
        <w:t xml:space="preserve">Aegis-40 addresses waste on the three fronts mandated by Technical-Specification §4.3.2: </w:t>
      </w:r>
      <w:r>
        <w:rPr>
          <w:b/>
        </w:rPr>
        <w:t>(i)</w:t>
      </w:r>
      <w:r>
        <w:t xml:space="preserve"> an</w:t>
      </w:r>
    </w:p>
    <w:p>
      <w:r>
        <w:t>innovative fuel-cycle design minimising spent-fuel quantity and radioactivity per unit energy;</w:t>
      </w:r>
    </w:p>
    <w:p>
      <w:r>
        <w:rPr>
          <w:b/>
        </w:rPr>
        <w:t>(ii)</w:t>
      </w:r>
      <w:r>
        <w:t xml:space="preserve"> a back-end plan with the three required analyses (source term, decay heat, storage</w:t>
      </w:r>
    </w:p>
    <w:p>
      <w:r>
        <w:t xml:space="preserve">criticality); </w:t>
      </w:r>
      <w:r>
        <w:rPr>
          <w:b/>
        </w:rPr>
        <w:t>(iii)</w:t>
      </w:r>
      <w:r>
        <w:t xml:space="preserve"> minimisation of secondary radioactive waste.</w:t>
      </w:r>
    </w:p>
    <w:p>
      <w:pPr>
        <w:pStyle w:val="Heading2"/>
      </w:pPr>
      <w:r>
        <w:t>8.11.1 Waste-minimisation by design (fuel cycle)</w:t>
      </w:r>
    </w:p>
    <w:p>
      <w:r>
        <w:t xml:space="preserve">The dominant lever is </w:t>
      </w:r>
      <w:r>
        <w:rPr>
          <w:b/>
        </w:rPr>
        <w:t>discharge burnup</w:t>
      </w:r>
      <w:r>
        <w:t>: more energy per tonne of HM reduces spent-fuel arisings per</w:t>
      </w:r>
    </w:p>
    <w:p>
      <w:r>
        <w:t xml:space="preserve">unit electricity. The once-through SBF core discharges at </w:t>
      </w:r>
      <w:r>
        <w:rPr>
          <w:b/>
        </w:rPr>
        <w:t>27.6 GWd/tHM</w:t>
      </w:r>
      <w:r>
        <w:t xml:space="preserve"> at </w:t>
      </w:r>
      <w:r>
        <w:rPr>
          <w:b/>
        </w:rPr>
        <w:t>32.0 % net efficiency</w:t>
      </w:r>
      <w:r>
        <w:t>,</w:t>
      </w:r>
    </w:p>
    <w:p>
      <w:r>
        <w:t>versus ~24 GWd/tHM / ~27 % for CAREM-25. The once-through waste-intensity identity</w:t>
      </w:r>
    </w:p>
    <w:p>
      <w:r>
        <w:t>(tHM/TWhe = 10³/[BU·24·η]) gives:</w:t>
      </w:r>
    </w:p>
    <w:p>
      <w:r>
        <w:rPr>
          <w:b/>
        </w:rPr>
        <w:t>Table 8.11-1 — Spent-fuel arisings and waste intensity vs CAREM-25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Aegis-40 (once-through)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CAREM-25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Thermal / electric power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 MWth / 40 MWe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 MWth / 27 MWe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Net efficiency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0.270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Discharge burnup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27.6 GWd/tHM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24.0 GWd/tHM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HM discharged per 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9.87 tHM / ~6 FPY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Assemblies discharged per year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~5.6 FA/yr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Waste intensity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4.72 tHM/TWhe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6.43 tHM/TWhe</w:t>
            </w:r>
          </w:p>
        </w:tc>
      </w:tr>
    </w:tbl>
    <w:p/>
    <w:p>
      <w:r>
        <w:t>Even at the deliberately low once-through burnup, Aegis-40 produces **~27 % less heavy metal per unit</w:t>
      </w:r>
    </w:p>
    <w:p>
      <w:r>
        <w:t>electricity than CAREM-25**, driven by the higher net efficiency. The lower burnup (vs a multi-batch</w:t>
      </w:r>
    </w:p>
    <w:p>
      <w:r>
        <w:t>scheme) is the accepted price of the safety- and nonproliferation-led once-through cycle (§8.2.3); a</w:t>
      </w:r>
    </w:p>
    <w:p>
      <w:r>
        <w:t>multi-batch reload to ~41–44 GWd/tHM would cut the intensity to ~3.0 tHM/TWhe if ever adopted.</w:t>
      </w:r>
    </w:p>
    <w:p>
      <w:pPr>
        <w:pStyle w:val="Heading2"/>
      </w:pPr>
      <w:r>
        <w:t>8.11.2 Back-end fuel-cycle management plan</w:t>
      </w:r>
    </w:p>
    <w:p>
      <w:r>
        <w:rPr>
          <w:b/>
        </w:rPr>
        <w:t>Once-through</w:t>
      </w:r>
      <w:r>
        <w:t xml:space="preserve"> cycle. Discharged assemblies (~3.6 FA/yr) cool in the spent-fuel pool, then transfer</w:t>
      </w:r>
    </w:p>
    <w:p>
      <w:r>
        <w:t xml:space="preserve">to </w:t>
      </w:r>
      <w:r>
        <w:rPr>
          <w:b/>
        </w:rPr>
        <w:t>on-site dry-cask interim storage</w:t>
      </w:r>
      <w:r>
        <w:t xml:space="preserve"> after the decay-heat and dose criteria are met (§8.11.3). The</w:t>
      </w:r>
    </w:p>
    <w:p>
      <w:r>
        <w:t>very low arisings make a single compact pool + small cask pad sufficient for the plant lifetime,</w:t>
      </w:r>
    </w:p>
    <w:p>
      <w:r>
        <w:t>deferring repository transfer. No reprocessing (the discharged Pu vector and safeguards</w:t>
      </w:r>
    </w:p>
    <w:p>
      <w:r>
        <w:t>attractiveness are in §7 / the non-proliferation assessment).</w:t>
      </w:r>
    </w:p>
    <w:p>
      <w:pPr>
        <w:pStyle w:val="Heading2"/>
      </w:pPr>
      <w:r>
        <w:t>8.11.3 Spent-fuel source term and decay heat (§4.3.2)</w:t>
      </w:r>
    </w:p>
    <w:p>
      <w:r>
        <w:rPr>
          <w:b/>
        </w:rPr>
        <w:t>Table 8.11-2 — Discharge source term vs cooling time</w:t>
      </w:r>
      <w:r>
        <w:t xml:space="preserve"> (37-FA once-through, 9.1 tHM at discharge):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Cooling (yr)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Activity (Bq)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Decay heat (W)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Radiotoxicity (Sv)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4.72×10¹⁸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443 900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9.87×10⁹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2.85×10¹⁷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19 520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2.80×10⁹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1.10×10¹⁷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5 558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1.61×10⁹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7.73×10¹⁶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3 325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1.33×10⁹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3.94×10¹⁶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1 902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8.51×10⁸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6.73×10¹⁵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2.71×10⁸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2.60×10¹⁴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6.25×10⁷</w:t>
            </w:r>
          </w:p>
        </w:tc>
      </w:tr>
    </w:tbl>
    <w:p/>
    <w:p>
      <w:r>
        <w:t xml:space="preserve">At discharge: total activity </w:t>
      </w:r>
      <w:r>
        <w:rPr>
          <w:b/>
        </w:rPr>
        <w:t>4.72×10¹⁸ Bq</w:t>
      </w:r>
      <w:r>
        <w:t xml:space="preserve">, decay heat </w:t>
      </w:r>
      <w:r>
        <w:rPr>
          <w:b/>
        </w:rPr>
        <w:t>444 kW</w:t>
      </w:r>
      <w:r>
        <w:t xml:space="preserve"> (48.9 kW/tHM); specific activity</w:t>
      </w:r>
    </w:p>
    <w:p>
      <w:r>
        <w:t>4.41×10¹¹ Bq/g and heat density 4.32×10⁵ W/m³ exceed the IAEA SSG-40 HLW thresholds, so the spent fuel</w:t>
      </w:r>
    </w:p>
    <w:p>
      <w:r>
        <w:t xml:space="preserve">is classified </w:t>
      </w:r>
      <w:r>
        <w:rPr>
          <w:b/>
        </w:rPr>
        <w:t>HLW / SNF</w:t>
      </w:r>
      <w:r>
        <w:t>. Dominant nuclides at discharge are short-lived fission/activation products</w:t>
      </w:r>
    </w:p>
    <w:p>
      <w:r>
        <w:t>(Np-239, Xe-133, Mo-99, Zr/Nb-95, Ce-144), decaying ~16× over the first year; the long-term term is set</w:t>
      </w:r>
    </w:p>
    <w:p>
      <w:r>
        <w:t>by Cs-137, Sr-90 and the transuranics. The decay-heat curve is the input to the pool-cooling load and the</w:t>
      </w:r>
    </w:p>
    <w:p>
      <w:r>
        <w:t>dry-cask passive-cooling design. ‹FIGURE 8.11-1 — decay heat + ingestion radiotoxicity vs cooling time,</w:t>
      </w:r>
    </w:p>
    <w:p>
      <w:r>
        <w:rPr>
          <w:rFonts w:ascii="Consolas" w:hAnsi="Consolas"/>
          <w:sz w:val="18"/>
        </w:rPr>
        <w:t>waste_sim/output/decay_heat_rigorous.csv</w:t>
      </w:r>
      <w:r>
        <w:t>.›</w:t>
      </w:r>
    </w:p>
    <w:p>
      <w:pPr>
        <w:pStyle w:val="Heading2"/>
      </w:pPr>
      <w:r>
        <w:t>8.11.4 Spent-fuel storage criticality (§4.3.2)</w:t>
      </w:r>
    </w:p>
    <w:p>
      <w:r>
        <w:t xml:space="preserve">Evaluated under the SBF philosophy — </w:t>
      </w:r>
      <w:r>
        <w:rPr>
          <w:b/>
        </w:rPr>
        <w:t>cold (20 °C), unborated water, no soluble-boron credit</w:t>
      </w:r>
      <w:r>
        <w:t xml:space="preserve"> — so</w:t>
      </w:r>
    </w:p>
    <w:p>
      <w:r>
        <w:t xml:space="preserve">the result holds on total loss of any boron source. Criterion </w:t>
      </w:r>
      <w:r>
        <w:rPr>
          <w:b/>
        </w:rPr>
        <w:t>k(95/95) ≤ 0.95</w:t>
      </w:r>
      <w:r>
        <w:t xml:space="preserve"> (NUREG-0800 / 10 CFR</w:t>
      </w:r>
    </w:p>
    <w:p>
      <w:r>
        <w:t>50.68). Burnup-credited fuel in a Region-II absorber rack (17×17 cell, 23.5 cm pitch), modelled as a</w:t>
      </w:r>
    </w:p>
    <w:p>
      <w:r>
        <w:t>bounding infinite array:</w:t>
      </w:r>
    </w:p>
    <w:p>
      <w:r>
        <w:rPr>
          <w:b/>
        </w:rPr>
        <w:t>Table 8.11-3 — Storage-rack criticality (burnup-credited)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k_calc ± σ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k(95/95)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Spent fuel + Boral box (0.40 B₄C)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0.78099 ± 0.00054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Spent fuel + Metamic box (0.31 B₄C)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0.78856 ± 0.00061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PASS</w:t>
            </w:r>
          </w:p>
        </w:tc>
      </w:tr>
    </w:tbl>
    <w:p/>
    <w:p>
      <w:r>
        <w:t xml:space="preserve">Both sit </w:t>
      </w:r>
      <w:r>
        <w:rPr>
          <w:b/>
        </w:rPr>
        <w:t>~0.16 below the 0.95 limit</w:t>
      </w:r>
      <w:r>
        <w:t>, confirmed by two absorber materials. Reactivity ladder: fresh</w:t>
      </w:r>
    </w:p>
    <w:p>
      <w:r>
        <w:t xml:space="preserve">bare touching fuel (1.50) → </w:t>
      </w:r>
      <w:r>
        <w:rPr>
          <w:b/>
        </w:rPr>
        <w:t>burnup credit</w:t>
      </w:r>
      <w:r>
        <w:t xml:space="preserve"> (1.075) → </w:t>
      </w:r>
      <w:r>
        <w:rPr>
          <w:b/>
        </w:rPr>
        <w:t>absorber + pitch</w:t>
      </w:r>
      <w:r>
        <w:t xml:space="preserve"> (0.782). A minimum-burnup</w:t>
      </w:r>
    </w:p>
    <w:p>
      <w:r>
        <w:t>loading curve administratively excludes fresh/low-burnup assemblies (held in a Region-I flux-trap</w:t>
      </w:r>
    </w:p>
    <w:p>
      <w:r>
        <w:t>rack). Consistent with, and more conservative than, the published SBF small-PWR envelope (Kim, Jung &amp;</w:t>
      </w:r>
    </w:p>
    <w:p>
      <w:r>
        <w:t xml:space="preserve">Yoon 2024). </w:t>
      </w:r>
      <w:r>
        <w:rPr>
          <w:b/>
        </w:rPr>
        <w:t>V&amp;V:</w:t>
      </w:r>
      <w:r>
        <w:t xml:space="preserve"> the reported margins use Δ_bias = Δ_unc = 0; a licensing-grade result adds the</w:t>
      </w:r>
    </w:p>
    <w:p>
      <w:r>
        <w:t>OpenMC + ENDF/B-VIII.0 bias from the OECD/NEA Burnup-Credit Benchmark (Phase II) and SFCOMPO 2.0</w:t>
      </w:r>
    </w:p>
    <w:p>
      <w:r>
        <w:t>(§8.13); even Δ ≈ 0.02–0.05 leaves 0.78 comfortably under 0.95.</w:t>
      </w:r>
    </w:p>
    <w:p>
      <w:pPr>
        <w:pStyle w:val="Heading2"/>
      </w:pPr>
      <w:r>
        <w:t>8.11.5 Secondary radioactive-waste minimisation</w:t>
      </w:r>
    </w:p>
    <w:p>
      <w:r>
        <w:t xml:space="preserve">The </w:t>
      </w:r>
      <w:r>
        <w:rPr>
          <w:b/>
        </w:rPr>
        <w:t>soluble-boron-free</w:t>
      </w:r>
      <w:r>
        <w:t xml:space="preserve"> design eliminates the borated-water secondary-waste streams a</w:t>
      </w:r>
    </w:p>
    <w:p>
      <w:r>
        <w:t>boron-controlled PWR generates — spent ion-exchange resins, evaporator concentrates, tritiated boron</w:t>
      </w:r>
    </w:p>
    <w:p>
      <w:r>
        <w:t>effluent from the CVCS — a "reduce-quantity" benefit not captured in the tHM/TWhe metric. Remaining</w:t>
      </w:r>
    </w:p>
    <w:p>
      <w:r>
        <w:t>operational wastes (filters, dry active waste, clean-up resins) are managed by best-available-technique</w:t>
      </w:r>
    </w:p>
    <w:p>
      <w:r>
        <w:rPr>
          <w:b/>
        </w:rPr>
        <w:t>segregation, volume reduction and conditioning</w:t>
      </w:r>
      <w:r>
        <w:t xml:space="preserve"> per IAEA GSR Part 5; wastes are collected and</w:t>
      </w:r>
    </w:p>
    <w:p>
      <w:r>
        <w:t>segregated by nature for their subsequent processing/destination (not mixed with streams of different</w:t>
      </w:r>
    </w:p>
    <w:p>
      <w:r>
        <w:t>characteristics). The integral-vessel layout with no large primary penetrations further limits</w:t>
      </w:r>
    </w:p>
    <w:p>
      <w:r>
        <w:t>contaminated-component arisings.</w:t>
      </w:r>
    </w:p>
    <w:p>
      <w:pPr>
        <w:pStyle w:val="Heading1"/>
      </w:pPr>
      <w:r>
        <w:t>8.12 Economic Evaluation</w:t>
      </w:r>
    </w:p>
    <w:p>
      <w:pPr>
        <w:ind w:left="360"/>
      </w:pPr>
      <w:r>
        <w:rPr>
          <w:b/>
          <w:i/>
        </w:rPr>
        <w:t>Code/method:</w:t>
      </w:r>
      <w:r>
        <w:rPr>
          <w:i/>
        </w:rPr>
        <w:t xml:space="preserve"> </w:t>
      </w:r>
      <w:r>
        <w:rPr>
          <w:rFonts w:ascii="Consolas" w:hAnsi="Consolas"/>
          <w:i/>
          <w:sz w:val="18"/>
        </w:rPr>
        <w:t>scripts/economics_lcoe.py</w:t>
      </w:r>
      <w:r>
        <w:rPr>
          <w:i/>
        </w:rPr>
        <w:t xml:space="preserve"> (→ </w:t>
      </w:r>
      <w:r>
        <w:rPr>
          <w:rFonts w:ascii="Consolas" w:hAnsi="Consolas"/>
          <w:i/>
          <w:sz w:val="18"/>
        </w:rPr>
        <w:t>economics/lcoe_breakdown.csv</w:t>
      </w:r>
      <w:r>
        <w:rPr>
          <w:i/>
        </w:rPr>
        <w:t>) +</w:t>
      </w:r>
    </w:p>
    <w:p>
      <w:pPr>
        <w:ind w:left="360"/>
      </w:pPr>
      <w:r>
        <w:rPr>
          <w:rFonts w:ascii="Consolas" w:hAnsi="Consolas"/>
          <w:i/>
          <w:sz w:val="18"/>
        </w:rPr>
        <w:t>src/aegis40/back_end/fuel_cycle.py</w:t>
      </w:r>
      <w:r>
        <w:rPr>
          <w:i/>
        </w:rPr>
        <w:t>; methodology per OECD-NEA (1994) and Ashley et al. (2014).</w:t>
      </w:r>
    </w:p>
    <w:p>
      <w:pPr>
        <w:pStyle w:val="Heading2"/>
      </w:pPr>
      <w:r>
        <w:t>8.12.1 Methodology</w:t>
      </w:r>
    </w:p>
    <w:p>
      <w:r>
        <w:t xml:space="preserve">The </w:t>
      </w:r>
      <w:r>
        <w:rPr>
          <w:b/>
        </w:rPr>
        <w:t>levelised cost of electricity (LCOE)</w:t>
      </w:r>
      <w:r>
        <w:t xml:space="preserve"> is the constant electricity price that, discounted over</w:t>
      </w:r>
    </w:p>
    <w:p>
      <w:r>
        <w:t>the plant life, recovers all discounted costs. With real discount rate *r* and life *N*:</w:t>
      </w:r>
    </w:p>
    <w:p>
      <w:r>
        <w:rPr>
          <w:rFonts w:ascii="Consolas" w:hAnsi="Consolas"/>
          <w:sz w:val="18"/>
        </w:rPr>
        <w:t>CRF  = r(1+r)^N / [(1+r)^N − 1]</w:t>
        <w:br/>
        <w:t>LCOE = [OCC·IDC·CRF + FixedO&amp;M] / (8760·CF) + VarO&amp;M + Fuel + Decommissioning     [$/MWh]</w:t>
      </w:r>
    </w:p>
    <w:p>
      <w:r>
        <w:t xml:space="preserve">The </w:t>
      </w:r>
      <w:r>
        <w:rPr>
          <w:b/>
        </w:rPr>
        <w:t>levelised fuel-cycle cost (LFCC)</w:t>
      </w:r>
      <w:r>
        <w:t xml:space="preserve"> follows the same discounted-cash-flow form (Ashley 2014 Eq. 3)</w:t>
      </w:r>
    </w:p>
    <w:p>
      <w:r>
        <w:t>summed over front-end (mining/conversion, enrichment, fabrication incl. Gd₂O₃/Er₂O₃) and back-end</w:t>
      </w:r>
    </w:p>
    <w:p>
      <w:r>
        <w:t>(interim storage, encapsulation, disposal) stages.</w:t>
      </w:r>
    </w:p>
    <w:p>
      <w:pPr>
        <w:pStyle w:val="Heading2"/>
      </w:pPr>
      <w:r>
        <w:t>8.12.2 Inputs (Tier-B [CONFIRM])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electric capacity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 MWe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Capacity factor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0.90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Economic life 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 yr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Real discount rate 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7 %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Construction duration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 yr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Overnight capital (OCC)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5 000 / </w:t>
            </w:r>
            <w:r>
              <w:rPr>
                <w:b/>
                <w:sz w:val="18"/>
              </w:rPr>
              <w:t>7 200</w:t>
            </w:r>
            <w:r>
              <w:rPr>
                <w:sz w:val="18"/>
              </w:rPr>
              <w:t xml:space="preserve"> / 10 500 $/kWe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Fixed O&amp;M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130 $/kWe·yr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Variable O&amp;M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3 $/MWh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Fuel (LFCC)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7.5 $/MWh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Decommissioning fund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700 $/kWe</w:t>
            </w:r>
          </w:p>
        </w:tc>
      </w:tr>
    </w:tbl>
    <w:p/>
    <w:p>
      <w:r>
        <w:t xml:space="preserve">The </w:t>
      </w:r>
      <w:r>
        <w:rPr>
          <w:b/>
        </w:rPr>
        <w:t>small-unit premium</w:t>
      </w:r>
      <w:r>
        <w:t xml:space="preserve"> is deliberate (fixed engineering/licensing/staffing over less capacity);</w:t>
      </w:r>
    </w:p>
    <w:p>
      <w:r>
        <w:t>offsetting SMR advantages — factory fabrication, shorter build, lower absolute capital-at-risk, and the</w:t>
      </w:r>
    </w:p>
    <w:p>
      <w:r>
        <w:t>SBF / natural-circulation simplification (fewer pumps, no boron-recovery plant) — appear in the shorter</w:t>
      </w:r>
    </w:p>
    <w:p>
      <w:r>
        <w:t>construction period and lower O&amp;M.</w:t>
      </w:r>
    </w:p>
    <w:p>
      <w:pPr>
        <w:pStyle w:val="Heading2"/>
      </w:pPr>
      <w:r>
        <w:t>8.12.3 Levelised fuel-cycle cost</w:t>
      </w:r>
    </w:p>
    <w:p>
      <w:r>
        <w:rPr>
          <w:b/>
        </w:rPr>
        <w:t>Once-through (open)</w:t>
      </w:r>
      <w:r>
        <w:t xml:space="preserve"> cycle, consistent with the §7 non-proliferation posture. With the high</w:t>
      </w:r>
    </w:p>
    <w:p>
      <w:r>
        <w:t>discharge burnup spreading the front-end mass cost over more energy than a 33 GWd/t LWR, the levelised</w:t>
      </w:r>
    </w:p>
    <w:p>
      <w:r>
        <w:t xml:space="preserve">fuel contribution is </w:t>
      </w:r>
      <w:r>
        <w:rPr>
          <w:b/>
        </w:rPr>
        <w:t>≈ 7.5 $/MWh</w:t>
      </w:r>
      <w:r>
        <w:t xml:space="preserve"> — a small share of LCOE, typical of once-through LWR cycles.</w:t>
      </w:r>
    </w:p>
    <w:p>
      <w:r>
        <w:t xml:space="preserve">(Stage-by-stage table from </w:t>
      </w:r>
      <w:r>
        <w:rPr>
          <w:rFonts w:ascii="Consolas" w:hAnsi="Consolas"/>
          <w:sz w:val="18"/>
        </w:rPr>
        <w:t>fuel_cycle.py</w:t>
      </w:r>
      <w:r>
        <w:t xml:space="preserve"> once the per-cycle enrichment/SWU is locked with §8.2.)</w:t>
      </w:r>
    </w:p>
    <w:p>
      <w:pPr>
        <w:pStyle w:val="Heading2"/>
      </w:pPr>
      <w:r>
        <w:t>8.12.4 LCOE result and sensitivity — Table 8.12-1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CAPEX scenario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OCC ($/kWe)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Capital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Fixed O&amp;M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Var O&amp;M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Fuel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Decom.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LCOE ($/MWh)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5 000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51.7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85.0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mid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7 200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74.5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16.5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3.0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7.5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6.3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107.8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10 500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108.6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141.9</w:t>
            </w:r>
          </w:p>
        </w:tc>
      </w:tr>
    </w:tbl>
    <w:p/>
    <w:p>
      <w:r>
        <w:rPr>
          <w:b/>
        </w:rPr>
        <w:t>Mid-case LCOE ≈ 108 $/MWh, of which capital is ~69 %.</w:t>
      </w:r>
      <w:r>
        <w:t xml:space="preserve"> Two conclusions: (1) LCOE is</w:t>
      </w:r>
    </w:p>
    <w:p>
      <w:r>
        <w:rPr>
          <w:b/>
        </w:rPr>
        <w:t>capital-dominated</w:t>
      </w:r>
      <w:r>
        <w:t xml:space="preserve"> — fuel (7 %) and O&amp;M (18 %) are secondary; the honest uncertainty band</w:t>
      </w:r>
    </w:p>
    <w:p>
      <w:r>
        <w:t>(85→142 $/MWh) is set by the ±FOAK CAPEX spread, not operating cost. (2) The levers that matter are</w:t>
      </w:r>
    </w:p>
    <w:p>
      <w:r>
        <w:t>capital ones — capacity factor, construction schedule, OCC; the SBF/natural-circulation simplification</w:t>
      </w:r>
    </w:p>
    <w:p>
      <w:r>
        <w:t>helps both OCC and O&amp;M, and a high CF from the long SBF cycle dilutes fixed charges.</w:t>
      </w:r>
    </w:p>
    <w:p>
      <w:pPr>
        <w:pStyle w:val="Heading2"/>
      </w:pPr>
      <w:r>
        <w:t>8.12.5 Comparison with reference reactors</w:t>
      </w:r>
    </w:p>
    <w:p>
      <w:r>
        <w:t>This places Aegis-40 in the expected FOAK-SMR range (90–150 $/MWh) — uncompetitive with GW-class</w:t>
      </w:r>
    </w:p>
    <w:p>
      <w:r>
        <w:t>nuclear on $/MWh alone, but that is the wrong comparison: the SMR value proposition is **dispatchable</w:t>
      </w:r>
    </w:p>
    <w:p>
      <w:r>
        <w:t>polygeneration** (electricity + the §8.9 district-heat / H₂ revenue streams, not captured in a</w:t>
      </w:r>
    </w:p>
    <w:p>
      <w:r>
        <w:t xml:space="preserve">single-product LCOE), </w:t>
      </w:r>
      <w:r>
        <w:rPr>
          <w:b/>
        </w:rPr>
        <w:t>grid-independent siting</w:t>
      </w:r>
      <w:r>
        <w:t xml:space="preserve">, and </w:t>
      </w:r>
      <w:r>
        <w:rPr>
          <w:b/>
        </w:rPr>
        <w:t>low absolute capital-at-risk</w:t>
      </w:r>
      <w:r>
        <w:t>. Against the</w:t>
      </w:r>
    </w:p>
    <w:p>
      <w:r>
        <w:t xml:space="preserve">SMR peer set, a weighted figure-of-merit ranks Aegis-40 a robust second (NuScale &gt; </w:t>
      </w:r>
      <w:r>
        <w:rPr>
          <w:b/>
        </w:rPr>
        <w:t>Aegis-40</w:t>
      </w:r>
      <w:r>
        <w:t xml:space="preserve"> &gt;</w:t>
      </w:r>
    </w:p>
    <w:p>
      <w:r>
        <w:t>CAREM-25 &gt; SMART), with the boron-free / high-burnup / low-waste-intensity attributes its</w:t>
      </w:r>
    </w:p>
    <w:p>
      <w:r>
        <w:t>differentiators. [CONFIRM — replace the literature CAPEX triangular with a bottom-up account once the</w:t>
      </w:r>
    </w:p>
    <w:p>
      <w:r>
        <w:t>§8.10 equipment list is fixed; add the cogeneration revenue credit and r = 5/10 % sensitivity rows.]</w:t>
      </w:r>
    </w:p>
    <w:p>
      <w:pPr>
        <w:pStyle w:val="Heading1"/>
      </w:pPr>
      <w:r>
        <w:t>8.13 Digital Appendix — Verification &amp; Validation (mandatory, spec p. 8)</w:t>
      </w:r>
    </w:p>
    <w:p>
      <w:r>
        <w:t xml:space="preserve">The competition requires, </w:t>
      </w:r>
      <w:r>
        <w:rPr>
          <w:b/>
        </w:rPr>
        <w:t>per code</w:t>
      </w:r>
      <w:r>
        <w:t>, one sample input file + an explanation of the</w:t>
      </w:r>
    </w:p>
    <w:p>
      <w:r>
        <w:t xml:space="preserve">case/approach/output </w:t>
      </w:r>
      <w:r>
        <w:rPr>
          <w:b/>
        </w:rPr>
        <w:t>and</w:t>
      </w:r>
      <w:r>
        <w:t xml:space="preserve"> reproducibility / benchmarking / repeatability evidence against</w:t>
      </w:r>
    </w:p>
    <w:p>
      <w:r>
        <w:t>IAEA / OECD-NEA data. The Aegis-40 strategy is **cite published V&amp;V of the open-source tools + run</w:t>
      </w:r>
    </w:p>
    <w:p>
      <w:r>
        <w:t>the design deck as the sample input + one cheap confirmatory benchmark per code**.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it answers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How shown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 someone rebuild our result from the inputs?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 built-in benchmark models + tracked sample decks + fixed library/chain versions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Repeatability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Does our result hold across reruns?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re-run with independent RNG seeds; agreement within Monte-Carlo 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Benchmarking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Does the code reproduce a known answer?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code-to-code (Serpent) + measured assay (SFCOMPO) + criticality arrays / IAPWS / ANS-5.1</w:t>
            </w:r>
          </w:p>
        </w:tc>
      </w:tr>
    </w:tbl>
    <w:p/>
    <w:p>
      <w:r>
        <w:rPr>
          <w:b/>
        </w:rPr>
        <w:t>Sample-input / V&amp;V index: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Code / capability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Confirmatory benchmark (cite + run)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OpenMC transport</w:t>
            </w:r>
            <w:r>
              <w:rPr>
                <w:sz w:val="18"/>
              </w:rPr>
              <w:t xml:space="preserve"> (§8.2)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openmc_model/sample_inputs/{geometry,materials,settings}.xml</w:t>
            </w:r>
            <w:r>
              <w:rPr>
                <w:sz w:val="18"/>
              </w:rPr>
              <w:t xml:space="preserve"> (37-FA core deck)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ICSBEP / C5G7 / BEAVRS (OECD-NEA / MIT-CRPG); </w:t>
            </w:r>
            <w:r>
              <w:rPr>
                <w:b/>
                <w:sz w:val="18"/>
              </w:rPr>
              <w:t>NuScale NPM design anchor</w:t>
            </w:r>
            <w:r>
              <w:rPr>
                <w:sz w:val="18"/>
              </w:rPr>
              <w:t xml:space="preserve"> — Tables 8.2-6/8.2-7; verification by Shannon-entropy + seed repeatability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deck ✅; benchmark cite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OpenMC depletion</w:t>
            </w:r>
            <w:r>
              <w:rPr>
                <w:sz w:val="18"/>
              </w:rPr>
              <w:t xml:space="preserve"> (§8.2/§8.11)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scripts/benchmark_depletion_pincell.py</w:t>
            </w:r>
            <w:r>
              <w:rPr>
                <w:sz w:val="18"/>
              </w:rPr>
              <w:t xml:space="preserve"> (BEAVRS 2.4 % pincell → 31 MWd/kg)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Romano 2021 §3.2: OpenMC–Serpent k 20–30 pcm, actinides/FPs &lt; 1 %; inputs verified vs </w:t>
            </w:r>
            <w:r>
              <w:rPr>
                <w:b/>
                <w:sz w:val="18"/>
              </w:rPr>
              <w:t>BEAVRS v2.0.2 spec &lt; 0.05 %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✅ run</w:t>
            </w:r>
            <w:r>
              <w:rPr>
                <w:sz w:val="18"/>
              </w:rPr>
              <w:t xml:space="preserve"> — k(BU)+isotopics, σ 76–95 pcm (</w:t>
            </w:r>
            <w:r>
              <w:rPr>
                <w:rFonts w:ascii="Consolas" w:hAnsi="Consolas"/>
                <w:sz w:val="18"/>
              </w:rPr>
              <w:t>digital-appendix/pincell_run_10k/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OpenMC criticality — design-anchor benchmark</w:t>
            </w:r>
            <w:r>
              <w:rPr>
                <w:sz w:val="18"/>
              </w:rPr>
              <w:t xml:space="preserve"> (§8.2)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NuScale-like core deck (Fridman, RODARE 2457; Ez-Aldeen, Zenodo 15231335), ENDF/B-VII.1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6 control-rod states</w:t>
            </w:r>
            <w:r>
              <w:rPr>
                <w:sz w:val="18"/>
              </w:rPr>
              <w:t xml:space="preserve"> (ARO/RE1/RE2/SH3/SH4/SCRAM) k_eff + rod worths vs </w:t>
            </w:r>
            <w:r>
              <w:rPr>
                <w:b/>
                <w:sz w:val="18"/>
              </w:rPr>
              <w:t>Serpent reference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✅ full Table-3: k_eff within −80…+58 pcm; control-rod worths within ~0.5–3 % (incl. −19,255 pcm SCRAM)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digital-appendix/nuscale_benchmark/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OpenMC shielding — fixed source</w:t>
            </w:r>
            <w:r>
              <w:rPr>
                <w:sz w:val="18"/>
              </w:rPr>
              <w:t xml:space="preserve"> (§8.8)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openmc_model/rev7_shielding/</w:t>
            </w:r>
            <w:r>
              <w:rPr>
                <w:sz w:val="18"/>
              </w:rPr>
              <w:t xml:space="preserve"> (coupled n+γ, MAGIC weight windows)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dose &lt; 10 µSv/h; RPV fast fluence vs PTS screen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✅ run</w:t>
            </w:r>
            <w:r>
              <w:rPr>
                <w:sz w:val="18"/>
              </w:rPr>
              <w:t xml:space="preserve"> — PASS; RPV 60-yr fluence 7.0×10¹⁷ ≪ 10¹⁹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OpenMC criticality (storage)</w:t>
            </w:r>
            <w:r>
              <w:rPr>
                <w:sz w:val="18"/>
              </w:rPr>
              <w:t xml:space="preserve"> (§8.11)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scripts/run_storage_criticality.py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benchmark_takahama_pincell.py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OECD-NEA Burnup-Credit Phase II; </w:t>
            </w:r>
            <w:r>
              <w:rPr>
                <w:b/>
                <w:sz w:val="18"/>
              </w:rPr>
              <w:t>Takahama-3 PIE / SFCOMPO</w:t>
            </w:r>
            <w:r>
              <w:rPr>
                <w:sz w:val="18"/>
              </w:rPr>
              <w:t xml:space="preserve"> (NEA/NSC/DOC(2013)1) → Δ_bias/Δ_unc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Takahama deck set up; run pending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Thermal-hydraulics — conjugate CFD</w:t>
            </w:r>
            <w:r>
              <w:rPr>
                <w:sz w:val="18"/>
              </w:rPr>
              <w:t xml:space="preserve"> (§8.4)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OpenFOAM </w:t>
            </w:r>
            <w:r>
              <w:rPr>
                <w:rFonts w:ascii="Consolas" w:hAnsi="Consolas"/>
                <w:sz w:val="18"/>
              </w:rPr>
              <w:t>chtMultiRegionFoam</w:t>
            </w:r>
            <w:r>
              <w:rPr>
                <w:sz w:val="18"/>
              </w:rPr>
              <w:t xml:space="preserve"> v2412 case (</w:t>
            </w:r>
            <w:r>
              <w:rPr>
                <w:rFonts w:ascii="Consolas" w:hAnsi="Consolas"/>
                <w:sz w:val="18"/>
              </w:rPr>
              <w:t>pin/</w:t>
            </w:r>
            <w:r>
              <w:rPr>
                <w:sz w:val="18"/>
              </w:rPr>
              <w:t>, +</w:t>
            </w:r>
            <w:r>
              <w:rPr>
                <w:rFonts w:ascii="Consolas" w:hAnsi="Consolas"/>
                <w:sz w:val="18"/>
              </w:rPr>
              <w:t>pin_coarse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pin_fine</w:t>
            </w:r>
            <w:r>
              <w:rPr>
                <w:sz w:val="18"/>
              </w:rPr>
              <w:t xml:space="preserve"> for GCI) + W-3/Jens-Lottes post-processor (</w:t>
            </w:r>
            <w:r>
              <w:rPr>
                <w:rFonts w:ascii="Consolas" w:hAnsi="Consolas"/>
                <w:sz w:val="18"/>
              </w:rPr>
              <w:t>tools/mdnbr.py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natcirc.py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thermal_stack.py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ASME V&amp;V-20 GCI</w:t>
            </w:r>
            <w:r>
              <w:rPr>
                <w:sz w:val="18"/>
              </w:rPr>
              <w:t xml:space="preserve"> (3 meshes, GCI &lt; 0.15 %) + </w:t>
            </w:r>
            <w:r>
              <w:rPr>
                <w:b/>
                <w:sz w:val="18"/>
              </w:rPr>
              <w:t>energy-conservation gate</w:t>
            </w:r>
            <w:r>
              <w:rPr>
                <w:sz w:val="18"/>
              </w:rPr>
              <w:t xml:space="preserve"> (×1.00) + CFD↔correlation &lt; 7 K; validated vs </w:t>
            </w:r>
            <w:r>
              <w:rPr>
                <w:b/>
                <w:sz w:val="18"/>
              </w:rPr>
              <w:t>NuScale NPM-160</w:t>
            </w:r>
            <w:r>
              <w:rPr>
                <w:sz w:val="18"/>
              </w:rPr>
              <w:t>; CHF vs OECD-NEA PSBT; decay heat ANS-5.1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✅ run &amp; validated</w:t>
            </w:r>
            <w:r>
              <w:rPr>
                <w:sz w:val="18"/>
              </w:rPr>
              <w:t xml:space="preserve"> (Adilbek 2026)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Fuel performance</w:t>
            </w:r>
            <w:r>
              <w:rPr>
                <w:sz w:val="18"/>
              </w:rPr>
              <w:t xml:space="preserve"> (§8.3)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1-D conduction stack (optional FRAPCON case)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OECD-NEA IFPE / Halden instrumented rod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cite; run if FRAPCON used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Energy cycle</w:t>
            </w:r>
            <w:r>
              <w:rPr>
                <w:sz w:val="18"/>
              </w:rPr>
              <w:t xml:space="preserve"> (§8.9)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scripts/thermo_cycle.py</w:t>
            </w:r>
            <w:r>
              <w:rPr>
                <w:sz w:val="18"/>
              </w:rPr>
              <w:t xml:space="preserve"> (IAPWS-IF97 deck)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IAPWS-IF97 reference standard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Back-end physics</w:t>
            </w:r>
            <w:r>
              <w:rPr>
                <w:sz w:val="18"/>
              </w:rPr>
              <w:t xml:space="preserve"> (§8.11)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src/aegis40/back_end/</w:t>
            </w:r>
            <w:r>
              <w:rPr>
                <w:sz w:val="18"/>
              </w:rPr>
              <w:t xml:space="preserve"> (15/15 unit tests)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ANSI/ANS-5.1 decay-heat standard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Economics</w:t>
            </w:r>
            <w:r>
              <w:rPr>
                <w:sz w:val="18"/>
              </w:rPr>
              <w:t xml:space="preserve"> (§8.12)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scripts/economics_lcoe.py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OECD-NEA/IEA *Projected Costs* methodology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cite</w:t>
            </w:r>
          </w:p>
        </w:tc>
      </w:tr>
    </w:tbl>
    <w:p/>
    <w:p>
      <w:r>
        <w:t>Established open-source codes (ICSBEP, C5G7, BEAVRS, IFPE, ANS-5.1, IAPWS-IF97) are **cited published</w:t>
      </w:r>
    </w:p>
    <w:p>
      <w:r>
        <w:t>validation**, not work we reproduce — standard, accepted practice. Detailed plan:</w:t>
      </w:r>
    </w:p>
    <w:p>
      <w:r>
        <w:rPr>
          <w:rFonts w:ascii="Consolas" w:hAnsi="Consolas"/>
          <w:sz w:val="18"/>
        </w:rPr>
        <w:t>digital-appendix-vv-plan.md</w:t>
      </w:r>
      <w:r>
        <w:t xml:space="preserve">, </w:t>
      </w:r>
      <w:r>
        <w:rPr>
          <w:rFonts w:ascii="Consolas" w:hAnsi="Consolas"/>
          <w:sz w:val="18"/>
        </w:rPr>
        <w:t>code-benchmark-matrix.md</w:t>
      </w:r>
      <w:r>
        <w:t>.</w:t>
      </w:r>
    </w:p>
    <w:p>
      <w:pPr>
        <w:pStyle w:val="Heading1"/>
      </w:pPr>
      <w:r>
        <w:t>Design basis and parameter provenance</w:t>
      </w:r>
    </w:p>
    <w:p>
      <w:r>
        <w:t xml:space="preserve">Every headline figure in this FER carries a </w:t>
      </w:r>
      <w:r>
        <w:rPr>
          <w:b/>
        </w:rPr>
        <w:t>basis class</w:t>
      </w:r>
      <w:r>
        <w:t xml:space="preserve"> so a reviewer can trace it to a physical</w:t>
      </w:r>
    </w:p>
    <w:p>
      <w:r>
        <w:t>derivation, a licensed reference design, a code/standard, an explicit assumption, or a pending</w:t>
      </w:r>
    </w:p>
    <w:p>
      <w:r>
        <w:t>analysis — no number is "free-floating." Classes: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[D] Derived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computed from other design parameters by a stated equation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[R] Reference-anchored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taken or scaled from a named licensed/operating design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[S] Standard / limit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fixed by a code, regulation, or material property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[A] Assumption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engineering judgment for this design stage, flagged for confirmation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[P] Pending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awaits an OpenMC / T-H / OEM result (marked ⏳ in the body)</w:t>
            </w:r>
          </w:p>
        </w:tc>
      </w:tr>
    </w:tbl>
    <w:p/>
    <w:p>
      <w:r>
        <w:t>This table is being populated across §8.1–§8.12; the energy-conversion / TCES-charging (§8.9) and the</w:t>
      </w:r>
    </w:p>
    <w:p>
      <w:r>
        <w:t>thermal-hydraulic (§8.4, conjugate CFD) parameters are entered first.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Basis / reasoning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§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Thermal power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125 MWth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[A]→[R]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SMR-class target bracketing CAREM-25 (100 MWth) and the NuScale 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Net electric output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40.0 MWe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= 125 MWth × η (η from §8.9 cycle balance)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Net cycle efficiency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31.8 %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regenerative Rankine state-point balance, IAPWS-IF97 (</w:t>
            </w:r>
            <w:r>
              <w:rPr>
                <w:rFonts w:ascii="Consolas" w:hAnsi="Consolas"/>
                <w:sz w:val="18"/>
              </w:rPr>
              <w:t>thermo_cycle.py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Live-steam conditions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 MPa, 296 °C, 57.8 kg/s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OTSG energy balance at 125 MWth with pinch limit (§8.9.4)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Condenser pressure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 kPa (39 °C)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[R]/[S]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once-through seawater sink at Sinop; saturation per IAPWS-IF97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Turbine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controlled-extraction condensing, tandem-compound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[R]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district-heating CHP practice; supports regulated charge extraction (§8.9.6)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TCES charge tap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HP-extraction 1.0 MPa, ~180 °C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exergy-matched to ~150 °C DH product; keeps HP stages loaded (§8.9.6)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Charge-loop temperature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~168 °C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IHX pinch below 180 °C extraction; drives endothermic regeneration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Charge penalty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0.31 MWe per MWth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lost LP work of diverted extraction steam (</w:t>
            </w:r>
            <w:r>
              <w:rPr>
                <w:rFonts w:ascii="Consolas" w:hAnsi="Consolas"/>
                <w:sz w:val="18"/>
              </w:rPr>
              <w:t>tces_dh_balance.py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Net output while charging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35.6 MWe (≈ −11 %)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40.0 − 4.4 MWe; bounded LP-side swing, turbine stays hot/synchronised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Turbine cyclic-life basis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OEM cycle allowance over 60 yr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[P]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shallow hot load cycles ≪ start-stop LCF; OEM datasheet to confirm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DH supply / return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 / 45 °C, 133 kg/s, ≤ 25 MWth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[R]/[A]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typical low-temperature DH network; sized with layout 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Store medium (baseline)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zeolite-13X / H₂O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[R]/[A]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demonstrated DH store; water-only safety case on a nuclear site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Electrolyser block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MWe PEM, ~50 kWh/kg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[R]/[A]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off-peak electric charging — </w:t>
            </w:r>
            <w:r>
              <w:rPr>
                <w:b/>
                <w:sz w:val="18"/>
              </w:rPr>
              <w:t>zero</w:t>
            </w:r>
            <w:r>
              <w:rPr>
                <w:sz w:val="18"/>
              </w:rPr>
              <w:t xml:space="preserve"> turbine-flow impact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Primary mass 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467 kg/s (G 543)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= 125 MWth /(c_p·ΔT), c_p 5.35 kJ/kg·K @ 283 °C (IAPWS-IF97)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8.1/8.4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Coolant c_p @ 283 °C/12.8 MPa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5.35 kJ/kg·K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[S]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IAPWS-IF97 water property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Riser thermal height H_tc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≈ 4.0 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buoyancy balance ṁ=[2ρ²A²gH_tc βP/(c_p K_tot)]^⅓, K_form 12; sweep Table 8.4-1a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Primary driving head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≈ 3.67 kPa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Δρ·g·H_tc, Δρ 93.6 kg/m³ at 4.0 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Integral vessel height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≈ 10 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[D]/[R]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elevation budget Table 8.4-1b; ½ NuScale (17.7 m) riser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8.4/8.10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Peak fuel centerline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734 °C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conjugate CFD </w:t>
            </w:r>
            <w:r>
              <w:rPr>
                <w:rFonts w:ascii="Consolas" w:hAnsi="Consolas"/>
                <w:sz w:val="18"/>
              </w:rPr>
              <w:t>chtMultiRegionFoam</w:t>
            </w:r>
            <w:r>
              <w:rPr>
                <w:sz w:val="18"/>
              </w:rPr>
              <w:t xml:space="preserve"> at q′_peak 12.8 kW/m (stack &lt; 1 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8.3/8.4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Peak clad temp (PCT, steady)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349 °C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Jens-Lottes subcooled-boiling-clamped film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MDNBR (hot pin)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1.56 (≈1.4 at F_ΔH 1.746)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[D]/[P]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W-3 CHF + Tong F-factor; </w:t>
            </w:r>
            <w:r>
              <w:rPr>
                <w:b/>
                <w:sz w:val="18"/>
              </w:rPr>
              <w:t>conservative</w:t>
            </w:r>
            <w:r>
              <w:rPr>
                <w:sz w:val="18"/>
              </w:rPr>
              <w:t xml:space="preserve"> below W-3 range (G 543 &lt; 1356)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Peaking (T-H input)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F_q 2.00 / F_ΔH 1.55 / F_z 1.29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[A]/[P]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 targets (limits 2.32/1.65); OpenMC STAT_FINAL 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8.2/8.4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CFD 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GCI &lt; 0.15 %; energy ×1.00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ASME V&amp;V-20, 3-mesh Richardson + conservation 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8.4/8.13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Toolchain validation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vs NuScale NPM-160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[R]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companion V&amp;V report; same 37-FA/9768-pin/2.0 m core geometry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8.4/8.13</w:t>
            </w:r>
          </w:p>
        </w:tc>
      </w:tr>
    </w:tbl>
    <w:p/>
    <w:p>
      <w:pPr>
        <w:pStyle w:val="Heading1"/>
      </w:pPr>
      <w:r>
        <w:t>Requirements coverage matrix (every §8 requirement → where addressed / why not)</w:t>
      </w:r>
    </w:p>
    <w:p>
      <w:r>
        <w:t>Legend: ✅ fully addressed · 🟡 addressed, with a tracked pending item · ⏳ addressed, neutronic value</w:t>
      </w:r>
    </w:p>
    <w:p>
      <w:r>
        <w:t>pending the 37-FA STAT_FINAL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Requirement (paraphrased from the spec)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Where addressed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Tables of technical specs (qty, material, dims, standards) for key components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§8.1, §8.2.2, §8.4.5, §8.3.6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sample input per code + V&amp;V (reproducibility/benchmarking/repeatability) vs IAEA/OECD-NEA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🟡 (confirmatory runs scheduled in WSL)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Preparation-phase docs prior to detailed design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§8.1.6 + Table 8.1-6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Codes &amp; standards for all systems/components/materials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§8.1.7 Table 8.1-7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General design parameters (Table-1 style)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§8.1.1–8.1.5 Tables 8.1-1…5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 regulatory / nuclear-safety requirements 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§8.1.8 Table 8.1-8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Material selection + behaviour under neutron flux &amp; temperature (SS/transient/accident)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Geometry &amp; layout: quantities, dimensions, modelling parameters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§8.2.2 + figures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Neutronics: criticality, flux/burnup distribution, feedback coeffs, reactivity-control values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§8.2.3 Tables 8.2-3/5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Composition &amp; locations of all core components (tables + drawings)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§8.2.2 Table 8.2-2 + Figs 8.2-1/2/3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Conformity of safety criteria with national/international regs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§8.2.3 compliance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Analyses initial-cycle → equilibrium-cycle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§8.2.3 "BOC→equilibrium"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🟡 (bounding arg.; equilibrium shuffle next)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Steady-state thermal-hydraulics: T-distributions, ΔP, T-H params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§8.2.4 + §8.4.6 (37-FA conjugate CFD, GCI-verified)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(final-peaking MDNBR re-run is the only 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Fuel-performance &amp; fuel-safety analyses/calculations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§8.3.2–8.3.4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(centerline/FGR/clad)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Front-end fuel-cycle structural-material specs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General description of primary &amp; secondary cooling systems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§8.4.1–8.4.3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Component functions/specs/capacities/performance + material compliance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§8.4.5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Heat-removal capacity by accepted methods; operating conditions defined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§8.4.6–8.4.7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Anticipated transients, criticality accidents, DBA scenarios stated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§8.5.1 + 8.6.3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🟡 (MSLB/SBLOCA trees pending)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Modelling/analysis results for those scenarios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§8.6.3 (LOHS, SBO)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Operating-limit conditions + the calculations that set them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§8.5.2 Table 8.5-1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Safety maintained in worst-case; reactivity/cooling/FP-release under all conditions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§8.5.1a, §8.5.3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safety-function systems described + functions (RPS, HRS, ECCS, containment, etc.)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§8.6.1–8.6.2a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Auto-initiation; fuel-design-limit protection; accident 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§8.6.2, §8.7.2/8.7.3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Fail-safe transition on loss of power/air/adverse environment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§8.6.2 (de-energise-to-actuate)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Reactivity-control limits protect RCPB &amp; core support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§8.5.2 + §8.6.1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Fault trees &amp; event trees; redundancy &amp; necessity analyses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§8.6.3–8.6.4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🟡 (CDF/LRF partial)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Schematic diagrams: monitored variables → protective action logic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§8.7.2 + Fig 8.7-1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I&amp;C architecture, components, subsystems, block/logic/flow diagrams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§8.7.1 + Fig 8.7-1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Sensors/detectors + real-time HW/SW; HMI &amp; secure comms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§8.7.1–8.7.6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 criteria/principles: redundancy, diversity, separation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§8.7.2–8.7.4, 8.7.7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MCR ergonomically designed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§8.7.5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auxiliary systems by sub-heading (purpose/principle/layout/safety/perf/maint.) + P&amp;IDs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§8.8 table + 8.8.9/8.8.10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🟡 (per-system P&amp;IDs in drawing pass)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On-/off-site electrical incl. emergency &amp; UPS, with drawings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§8.8.10 (item 4/5)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🟡 (single-line in drawing pass)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Energy-conversion design + flow diagrams (electricity)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§8.9.1–8.9.4 + Figs 8.9-1/2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Non-electric integrations (H₂, desalination, district heat, process heat) + analyses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§8.9.5 (TCES DH), §8.9.6 (H₂)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(desalination noted as a process-heat option)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Optimum general layout (constructability/economy/safety/operations)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General layout incl. reactor/energy-conversion/O&amp;M/other buildings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§8.10.2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2D/3D plans + connections; structural/steel/weight/structural-requirement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§8.10.5 + </w:t>
            </w:r>
            <w:r>
              <w:rPr>
                <w:rFonts w:ascii="Consolas" w:hAnsi="Consolas"/>
                <w:sz w:val="18"/>
              </w:rPr>
              <w:t>layout/building_list.md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🟡 (CAD assets held locally)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Critical-piping routing within/between structures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§8.10.4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Innovative fuel-cycle waste minimisation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 (intensity re-gen with 37-FA BU)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Back-end management plan (per §4.3.2: source term, decay heat, storage criticality)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§8.11.2–8.11.4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Conformity of results with regulations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§8.11.4 (k(95/95)), §8.11.5 (GSR Part 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Secondary radioactive-waste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§8.11.5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Economic advantages vs reference reactors; investment/operating/production costs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§8.12.1–8.12.5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🟡 (bottom-up CAPEX + cogen credit pending)</w:t>
            </w:r>
          </w:p>
        </w:tc>
      </w:tr>
    </w:tbl>
    <w:p/>
    <w:p>
      <w:r>
        <w:rPr>
          <w:b/>
        </w:rPr>
        <w:t>Items we could not fully close, with the reason and the citation basis:</w:t>
      </w:r>
    </w:p>
    <w:p>
      <w:pPr>
        <w:pStyle w:val="ListNumber"/>
      </w:pPr>
      <w:r>
        <w:t>**37-FA neutronic results (k_eff, burnup, cycle, peaking, coefficients, rod worth, SDM,</w:t>
      </w:r>
    </w:p>
    <w:p>
      <w:r>
        <w:t>inventory).** Reason: the STAT_FINAL OpenMC depletion run is in progress (multi-day in WSL). We</w:t>
      </w:r>
    </w:p>
    <w:p>
      <w:r>
        <w:t>present the validated 21-FA predecessor values as a conservative reference and the latest 37-FA</w:t>
      </w:r>
    </w:p>
    <w:p>
      <w:r>
        <w:t>partial peaking (F_ΔH 1.746, F_q ≈ 2.03). Basis: OpenMC 0.15.3 + ENDF/B-VIII.0, benchmarked per</w:t>
      </w:r>
    </w:p>
    <w:p>
      <w:r>
        <w:t>§8.13 (Romano et al. 2015/2021; ICSBEP/BEAVRS).</w:t>
      </w:r>
    </w:p>
    <w:p>
      <w:pPr>
        <w:pStyle w:val="ListNumber"/>
      </w:pPr>
      <w:r>
        <w:rPr>
          <w:b/>
        </w:rPr>
        <w:t>Steady-state hot-channel T-H — now CLOSED (37-FA conjugate CFD, Adilbek 2026).</w:t>
      </w:r>
      <w:r>
        <w:t xml:space="preserve"> MDNBR </w:t>
      </w:r>
      <w:r>
        <w:rPr>
          <w:b/>
        </w:rPr>
        <w:t>1.56</w:t>
      </w:r>
      <w:r>
        <w:t>,</w:t>
      </w:r>
    </w:p>
    <w:p>
      <w:r>
        <w:t xml:space="preserve">steady PCT </w:t>
      </w:r>
      <w:r>
        <w:rPr>
          <w:b/>
        </w:rPr>
        <w:t>349 °C</w:t>
      </w:r>
      <w:r>
        <w:t xml:space="preserve">, peak fuel centerline </w:t>
      </w:r>
      <w:r>
        <w:rPr>
          <w:b/>
        </w:rPr>
        <w:t>734 °C</w:t>
      </w:r>
      <w:r>
        <w:t>, verified by ASME V&amp;V-20 grid convergence</w:t>
      </w:r>
    </w:p>
    <w:p>
      <w:r>
        <w:t>(GCI &lt; 0.15 %) + energy-conservation gate + &lt; 7 K CFD-vs-correlation agreement, toolchain validated</w:t>
      </w:r>
    </w:p>
    <w:p>
      <w:r>
        <w:t xml:space="preserve">vs NuScale NPM-160 (§8.4.6, §8.13). </w:t>
      </w:r>
      <w:r>
        <w:rPr>
          <w:b/>
        </w:rPr>
        <w:t>Still open:</w:t>
      </w:r>
      <w:r>
        <w:t xml:space="preserve"> (a) MDNBR re-run on the *final* per-pin peaking</w:t>
      </w:r>
    </w:p>
    <w:p>
      <w:r>
        <w:t xml:space="preserve">(≈ 1.4 at the partial F_ΔH 1.746 — still PASS); (b) the </w:t>
      </w:r>
      <w:r>
        <w:rPr>
          <w:b/>
        </w:rPr>
        <w:t>LOCA-transient</w:t>
      </w:r>
      <w:r>
        <w:t xml:space="preserve"> PCT / clad-oxidation /</w:t>
      </w:r>
    </w:p>
    <w:p>
      <w:r>
        <w:t>ECR envelope (accident, not steady) gated by the DBA analysis. Basis: Tong W-3 + Jens-Lottes;</w:t>
      </w:r>
    </w:p>
    <w:p>
      <w:r>
        <w:t>ANS-5.1; OECD-NEA PSBT.</w:t>
      </w:r>
    </w:p>
    <w:p>
      <w:pPr>
        <w:pStyle w:val="ListNumber"/>
      </w:pPr>
      <w:r>
        <w:rPr>
          <w:b/>
        </w:rPr>
        <w:t>Containment design pressure / P-T response.</w:t>
      </w:r>
      <w:r>
        <w:t xml:space="preserve"> Reason: the containment concept (dry vs</w:t>
      </w:r>
    </w:p>
    <w:p>
      <w:r>
        <w:t>submerged-pool) is an open team decision; the P/T accident response sets the design pressure</w:t>
      </w:r>
    </w:p>
    <w:p>
      <w:r>
        <w:t>(O3/O4). Written against the 0.414 MPa dry baseline. Basis: SSR-2/1 Req. 56.</w:t>
      </w:r>
    </w:p>
    <w:p>
      <w:pPr>
        <w:pStyle w:val="ListNumber"/>
      </w:pPr>
      <w:r>
        <w:rPr>
          <w:b/>
        </w:rPr>
        <w:t>Full DBA spectrum to event-tree depth (MSLB, SBLOCA) and a quantitative plant CDF/LRF.</w:t>
      </w:r>
      <w:r>
        <w:t xml:space="preserve"> Reason:</w:t>
      </w:r>
    </w:p>
    <w:p>
      <w:r>
        <w:t>two initiators (LOHS, SBO) are analysed; the remainder are identified and screened (a full PSA is</w:t>
      </w:r>
    </w:p>
    <w:p>
      <w:r>
        <w:t xml:space="preserve">beyond FER scope). CDF/LRF are stated as </w:t>
      </w:r>
      <w:r>
        <w:rPr>
          <w:b/>
        </w:rPr>
        <w:t>projected class targets</w:t>
      </w:r>
      <w:r>
        <w:t xml:space="preserve"> consistent with the passive-SMR</w:t>
      </w:r>
    </w:p>
    <w:p>
      <w:r>
        <w:t>class, not computed PSA. Basis: IAEA SSG-3/4; NUREG-0800 Ch. 15; RG 1.174.</w:t>
      </w:r>
    </w:p>
    <w:p>
      <w:pPr>
        <w:pStyle w:val="ListNumber"/>
      </w:pPr>
      <w:r>
        <w:t>**Tritium permeation budget at the H₂ interface; Sinop coastal-hazard study; SKKY thermal-discharge</w:t>
      </w:r>
    </w:p>
    <w:p>
      <w:r>
        <w:t>clause; EPZ dose basis.** Reason: site/interface analyses identified but not yet performed (O7–O11).</w:t>
      </w:r>
    </w:p>
    <w:p>
      <w:r>
        <w:t>Basis: SSR-1/SSG-9; Turkish SKKY; 10 CFR 100.11.</w:t>
      </w:r>
    </w:p>
    <w:p>
      <w:pPr>
        <w:pStyle w:val="ListNumber"/>
      </w:pPr>
      <w:r>
        <w:rPr>
          <w:b/>
        </w:rPr>
        <w:t>Bottom-up CAPEX and cogeneration revenue credit (§8.12).</w:t>
      </w:r>
      <w:r>
        <w:t xml:space="preserve"> Reason: requires the frozen §8.10</w:t>
      </w:r>
    </w:p>
    <w:p>
      <w:r>
        <w:t>equipment list; the literature FOAK triangular is used in the interim. Basis: OECD-NEA (1994);</w:t>
      </w:r>
    </w:p>
    <w:p>
      <w:r>
        <w:t>Ashley et al. (2014); IEA/NEA *Projected Costs* (2020).</w:t>
      </w:r>
    </w:p>
    <w:p>
      <w:pPr>
        <w:pStyle w:val="ListNumber"/>
      </w:pPr>
      <w:r>
        <w:rPr>
          <w:b/>
        </w:rPr>
        <w:t>Seawater desalination</w:t>
      </w:r>
      <w:r>
        <w:t xml:space="preserve"> is named in the spec's §8.9 examples; Aegis-40's chosen non-electric</w:t>
      </w:r>
    </w:p>
    <w:p>
      <w:r>
        <w:t xml:space="preserve">products are </w:t>
      </w:r>
      <w:r>
        <w:rPr>
          <w:b/>
        </w:rPr>
        <w:t>district heat (TCES) + hydrogen</w:t>
      </w:r>
      <w:r>
        <w:t>, with desalination available as an alternative</w:t>
      </w:r>
    </w:p>
    <w:p>
      <w:r>
        <w:t>process-heat off-take from the same intermediate loop (not separately analysed). This is a design</w:t>
      </w:r>
    </w:p>
    <w:p>
      <w:r>
        <w:t>choice, not an omission.</w:t>
      </w:r>
    </w:p>
    <w:p>
      <w:pPr>
        <w:pStyle w:val="Heading2"/>
      </w:pPr>
      <w:r>
        <w:t>Consolidated reference list</w:t>
      </w:r>
    </w:p>
    <w:p>
      <w:r>
        <w:t>The per-section reference lists (codes/methods/data; SBF &amp; burnable-absorber precedents; materials &amp;</w:t>
      </w:r>
    </w:p>
    <w:p>
      <w:r>
        <w:t>fuel performance; regulatory; T-H; energy cycle; waste; economics; non-proliferation) are retained in</w:t>
      </w:r>
    </w:p>
    <w:p>
      <w:r>
        <w:t>the archived section drafts (</w:t>
      </w:r>
      <w:r>
        <w:rPr>
          <w:rFonts w:ascii="Consolas" w:hAnsi="Consolas"/>
          <w:sz w:val="18"/>
        </w:rPr>
        <w:t>fer/archive/</w:t>
      </w:r>
      <w:r>
        <w:t>) and are to be merged into the single FER reference list</w:t>
      </w:r>
    </w:p>
    <w:p>
      <w:r>
        <w:t>at assembly time. Principal anchors:</w:t>
      </w:r>
    </w:p>
    <w:p>
      <w:pPr>
        <w:pStyle w:val="ListBullet"/>
      </w:pPr>
      <w:r>
        <w:rPr>
          <w:b/>
        </w:rPr>
        <w:t>Codes/data:</w:t>
      </w:r>
      <w:r>
        <w:t xml:space="preserve"> Romano &amp; Forget, *Ann. Nucl. Energy* 51 (2013) 274; Romano et al., *Ann. Nucl.</w:t>
      </w:r>
    </w:p>
    <w:p>
      <w:r>
        <w:t>Energy* 82 (2015) 90 &amp; 152 (2021) 107989; Brown et al., *Nucl. Data Sheets* 148 (2018) 1</w:t>
      </w:r>
    </w:p>
    <w:p>
      <w:r>
        <w:t>(ENDF/B-VIII.0); IAPWS-IF97; ANSI/ANS-5.1; ANSI/ANS-6.4; ICRP-116.</w:t>
      </w:r>
    </w:p>
    <w:p>
      <w:pPr>
        <w:pStyle w:val="ListBullet"/>
      </w:pPr>
      <w:r>
        <w:rPr>
          <w:b/>
        </w:rPr>
        <w:t>SBF / burnable absorber:</w:t>
      </w:r>
      <w:r>
        <w:t xml:space="preserve"> Kim, Jung &amp; Yoon, *Nucl. Eng. Tech.* 56 (2024) 3144; Jang et al. (2020)</w:t>
      </w:r>
    </w:p>
    <w:p>
      <w:r>
        <w:t>SBF-SMPWR; CAREM-25 (IAEA ARIS); KEPCO i-SMR/HIGA; Nguyen &amp; Kim (ATOM); Akbari-Jeyhouni et al.</w:t>
      </w:r>
    </w:p>
    <w:p>
      <w:r>
        <w:t>(SMART, *Ann. Nucl. Energy* 2018); PRATIC (*EPJ-N* 2024).</w:t>
      </w:r>
    </w:p>
    <w:p>
      <w:pPr>
        <w:pStyle w:val="ListBullet"/>
      </w:pPr>
      <w:r>
        <w:rPr>
          <w:b/>
        </w:rPr>
        <w:t>Reference reactors:</w:t>
      </w:r>
      <w:r>
        <w:t xml:space="preserve"> NuScale FSAR Ch. 4 (37-FA 17×17 iPWR benchmark); RITM-200 (Gaganov);</w:t>
      </w:r>
    </w:p>
    <w:p>
      <w:r>
        <w:t>CAREM-25; SMART.</w:t>
      </w:r>
    </w:p>
    <w:p>
      <w:pPr>
        <w:pStyle w:val="ListBullet"/>
      </w:pPr>
      <w:r>
        <w:rPr>
          <w:b/>
        </w:rPr>
        <w:t>T-H / cycle:</w:t>
      </w:r>
      <w:r>
        <w:t xml:space="preserve"> Todreas &amp; Kazimi *Nuclear Systems I*; Tong *Boiling Heat Transfer*; El-Wakil</w:t>
      </w:r>
    </w:p>
    <w:p>
      <w:r>
        <w:t>*Powerplant Technology*; Çengel &amp; Boles; Frick et al. INL TES; Yan et al. *Appl. Therm. Eng.* 167</w:t>
      </w:r>
    </w:p>
    <w:p>
      <w:r>
        <w:t>(2020) 114800; Hauer (zeolite TES); Oğul et al. (2026).</w:t>
      </w:r>
    </w:p>
    <w:p>
      <w:pPr>
        <w:pStyle w:val="ListBullet"/>
      </w:pPr>
      <w:r>
        <w:rPr>
          <w:b/>
        </w:rPr>
        <w:t>Regulatory:</w:t>
      </w:r>
      <w:r>
        <w:t xml:space="preserve"> IAEA SSR-1, SSR-2/1 Rev.1, SSG-2/3/4/9/39/52, GSR Part 4/5, TECDOC-1936; US NRC</w:t>
      </w:r>
    </w:p>
    <w:p>
      <w:r>
        <w:t>10 CFR 50 App. A (GDC), 50.46, 50.62, 50.68, 100.11, 73.54, NUREG-0800/0700/0711/1431, RG 1.60/1.97/</w:t>
      </w:r>
    </w:p>
    <w:p>
      <w:r>
        <w:t>1.105/1.174/5.71; IEEE 323/344/384/603; IEC 61513/60880/60079; NFPA 2; Türkiye NDK Law No. 7381</w:t>
      </w:r>
    </w:p>
    <w:p>
      <w:r>
        <w:t>(2022), SKKY.</w:t>
      </w:r>
    </w:p>
    <w:p>
      <w:pPr>
        <w:pStyle w:val="ListBullet"/>
      </w:pPr>
      <w:r>
        <w:rPr>
          <w:b/>
        </w:rPr>
        <w:t>Waste / 3S / economics:</w:t>
      </w:r>
      <w:r>
        <w:t xml:space="preserve"> NUREG-0800 §9.1.1 + 10 CFR 50.68; OECD/NEA Burnup-Credit Benchmark</w:t>
      </w:r>
    </w:p>
    <w:p>
      <w:r>
        <w:t>(Phase I-B/II) + SFCOMPO 2.0; IAEA GSR Part 5; Ashley et al., *Ann. Nucl. Energy* 69 (2014) 314;</w:t>
      </w:r>
    </w:p>
    <w:p>
      <w:r>
        <w:t>Bathke et al., *Nucl. Technol.* 179 (2012) 5; GIF PR&amp;PP (2006); OECD-NEA (1994); IEA/NEA (2020).</w:t>
      </w:r>
    </w:p>
    <w:p>
      <w:r>
        <w:t>*End of Aegis-40 FER §8 master (r1, 2026-06-22). Neutronic values marked ⏳[37FA-PENDING] are replaced</w:t>
      </w:r>
    </w:p>
    <w:p>
      <w:r>
        <w:t xml:space="preserve">from the </w:t>
      </w:r>
      <w:r>
        <w:rPr>
          <w:rFonts w:ascii="Consolas" w:hAnsi="Consolas"/>
          <w:sz w:val="18"/>
        </w:rPr>
        <w:t>aegis40_neutronics_FER.ipynb</w:t>
      </w:r>
      <w:r>
        <w:t xml:space="preserve"> STAT_FINAL run before submission; all other content is</w:t>
      </w:r>
    </w:p>
    <w:p>
      <w:r>
        <w:t>final-draft. Front matter §1–§7 (abstract, team, literature review, methodology, originality, work</w:t>
      </w:r>
    </w:p>
    <w:p>
      <w:r>
        <w:t>plan, broader impacts) is assembled separately into the official template.*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