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0"/>
        </w:rPr>
        <w:t>Aegis-40 — Thermal-Hydraulic Design &amp; Safety Analysis</w:t>
      </w:r>
    </w:p>
    <w:p>
      <w:pPr>
        <w:jc w:val="center"/>
      </w:pPr>
      <w:r>
        <w:rPr>
          <w:rFonts w:ascii="Arial" w:hAnsi="Arial"/>
          <w:color w:val="555555"/>
          <w:sz w:val="24"/>
        </w:rPr>
        <w:t>125 MWth / 40 MWe soluble-boron-free natural-circulation integral PWR  ·  conjugate fuel-pin CFD (OpenFOAM chtMultiRegionFoam) + correlation stack</w:t>
      </w:r>
    </w:p>
    <w:p>
      <w:pPr>
        <w:jc w:val="center"/>
      </w:pPr>
      <w:r>
        <w:rPr>
          <w:i/>
          <w:color w:val="777777"/>
          <w:sz w:val="20"/>
        </w:rPr>
        <w:t>OpenMC-consistent T-H · toolchain validated against NuScale NPM-160  |  June 2026</w:t>
      </w:r>
    </w:p>
    <w:p/>
    <w:p>
      <w:pPr>
        <w:pStyle w:val="Heading1"/>
      </w:pPr>
      <w:r>
        <w:rPr>
          <w:rFonts w:ascii="Arial" w:hAnsi="Arial"/>
          <w:color w:val="1F4E79"/>
        </w:rPr>
        <w:t>1. Objective &amp; scope</w:t>
      </w:r>
    </w:p>
    <w:p>
      <w:r>
        <w:rPr>
          <w:rFonts w:ascii="Arial" w:hAnsi="Arial"/>
          <w:i w:val="0"/>
          <w:sz w:val="21"/>
        </w:rPr>
        <w:t>This report establishes the steady-state thermal-hydraulic feasibility and safety margins of the Aegis-40 core: a 125 MWth / 40 MWe soluble-boron-free (SBF) integral PWR cooled by natural circulation. The analysis uses a 3-region fuel/clad/coolant conjugate-CFD model (OpenFOAM chtMultiRegionFoam) coupled to a correlation-based safety post-processor. Every thermal-hydraulic input is taken one-for-one from the locked OpenMC neutronics (FER notebook): geometry, operating temperatures and the pin-power peaking.</w:t>
      </w:r>
    </w:p>
    <w:p>
      <w:r>
        <w:rPr>
          <w:rFonts w:ascii="Arial" w:hAnsi="Arial"/>
          <w:i w:val="0"/>
          <w:sz w:val="21"/>
        </w:rPr>
        <w:t>The same toolchain was first verified &amp; validated against the published NuScale NPM-160 reference (companion report); this document applies it to the Aegis-40 design point. A conservation-first protocol is used: energy balance is the first acceptance test on every mesh, before any temperature is trusted.</w:t>
      </w:r>
    </w:p>
    <w:p>
      <w:pPr>
        <w:pStyle w:val="Heading1"/>
      </w:pPr>
      <w:r>
        <w:rPr>
          <w:rFonts w:ascii="Arial" w:hAnsi="Arial"/>
          <w:color w:val="1F4E79"/>
        </w:rPr>
        <w:t>2. Design basis &amp; operating point (OpenMC-consistent)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312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Quantity</w:t>
            </w:r>
          </w:p>
        </w:tc>
        <w:tc>
          <w:tcPr>
            <w:tcW w:type="dxa" w:w="3600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Value</w:t>
            </w:r>
          </w:p>
        </w:tc>
        <w:tc>
          <w:tcPr>
            <w:tcW w:type="dxa" w:w="3168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Source</w:t>
            </w:r>
          </w:p>
        </w:tc>
      </w:tr>
      <w:tr>
        <w:tc>
          <w:tcPr>
            <w:tcW w:type="dxa" w:w="3312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Core thermal / electric power</w:t>
            </w:r>
          </w:p>
        </w:tc>
        <w:tc>
          <w:tcPr>
            <w:tcW w:type="dxa" w:w="3600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125 MWth / 40 MWe</w:t>
            </w:r>
          </w:p>
        </w:tc>
        <w:tc>
          <w:tcPr>
            <w:tcW w:type="dxa" w:w="3168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FER §8.4</w:t>
            </w:r>
          </w:p>
        </w:tc>
      </w:tr>
      <w:tr>
        <w:tc>
          <w:tcPr>
            <w:tcW w:type="dxa" w:w="3312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System pressure</w:t>
            </w:r>
          </w:p>
        </w:tc>
        <w:tc>
          <w:tcPr>
            <w:tcW w:type="dxa" w:w="3600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12.8 MPa</w:t>
            </w:r>
          </w:p>
        </w:tc>
        <w:tc>
          <w:tcPr>
            <w:tcW w:type="dxa" w:w="3168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FER (ρ 748 @ 283 °C)</w:t>
            </w:r>
          </w:p>
        </w:tc>
      </w:tr>
      <w:tr>
        <w:tc>
          <w:tcPr>
            <w:tcW w:type="dxa" w:w="3312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Core inlet / outlet T</w:t>
            </w:r>
          </w:p>
        </w:tc>
        <w:tc>
          <w:tcPr>
            <w:tcW w:type="dxa" w:w="3600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258 °C / 308 °C  (531.15 / 581 K)</w:t>
            </w:r>
          </w:p>
        </w:tc>
        <w:tc>
          <w:tcPr>
            <w:tcW w:type="dxa" w:w="3168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FER §8.4</w:t>
            </w:r>
          </w:p>
        </w:tc>
      </w:tr>
      <w:tr>
        <w:tc>
          <w:tcPr>
            <w:tcW w:type="dxa" w:w="3312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Core-average T / rise</w:t>
            </w:r>
          </w:p>
        </w:tc>
        <w:tc>
          <w:tcPr>
            <w:tcW w:type="dxa" w:w="3600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283 °C (556 K) / 50 K</w:t>
            </w:r>
          </w:p>
        </w:tc>
        <w:tc>
          <w:tcPr>
            <w:tcW w:type="dxa" w:w="3168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= OpenMC T_mod</w:t>
            </w:r>
          </w:p>
        </w:tc>
      </w:tr>
      <w:tr>
        <w:tc>
          <w:tcPr>
            <w:tcW w:type="dxa" w:w="3312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Fuel pins</w:t>
            </w:r>
          </w:p>
        </w:tc>
        <w:tc>
          <w:tcPr>
            <w:tcW w:type="dxa" w:w="3600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9 768  (37 FA × 264, 17×17)</w:t>
            </w:r>
          </w:p>
        </w:tc>
        <w:tc>
          <w:tcPr>
            <w:tcW w:type="dxa" w:w="3168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OpenMC core map</w:t>
            </w:r>
          </w:p>
        </w:tc>
      </w:tr>
      <w:tr>
        <w:tc>
          <w:tcPr>
            <w:tcW w:type="dxa" w:w="3312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Active length / rod pitch</w:t>
            </w:r>
          </w:p>
        </w:tc>
        <w:tc>
          <w:tcPr>
            <w:tcW w:type="dxa" w:w="3600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2.0 m / 12.623 mm</w:t>
            </w:r>
          </w:p>
        </w:tc>
        <w:tc>
          <w:tcPr>
            <w:tcW w:type="dxa" w:w="3168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locked geometry</w:t>
            </w:r>
          </w:p>
        </w:tc>
      </w:tr>
      <w:tr>
        <w:tc>
          <w:tcPr>
            <w:tcW w:type="dxa" w:w="3312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Pellet / clad OD</w:t>
            </w:r>
          </w:p>
        </w:tc>
        <w:tc>
          <w:tcPr>
            <w:tcW w:type="dxa" w:w="3600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8.19 mm / 9.52 mm  (UO₂ / Zircaloy-4)</w:t>
            </w:r>
          </w:p>
        </w:tc>
        <w:tc>
          <w:tcPr>
            <w:tcW w:type="dxa" w:w="3168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locked geometry</w:t>
            </w:r>
          </w:p>
        </w:tc>
      </w:tr>
      <w:tr>
        <w:tc>
          <w:tcPr>
            <w:tcW w:type="dxa" w:w="3312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Peaking  F_q / F_ΔH / F_z</w:t>
            </w:r>
          </w:p>
        </w:tc>
        <w:tc>
          <w:tcPr>
            <w:tcW w:type="dxa" w:w="3600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2.00 / 1.55 / 1.29</w:t>
            </w:r>
          </w:p>
        </w:tc>
        <w:tc>
          <w:tcPr>
            <w:tcW w:type="dxa" w:w="3168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OpenMC/FER design (limits 2.32 / 1.65)</w:t>
            </w:r>
          </w:p>
        </w:tc>
      </w:tr>
      <w:tr>
        <w:tc>
          <w:tcPr>
            <w:tcW w:type="dxa" w:w="3312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Avg / hot-pin peak linear power</w:t>
            </w:r>
          </w:p>
        </w:tc>
        <w:tc>
          <w:tcPr>
            <w:tcW w:type="dxa" w:w="3600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6.40 / 12.8 kW/m  (q‴ 2.43e8 W/m³)</w:t>
            </w:r>
          </w:p>
        </w:tc>
        <w:tc>
          <w:tcPr>
            <w:tcW w:type="dxa" w:w="3168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= q′_avg × F_q</w:t>
            </w:r>
          </w:p>
        </w:tc>
      </w:tr>
      <w:tr>
        <w:tc>
          <w:tcPr>
            <w:tcW w:type="dxa" w:w="3312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Peak wall heat flux q″</w:t>
            </w:r>
          </w:p>
        </w:tc>
        <w:tc>
          <w:tcPr>
            <w:tcW w:type="dxa" w:w="3600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0.428 MW/m²</w:t>
            </w:r>
          </w:p>
        </w:tc>
        <w:tc>
          <w:tcPr>
            <w:tcW w:type="dxa" w:w="3168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= q′_peak / (π·D_clad)</w:t>
            </w:r>
          </w:p>
        </w:tc>
      </w:tr>
    </w:tbl>
    <w:p/>
    <w:p>
      <w:r>
        <w:rPr>
          <w:rFonts w:ascii="Arial" w:hAnsi="Arial"/>
          <w:i/>
          <w:sz w:val="21"/>
        </w:rPr>
        <w:t>The core grew to a NuScale-class 37-assembly / 9 768-pin layout, halving the per-pin power versus an earlier 21-assembly concept (q′_peak 24.6 → 12.8 kW/m). Pin geometry, pitch and active height are fixed, so the validated CFD mesh applies unchanged.</w:t>
      </w:r>
    </w:p>
    <w:p>
      <w:pPr>
        <w:pStyle w:val="Heading1"/>
      </w:pPr>
      <w:r>
        <w:rPr>
          <w:rFonts w:ascii="Arial" w:hAnsi="Arial"/>
          <w:color w:val="1F4E79"/>
        </w:rPr>
        <w:t>3. Methodology</w:t>
      </w:r>
    </w:p>
    <w:p>
      <w:pPr>
        <w:pStyle w:val="Heading2"/>
      </w:pPr>
      <w:r>
        <w:rPr>
          <w:rFonts w:ascii="Arial" w:hAnsi="Arial"/>
          <w:color w:val="1F4E79"/>
        </w:rPr>
        <w:t>3.1 Conjugate CFD</w:t>
      </w:r>
    </w:p>
    <w:p>
      <w:pPr>
        <w:pStyle w:val="ListBullet"/>
      </w:pPr>
      <w:r>
        <w:t>Solver chtMultiRegionFoam (OpenFOAM v2412); 3 regions fuel/clad/coolant on a body-fitted butterfly O-grid; turbulence k-ω SST with wall functions.</w:t>
      </w:r>
    </w:p>
    <w:p>
      <w:pPr>
        <w:pStyle w:val="ListBullet"/>
      </w:pPr>
      <w:r>
        <w:t>Axial power: chopped cosine q‴(z)=q_peak·cos(π(z−L/2)/Lₑ), Lₑ = 2.607 m (F_z 1.29), imposed as a runtime scalarCodedSource in the fuel region (q_peak 2.43e8 W/m³).</w:t>
      </w:r>
    </w:p>
    <w:p>
      <w:pPr>
        <w:pStyle w:val="ListBullet"/>
      </w:pPr>
      <w:r>
        <w:t>Fuel-clad He gap as a contact resistance (thicknessLayers 9.15e-5 / kappaLayers 0.48), applied symmetrically on both coupling patches.</w:t>
      </w:r>
    </w:p>
    <w:p>
      <w:pPr>
        <w:pStyle w:val="ListBullet"/>
      </w:pPr>
      <w:r>
        <w:t>Coolant properties at 283 °C / 12.8 MPa: ρ 748, cp 5350, μ 9.1e-5, k 0.566, Pr 0.87. Hot pin runs on the core-average channel mass flux (no flow redistribution credit → conservative).</w:t>
      </w:r>
    </w:p>
    <w:p>
      <w:pPr>
        <w:pStyle w:val="Heading2"/>
      </w:pPr>
      <w:r>
        <w:rPr>
          <w:rFonts w:ascii="Arial" w:hAnsi="Arial"/>
          <w:color w:val="1F4E79"/>
        </w:rPr>
        <w:t>3.2 Safety post-processor (correlation stack)</w:t>
      </w:r>
    </w:p>
    <w:p>
      <w:r>
        <w:rPr>
          <w:rFonts w:ascii="Arial" w:hAnsi="Arial"/>
          <w:i w:val="0"/>
          <w:sz w:val="21"/>
        </w:rPr>
        <w:t>MDNBR and PCT come from a validated correlation stack — the COBRA/VIPRE/CTF subchannel-code approach — fed the CFD-trusted axial power shape, coolant bulk T(z) and flow:</w:t>
      </w:r>
    </w:p>
    <w:p>
      <w:pPr>
        <w:pStyle w:val="ListBullet"/>
      </w:pPr>
      <w:r>
        <w:t>MDNBR: W-3 critical-heat-flux correlation with the Tong non-uniform-flux F-factor.</w:t>
      </w:r>
    </w:p>
    <w:p>
      <w:pPr>
        <w:pStyle w:val="ListBullet"/>
      </w:pPr>
      <w:r>
        <w:t>PCT / fuel centreline: Dittus-Boelter film + 1-D radial conduction stack (film → clad → He-gap → fuel) with a Jens-Lottes subcooled-boiling wall clamp.</w:t>
      </w:r>
    </w:p>
    <w:p>
      <w:r>
        <w:rPr>
          <w:rFonts w:ascii="Arial" w:hAnsi="Arial"/>
          <w:i/>
          <w:sz w:val="21"/>
        </w:rPr>
        <w:t>The correlation stack is the licensed-code industry standard and carries the CHF and subcooled-boiling physics a single-phase CFD lacks — not a substitute for an inaccurate CFD. Section 6 shows the CFD is energy-conservative and its near-wall heat transfer matches Dittus-Boelter to &lt; 7 K.</w:t>
      </w:r>
    </w:p>
    <w:p>
      <w:pPr>
        <w:pStyle w:val="Heading1"/>
      </w:pPr>
      <w:r>
        <w:rPr>
          <w:rFonts w:ascii="Arial" w:hAnsi="Arial"/>
          <w:color w:val="1F4E79"/>
        </w:rPr>
        <w:t>4. Mesh &amp; numerics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Mesh</w:t>
            </w:r>
          </w:p>
        </w:tc>
        <w:tc>
          <w:tcPr>
            <w:tcW w:type="dxa" w:w="4320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Cells (fuel/clad/coolant)</w:t>
            </w:r>
          </w:p>
        </w:tc>
        <w:tc>
          <w:tcPr>
            <w:tcW w:type="dxa" w:w="2304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Refinement r</w:t>
            </w:r>
          </w:p>
        </w:tc>
      </w:tr>
      <w:tr>
        <w:tc>
          <w:tcPr>
            <w:tcW w:type="dxa" w:w="2736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coarse</w:t>
            </w:r>
          </w:p>
        </w:tc>
        <w:tc>
          <w:tcPr>
            <w:tcW w:type="dxa" w:w="4320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35 700  (16.1 / 8.4 / 11.2 k)</w:t>
            </w:r>
          </w:p>
        </w:tc>
        <w:tc>
          <w:tcPr>
            <w:tcW w:type="dxa" w:w="2304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2736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medium (production)</w:t>
            </w:r>
          </w:p>
        </w:tc>
        <w:tc>
          <w:tcPr>
            <w:tcW w:type="dxa" w:w="4320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103 600  (47.6 / 22.4 / 33.6 k)</w:t>
            </w:r>
          </w:p>
        </w:tc>
        <w:tc>
          <w:tcPr>
            <w:tcW w:type="dxa" w:w="2304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r₃₂ = 1.426</w:t>
            </w:r>
          </w:p>
        </w:tc>
      </w:tr>
      <w:tr>
        <w:tc>
          <w:tcPr>
            <w:tcW w:type="dxa" w:w="2736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fine</w:t>
            </w:r>
          </w:p>
        </w:tc>
        <w:tc>
          <w:tcPr>
            <w:tcW w:type="dxa" w:w="4320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279 888  (126.2 / 65.9 / 87.8 k)</w:t>
            </w:r>
          </w:p>
        </w:tc>
        <w:tc>
          <w:tcPr>
            <w:tcW w:type="dxa" w:w="2304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r₂₁ = 1.393</w:t>
            </w:r>
          </w:p>
        </w:tc>
      </w:tr>
    </w:tbl>
    <w:p/>
    <w:p>
      <w:pPr>
        <w:pStyle w:val="ListBullet"/>
      </w:pPr>
      <w:r>
        <w:t>Three geometrically-similar meshes; only the resolution knobs differ — every physics input (source, properties, BCs, schemes) is byte-identical across the set, so the GCI isolates discretisation error.</w:t>
      </w:r>
    </w:p>
    <w:p>
      <w:pPr>
        <w:pStyle w:val="ListBullet"/>
      </w:pPr>
      <w:r>
        <w:t>Schemes: bounded Gauss upwind→limitedLinear div(phi,h); nNonOrthogonalCorrectors 2; nOuterCorrectors 2. GAMG (p_rgh) / smoothSolver; relTol 0.01. Run parallel (decomposePar → mpirun -np 8 → reconstructPar).</w:t>
      </w:r>
    </w:p>
    <w:p>
      <w:pPr>
        <w:pStyle w:val="Heading1"/>
      </w:pPr>
      <w:r>
        <w:rPr>
          <w:rFonts w:ascii="Arial" w:hAnsi="Arial"/>
          <w:color w:val="1F4E79"/>
        </w:rPr>
        <w:t>5. Verification</w:t>
      </w:r>
    </w:p>
    <w:p>
      <w:pPr>
        <w:pStyle w:val="Heading2"/>
      </w:pPr>
      <w:r>
        <w:rPr>
          <w:rFonts w:ascii="Arial" w:hAnsi="Arial"/>
          <w:color w:val="1F4E79"/>
        </w:rPr>
        <w:t>5.1 Grid convergence (ASME V&amp;V-20 GCI)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498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_grid_converg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49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777777"/>
          <w:sz w:val="18"/>
        </w:rPr>
        <w:t>Figure F1. Grid convergence of outlet T, peak clad T and peak fuel T over the three meshes, with Richardson extrapolation (h→0) and the fine-grid GCI.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2880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1728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coarse</w:t>
            </w:r>
          </w:p>
        </w:tc>
        <w:tc>
          <w:tcPr>
            <w:tcW w:type="dxa" w:w="1728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medium</w:t>
            </w:r>
          </w:p>
        </w:tc>
        <w:tc>
          <w:tcPr>
            <w:tcW w:type="dxa" w:w="1728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fine</w:t>
            </w:r>
          </w:p>
        </w:tc>
        <w:tc>
          <w:tcPr>
            <w:tcW w:type="dxa" w:w="2304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GCI_fine / direct</w:t>
            </w:r>
          </w:p>
        </w:tc>
      </w:tr>
      <w:tr>
        <w:tc>
          <w:tcPr>
            <w:tcW w:type="dxa" w:w="2880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Outlet T  [K]</w:t>
            </w:r>
          </w:p>
        </w:tc>
        <w:tc>
          <w:tcPr>
            <w:tcW w:type="dxa" w:w="1728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607.47</w:t>
            </w:r>
          </w:p>
        </w:tc>
        <w:tc>
          <w:tcPr>
            <w:tcW w:type="dxa" w:w="1728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608.06</w:t>
            </w:r>
          </w:p>
        </w:tc>
        <w:tc>
          <w:tcPr>
            <w:tcW w:type="dxa" w:w="1728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608.34</w:t>
            </w:r>
          </w:p>
        </w:tc>
        <w:tc>
          <w:tcPr>
            <w:tcW w:type="dxa" w:w="2304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0.06 %</w:t>
            </w:r>
          </w:p>
        </w:tc>
      </w:tr>
      <w:tr>
        <w:tc>
          <w:tcPr>
            <w:tcW w:type="dxa" w:w="2880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Peak clad T  [K]</w:t>
            </w:r>
          </w:p>
        </w:tc>
        <w:tc>
          <w:tcPr>
            <w:tcW w:type="dxa" w:w="1728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658.15</w:t>
            </w:r>
          </w:p>
        </w:tc>
        <w:tc>
          <w:tcPr>
            <w:tcW w:type="dxa" w:w="1728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658.58</w:t>
            </w:r>
          </w:p>
        </w:tc>
        <w:tc>
          <w:tcPr>
            <w:tcW w:type="dxa" w:w="1728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658.79</w:t>
            </w:r>
          </w:p>
        </w:tc>
        <w:tc>
          <w:tcPr>
            <w:tcW w:type="dxa" w:w="2304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0.05 %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Near-wall coolant  [K]</w:t>
            </w:r>
          </w:p>
        </w:tc>
        <w:tc>
          <w:tcPr>
            <w:tcW w:type="dxa" w:w="1728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643.09</w:t>
            </w:r>
          </w:p>
        </w:tc>
        <w:tc>
          <w:tcPr>
            <w:tcW w:type="dxa" w:w="1728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643.38</w:t>
            </w:r>
          </w:p>
        </w:tc>
        <w:tc>
          <w:tcPr>
            <w:tcW w:type="dxa" w:w="1728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643.58</w:t>
            </w:r>
          </w:p>
        </w:tc>
        <w:tc>
          <w:tcPr>
            <w:tcW w:type="dxa" w:w="2304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0.12 %</w:t>
            </w:r>
          </w:p>
        </w:tc>
      </w:tr>
      <w:tr>
        <w:tc>
          <w:tcPr>
            <w:tcW w:type="dxa" w:w="2880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Peak fuel T  [K]</w:t>
            </w:r>
          </w:p>
        </w:tc>
        <w:tc>
          <w:tcPr>
            <w:tcW w:type="dxa" w:w="1728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1025.8</w:t>
            </w:r>
          </w:p>
        </w:tc>
        <w:tc>
          <w:tcPr>
            <w:tcW w:type="dxa" w:w="1728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1027.7</w:t>
            </w:r>
          </w:p>
        </w:tc>
        <w:tc>
          <w:tcPr>
            <w:tcW w:type="dxa" w:w="1728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1029.4</w:t>
            </w:r>
          </w:p>
        </w:tc>
        <w:tc>
          <w:tcPr>
            <w:tcW w:type="dxa" w:w="2304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0.17 % (direct)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Δp  [Pa]</w:t>
            </w:r>
          </w:p>
        </w:tc>
        <w:tc>
          <w:tcPr>
            <w:tcW w:type="dxa" w:w="1728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669</w:t>
            </w:r>
          </w:p>
        </w:tc>
        <w:tc>
          <w:tcPr>
            <w:tcW w:type="dxa" w:w="1728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682</w:t>
            </w:r>
          </w:p>
        </w:tc>
        <w:tc>
          <w:tcPr>
            <w:tcW w:type="dxa" w:w="1728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695</w:t>
            </w:r>
          </w:p>
        </w:tc>
        <w:tc>
          <w:tcPr>
            <w:tcW w:type="dxa" w:w="2304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1.78 % (direct)</w:t>
            </w:r>
          </w:p>
        </w:tc>
      </w:tr>
    </w:tbl>
    <w:p/>
    <w:p>
      <w:r>
        <w:rPr>
          <w:rFonts w:ascii="Arial" w:hAnsi="Arial"/>
          <w:i w:val="0"/>
          <w:sz w:val="21"/>
        </w:rPr>
        <w:t>Every temperature changes &lt; 0.4 % medium→fine and the fine-grid GCI is sub-0.15 % on the convergent metrics, so the solution is mesh-independent. Peak-fuel and Δp are degenerate-Richardson (successive increments near-equal, p≈0) and are reported by their direct medium→fine change. The medium (104 k) mesh is used for production.</w:t>
      </w:r>
    </w:p>
    <w:p>
      <w:pPr>
        <w:pStyle w:val="Heading2"/>
      </w:pPr>
      <w:r>
        <w:rPr>
          <w:rFonts w:ascii="Arial" w:hAnsi="Arial"/>
          <w:color w:val="1F4E79"/>
        </w:rPr>
        <w:t>5.2 Energy conservation (GATE-1)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811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_energy_conserv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81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777777"/>
          <w:sz w:val="18"/>
        </w:rPr>
        <w:t>Figure F2. Advected power ṁ·cp·ΔT versus the analytic design source (19.83 kW/hot-pin) on each mesh; conservation closes to ×1.00 on every grid.</w:t>
      </w:r>
    </w:p>
    <w:p>
      <w:r>
        <w:rPr>
          <w:rFonts w:ascii="Arial" w:hAnsi="Arial"/>
          <w:i w:val="0"/>
          <w:sz w:val="21"/>
        </w:rPr>
        <w:t>The advected power equals the imposed source to within 0.8 % on every mesh (×0.992 / 0.996 / 0.998 on coarse / medium / fine) — the model is energy-conservative, the prerequisite for trusting any temperature.</w:t>
      </w:r>
    </w:p>
    <w:p>
      <w:pPr>
        <w:pStyle w:val="Heading1"/>
      </w:pPr>
      <w:r>
        <w:rPr>
          <w:rFonts w:ascii="Arial" w:hAnsi="Arial"/>
          <w:color w:val="1F4E79"/>
        </w:rPr>
        <w:t>6. Near-wall validation: CFD ↔ correlation stack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140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_cfd_vs_sta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4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777777"/>
          <w:sz w:val="18"/>
        </w:rPr>
        <w:t>Figure F3. CFD (medium) versus the single-phase correlation stack at the identical operating point — agreement within 7 K on every quantity.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456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Quantity</w:t>
            </w:r>
          </w:p>
        </w:tc>
        <w:tc>
          <w:tcPr>
            <w:tcW w:type="dxa" w:w="2016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CFD</w:t>
            </w:r>
          </w:p>
        </w:tc>
        <w:tc>
          <w:tcPr>
            <w:tcW w:type="dxa" w:w="2304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Stack (1φ DB)</w:t>
            </w:r>
          </w:p>
        </w:tc>
        <w:tc>
          <w:tcPr>
            <w:tcW w:type="dxa" w:w="1728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Δ</w:t>
            </w:r>
          </w:p>
        </w:tc>
      </w:tr>
      <w:tr>
        <w:tc>
          <w:tcPr>
            <w:tcW w:type="dxa" w:w="3456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Coolant outlet (mixing-cup)</w:t>
            </w:r>
          </w:p>
        </w:tc>
        <w:tc>
          <w:tcPr>
            <w:tcW w:type="dxa" w:w="2016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335 °C</w:t>
            </w:r>
          </w:p>
        </w:tc>
        <w:tc>
          <w:tcPr>
            <w:tcW w:type="dxa" w:w="2304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335 °C</w:t>
            </w:r>
          </w:p>
        </w:tc>
        <w:tc>
          <w:tcPr>
            <w:tcW w:type="dxa" w:w="1728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0.4 K</w:t>
            </w:r>
          </w:p>
        </w:tc>
      </w:tr>
      <w:tr>
        <w:tc>
          <w:tcPr>
            <w:tcW w:type="dxa" w:w="3456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Fuel centreline (peak)</w:t>
            </w:r>
          </w:p>
        </w:tc>
        <w:tc>
          <w:tcPr>
            <w:tcW w:type="dxa" w:w="2016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755 °C</w:t>
            </w:r>
          </w:p>
        </w:tc>
        <w:tc>
          <w:tcPr>
            <w:tcW w:type="dxa" w:w="2304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755 °C</w:t>
            </w:r>
          </w:p>
        </w:tc>
        <w:tc>
          <w:tcPr>
            <w:tcW w:type="dxa" w:w="1728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0.7 K</w:t>
            </w:r>
          </w:p>
        </w:tc>
      </w:tr>
      <w:tr>
        <w:tc>
          <w:tcPr>
            <w:tcW w:type="dxa" w:w="3456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Clad inner (peak)</w:t>
            </w:r>
          </w:p>
        </w:tc>
        <w:tc>
          <w:tcPr>
            <w:tcW w:type="dxa" w:w="2016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385 °C</w:t>
            </w:r>
          </w:p>
        </w:tc>
        <w:tc>
          <w:tcPr>
            <w:tcW w:type="dxa" w:w="2304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379 °C</w:t>
            </w:r>
          </w:p>
        </w:tc>
        <w:tc>
          <w:tcPr>
            <w:tcW w:type="dxa" w:w="1728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6.8 K</w:t>
            </w:r>
          </w:p>
        </w:tc>
      </w:tr>
      <w:tr>
        <w:tc>
          <w:tcPr>
            <w:tcW w:type="dxa" w:w="3456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Near-wall / clad outer</w:t>
            </w:r>
          </w:p>
        </w:tc>
        <w:tc>
          <w:tcPr>
            <w:tcW w:type="dxa" w:w="2016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370 °C</w:t>
            </w:r>
          </w:p>
        </w:tc>
        <w:tc>
          <w:tcPr>
            <w:tcW w:type="dxa" w:w="2304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365 °C</w:t>
            </w:r>
          </w:p>
        </w:tc>
        <w:tc>
          <w:tcPr>
            <w:tcW w:type="dxa" w:w="1728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5.7 K</w:t>
            </w:r>
          </w:p>
        </w:tc>
      </w:tr>
    </w:tbl>
    <w:p/>
    <w:p>
      <w:r>
        <w:rPr>
          <w:rFonts w:ascii="Arial" w:hAnsi="Arial"/>
          <w:i w:val="0"/>
          <w:sz w:val="21"/>
        </w:rPr>
        <w:t>At the identical operating point (G 544, T_in 258 °C, single-phase) the CFD and the Dittus-Boelter stack agree within 7 K on every quantity — bulk and fuel to &lt; 1 K, clad and near-wall to &lt; 7 K (CFD marginally hotter, i.e. conservative). The CFD is therefore both energy-accurate (GATE-1) and near-wall-accurate: its resolved film coefficient reproduces the validated correlation. Note also that the Aegis-40 core is geometrically the NuScale NPM core (37 FA / 9 768 pins / 2.0 m), against which the toolchain was independently validated.</w:t>
      </w:r>
    </w:p>
    <w:p>
      <w:pPr>
        <w:pStyle w:val="Heading1"/>
      </w:pPr>
      <w:r>
        <w:rPr>
          <w:rFonts w:ascii="Arial" w:hAnsi="Arial"/>
          <w:color w:val="1F4E79"/>
        </w:rPr>
        <w:t>7. Hot-channel thermal-hydraulics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733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_axial_profi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73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777777"/>
          <w:sz w:val="18"/>
        </w:rPr>
        <w:t>Figure F4. Hot-channel axial profiles: wall heat flux q″(z); coolant bulk, clad outer (with subcooled-boiling clamp) and fuel centreline temperatures.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585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_radial_sta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58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777777"/>
          <w:sz w:val="18"/>
        </w:rPr>
        <w:t>Figure F5. Radial temperature stack at the hot spot — conduction drops across fuel, the He-gap contact resistance, clad and the convective film.</w:t>
      </w:r>
    </w:p>
    <w:p>
      <w:r>
        <w:rPr>
          <w:rFonts w:ascii="Arial" w:hAnsi="Arial"/>
          <w:i w:val="0"/>
          <w:sz w:val="21"/>
        </w:rPr>
        <w:t>The hot-channel mixing-cup outlet reaches ≈ Tsat (335 °C vs Tsat 331 °C), i.e. the most-peaked channel sits at the subcooled-boiling onset by design; the core-average outlet is the FER 308 °C. Peak fuel centreline is only 734 °C — far below any fuel limit — a direct consequence of the modest 12.8 kW/m peak linear power.</w:t>
      </w:r>
    </w:p>
    <w:p>
      <w:pPr>
        <w:pStyle w:val="Heading1"/>
      </w:pPr>
      <w:r>
        <w:rPr>
          <w:rFonts w:ascii="Arial" w:hAnsi="Arial"/>
          <w:color w:val="1F4E79"/>
        </w:rPr>
        <w:t>8. Safety margins</w:t>
      </w:r>
    </w:p>
    <w:p>
      <w:pPr>
        <w:pStyle w:val="Heading2"/>
      </w:pPr>
      <w:r>
        <w:rPr>
          <w:rFonts w:ascii="Arial" w:hAnsi="Arial"/>
          <w:color w:val="1F4E79"/>
        </w:rPr>
        <w:t>8.1 MDNBR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994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_dnbr_prof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99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777777"/>
          <w:sz w:val="18"/>
        </w:rPr>
        <w:t>Figure F6. Hot-channel DNBR axial profile (W-3 CHF + Tong F-factor); the minimum is the MDNBR. Computed at the CFD-medium mass flux (G 544) → 1.58; 1.56 at the natural-circulation design point (H_tc 4 m, G 542).</w:t>
      </w:r>
    </w:p>
    <w:p>
      <w:pPr>
        <w:pStyle w:val="Heading2"/>
      </w:pPr>
      <w:r>
        <w:rPr>
          <w:rFonts w:ascii="Arial" w:hAnsi="Arial"/>
          <w:color w:val="1F4E79"/>
        </w:rPr>
        <w:t>8.2 PCT &amp; subcooled boiling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975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_subcooled_boil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97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777777"/>
          <w:sz w:val="18"/>
        </w:rPr>
        <w:t>Figure F7. Clad outer temperature: single-phase film versus the subcooled-boiling (Jens-Lottes) clamp — single-phase over-predicts above Tsat.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3312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304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2160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Limit</w:t>
            </w:r>
          </w:p>
        </w:tc>
        <w:tc>
          <w:tcPr>
            <w:tcW w:type="dxa" w:w="1440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Margin</w:t>
            </w:r>
          </w:p>
        </w:tc>
        <w:tc>
          <w:tcPr>
            <w:tcW w:type="dxa" w:w="1296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Verdict</w:t>
            </w:r>
          </w:p>
        </w:tc>
      </w:tr>
      <w:tr>
        <w:tc>
          <w:tcPr>
            <w:tcW w:type="dxa" w:w="3312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MDNBR</w:t>
            </w:r>
          </w:p>
        </w:tc>
        <w:tc>
          <w:tcPr>
            <w:tcW w:type="dxa" w:w="2304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1.56  (H_tc 4 m)</w:t>
            </w:r>
          </w:p>
        </w:tc>
        <w:tc>
          <w:tcPr>
            <w:tcW w:type="dxa" w:w="2160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1.3</w:t>
            </w:r>
          </w:p>
        </w:tc>
        <w:tc>
          <w:tcPr>
            <w:tcW w:type="dxa" w:w="1440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+20 %</w:t>
            </w:r>
          </w:p>
        </w:tc>
        <w:tc>
          <w:tcPr>
            <w:tcW w:type="dxa" w:w="1296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PASS</w:t>
            </w:r>
          </w:p>
        </w:tc>
      </w:tr>
      <w:tr>
        <w:tc>
          <w:tcPr>
            <w:tcW w:type="dxa" w:w="3312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PCT (peak clad, boiling)</w:t>
            </w:r>
          </w:p>
        </w:tc>
        <w:tc>
          <w:tcPr>
            <w:tcW w:type="dxa" w:w="2304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621.7 K / 349 °C</w:t>
            </w:r>
          </w:p>
        </w:tc>
        <w:tc>
          <w:tcPr>
            <w:tcW w:type="dxa" w:w="2160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1200 °C (LOCA)</w:t>
            </w:r>
          </w:p>
        </w:tc>
        <w:tc>
          <w:tcPr>
            <w:tcW w:type="dxa" w:w="1440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+851 °C</w:t>
            </w:r>
          </w:p>
        </w:tc>
        <w:tc>
          <w:tcPr>
            <w:tcW w:type="dxa" w:w="1296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PASS</w:t>
            </w:r>
          </w:p>
        </w:tc>
      </w:tr>
      <w:tr>
        <w:tc>
          <w:tcPr>
            <w:tcW w:type="dxa" w:w="3312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 xml:space="preserve">  clad, single-phase (CFD x-check)</w:t>
            </w:r>
          </w:p>
        </w:tc>
        <w:tc>
          <w:tcPr>
            <w:tcW w:type="dxa" w:w="2304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659 K / 385 °C</w:t>
            </w:r>
          </w:p>
        </w:tc>
        <w:tc>
          <w:tcPr>
            <w:tcW w:type="dxa" w:w="2160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1440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1296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3312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Peak fuel centreline</w:t>
            </w:r>
          </w:p>
        </w:tc>
        <w:tc>
          <w:tcPr>
            <w:tcW w:type="dxa" w:w="2304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1008 K / 734 °C</w:t>
            </w:r>
          </w:p>
        </w:tc>
        <w:tc>
          <w:tcPr>
            <w:tcW w:type="dxa" w:w="2160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~2840 °C (melt)</w:t>
            </w:r>
          </w:p>
        </w:tc>
        <w:tc>
          <w:tcPr>
            <w:tcW w:type="dxa" w:w="1440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+2106 °C</w:t>
            </w:r>
          </w:p>
        </w:tc>
        <w:tc>
          <w:tcPr>
            <w:tcW w:type="dxa" w:w="1296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PASS</w:t>
            </w:r>
          </w:p>
        </w:tc>
      </w:tr>
    </w:tbl>
    <w:p/>
    <w:p>
      <w:r>
        <w:rPr>
          <w:rFonts w:ascii="Arial" w:hAnsi="Arial"/>
          <w:i w:val="0"/>
          <w:sz w:val="21"/>
        </w:rPr>
        <w:t>The subcooled-boiling clamp removes ≈ 30 K of single-phase over-prediction (clad 385 → 349 °C). All safety metrics pass with margin; the binding constraint is MDNBR, which still clears 1.3 by 20 %.</w:t>
      </w:r>
    </w:p>
    <w:p>
      <w:pPr>
        <w:pStyle w:val="Heading1"/>
      </w:pPr>
      <w:r>
        <w:rPr>
          <w:rFonts w:ascii="Arial" w:hAnsi="Arial"/>
          <w:color w:val="1F4E79"/>
        </w:rPr>
        <w:t>9. Natural-circulation feasibility</w:t>
      </w:r>
    </w:p>
    <w:p>
      <w:r>
        <w:rPr>
          <w:rFonts w:ascii="Arial" w:hAnsi="Arial"/>
          <w:i w:val="0"/>
          <w:sz w:val="21"/>
        </w:rPr>
        <w:t>With no pumps, the core flow is the output of a 1-D buoyancy balance between the hot riser and the cold downcomer: ṁ = [2 ρ² A² g H_tc β P / (cp K_tot)]^(1/3). The single design knob is the riser thermal-centre height H_tc (core mid-plane to steam-generator mid). Sweeping it at nominal loop losses (K_form 12):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266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_natcirc_swee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6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777777"/>
          <w:sz w:val="18"/>
        </w:rPr>
        <w:t>Figure F8. Core mass flux G and MDNBR versus riser height H_tc. The FER operating point (ΔT 50 K → G 543) is reproduced at H_tc ≈ 4 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2016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H_tc [m]</w:t>
            </w:r>
          </w:p>
        </w:tc>
        <w:tc>
          <w:tcPr>
            <w:tcW w:type="dxa" w:w="2160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G [kg/m²s]</w:t>
            </w:r>
          </w:p>
        </w:tc>
        <w:tc>
          <w:tcPr>
            <w:tcW w:type="dxa" w:w="2160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core ΔT [K]</w:t>
            </w:r>
          </w:p>
        </w:tc>
        <w:tc>
          <w:tcPr>
            <w:tcW w:type="dxa" w:w="1728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MDNBR</w:t>
            </w:r>
          </w:p>
        </w:tc>
        <w:tc>
          <w:tcPr>
            <w:tcW w:type="dxa" w:w="1872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Verdict</w:t>
            </w:r>
          </w:p>
        </w:tc>
      </w:tr>
      <w:tr>
        <w:tc>
          <w:tcPr>
            <w:tcW w:type="dxa" w:w="2016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3</w:t>
            </w:r>
          </w:p>
        </w:tc>
        <w:tc>
          <w:tcPr>
            <w:tcW w:type="dxa" w:w="2160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492</w:t>
            </w:r>
          </w:p>
        </w:tc>
        <w:tc>
          <w:tcPr>
            <w:tcW w:type="dxa" w:w="2160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55</w:t>
            </w:r>
          </w:p>
        </w:tc>
        <w:tc>
          <w:tcPr>
            <w:tcW w:type="dxa" w:w="1728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1.27</w:t>
            </w:r>
          </w:p>
        </w:tc>
        <w:tc>
          <w:tcPr>
            <w:tcW w:type="dxa" w:w="1872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FAIL</w:t>
            </w:r>
          </w:p>
        </w:tc>
      </w:tr>
      <w:tr>
        <w:tc>
          <w:tcPr>
            <w:tcW w:type="dxa" w:w="2016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4  (design)</w:t>
            </w:r>
          </w:p>
        </w:tc>
        <w:tc>
          <w:tcPr>
            <w:tcW w:type="dxa" w:w="2160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542</w:t>
            </w:r>
          </w:p>
        </w:tc>
        <w:tc>
          <w:tcPr>
            <w:tcW w:type="dxa" w:w="2160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50</w:t>
            </w:r>
          </w:p>
        </w:tc>
        <w:tc>
          <w:tcPr>
            <w:tcW w:type="dxa" w:w="1728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1.56</w:t>
            </w:r>
          </w:p>
        </w:tc>
        <w:tc>
          <w:tcPr>
            <w:tcW w:type="dxa" w:w="1872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2E7D32"/>
                <w:sz w:val="19"/>
              </w:rPr>
              <w:t>PASS</w:t>
            </w:r>
          </w:p>
        </w:tc>
      </w:tr>
      <w:tr>
        <w:tc>
          <w:tcPr>
            <w:tcW w:type="dxa" w:w="2016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5</w:t>
            </w:r>
          </w:p>
        </w:tc>
        <w:tc>
          <w:tcPr>
            <w:tcW w:type="dxa" w:w="2160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584</w:t>
            </w:r>
          </w:p>
        </w:tc>
        <w:tc>
          <w:tcPr>
            <w:tcW w:type="dxa" w:w="2160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46</w:t>
            </w:r>
          </w:p>
        </w:tc>
        <w:tc>
          <w:tcPr>
            <w:tcW w:type="dxa" w:w="1728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1.82</w:t>
            </w:r>
          </w:p>
        </w:tc>
        <w:tc>
          <w:tcPr>
            <w:tcW w:type="dxa" w:w="1872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PASS</w:t>
            </w:r>
          </w:p>
        </w:tc>
      </w:tr>
      <w:tr>
        <w:tc>
          <w:tcPr>
            <w:tcW w:type="dxa" w:w="2016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6</w:t>
            </w:r>
          </w:p>
        </w:tc>
        <w:tc>
          <w:tcPr>
            <w:tcW w:type="dxa" w:w="2160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622</w:t>
            </w:r>
          </w:p>
        </w:tc>
        <w:tc>
          <w:tcPr>
            <w:tcW w:type="dxa" w:w="2160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44</w:t>
            </w:r>
          </w:p>
        </w:tc>
        <w:tc>
          <w:tcPr>
            <w:tcW w:type="dxa" w:w="1728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2.06</w:t>
            </w:r>
          </w:p>
        </w:tc>
        <w:tc>
          <w:tcPr>
            <w:tcW w:type="dxa" w:w="1872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PASS</w:t>
            </w:r>
          </w:p>
        </w:tc>
      </w:tr>
      <w:tr>
        <w:tc>
          <w:tcPr>
            <w:tcW w:type="dxa" w:w="2016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8</w:t>
            </w:r>
          </w:p>
        </w:tc>
        <w:tc>
          <w:tcPr>
            <w:tcW w:type="dxa" w:w="2160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685</w:t>
            </w:r>
          </w:p>
        </w:tc>
        <w:tc>
          <w:tcPr>
            <w:tcW w:type="dxa" w:w="2160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40</w:t>
            </w:r>
          </w:p>
        </w:tc>
        <w:tc>
          <w:tcPr>
            <w:tcW w:type="dxa" w:w="1728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2.46</w:t>
            </w:r>
          </w:p>
        </w:tc>
        <w:tc>
          <w:tcPr>
            <w:tcW w:type="dxa" w:w="1872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PASS</w:t>
            </w:r>
          </w:p>
        </w:tc>
      </w:tr>
    </w:tbl>
    <w:p/>
    <w:p>
      <w:r>
        <w:rPr>
          <w:rFonts w:ascii="Arial" w:hAnsi="Arial"/>
          <w:i w:val="0"/>
          <w:sz w:val="21"/>
        </w:rPr>
        <w:t>The FER-specified core ΔT of 50 K pins the flow at G 543, which natural circulation delivers at H_tc ≈ 4 m — half the ≈ 8 m of an earlier, smaller-core concept, because H_tc ∝ A_core·G³ and the required G fell. A taller riser (5-6 m) would trade vessel height for additional DNB margin. H_tc 3 m fails MDNBR, so ≈ 4 m is the practical floor.</w:t>
      </w:r>
    </w:p>
    <w:p>
      <w:pPr>
        <w:pStyle w:val="Heading1"/>
      </w:pPr>
      <w:r>
        <w:rPr>
          <w:rFonts w:ascii="Arial" w:hAnsi="Arial"/>
          <w:color w:val="1F4E79"/>
        </w:rPr>
        <w:t>10. Vessel &amp; layout feasibility</w:t>
      </w:r>
    </w:p>
    <w:p>
      <w:r>
        <w:rPr>
          <w:rFonts w:ascii="Arial" w:hAnsi="Arial"/>
          <w:i w:val="0"/>
          <w:sz w:val="21"/>
        </w:rPr>
        <w:t>H_tc is an elevation offset, not the vessel height. An illustrative integral-vessel elevation budget that delivers H_tc = 4 m (core mid 1.9 m → SG mid 5.9 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448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Elevation [m]</w:t>
            </w:r>
          </w:p>
        </w:tc>
        <w:tc>
          <w:tcPr>
            <w:tcW w:type="dxa" w:w="6912"/>
            <w:shd w:val="clear" w:fill="1F4E7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Component</w:t>
            </w:r>
          </w:p>
        </w:tc>
      </w:tr>
      <w:tr>
        <w:tc>
          <w:tcPr>
            <w:tcW w:type="dxa" w:w="2448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0.0 – 0.9</w:t>
            </w:r>
          </w:p>
        </w:tc>
        <w:tc>
          <w:tcPr>
            <w:tcW w:type="dxa" w:w="6912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lower plenum / core inlet</w:t>
            </w:r>
          </w:p>
        </w:tc>
      </w:tr>
      <w:tr>
        <w:tc>
          <w:tcPr>
            <w:tcW w:type="dxa" w:w="2448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0.9 – 2.9</w:t>
            </w:r>
          </w:p>
        </w:tc>
        <w:tc>
          <w:tcPr>
            <w:tcW w:type="dxa" w:w="6912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core (2.0 m active; mid-plane 1.9 m)</w:t>
            </w:r>
          </w:p>
        </w:tc>
      </w:tr>
      <w:tr>
        <w:tc>
          <w:tcPr>
            <w:tcW w:type="dxa" w:w="2448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2.9 – 4.4</w:t>
            </w:r>
          </w:p>
        </w:tc>
        <w:tc>
          <w:tcPr>
            <w:tcW w:type="dxa" w:w="6912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outlet plenum + riser (chimney)</w:t>
            </w:r>
          </w:p>
        </w:tc>
      </w:tr>
      <w:tr>
        <w:tc>
          <w:tcPr>
            <w:tcW w:type="dxa" w:w="2448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4.4 – 7.4</w:t>
            </w:r>
          </w:p>
        </w:tc>
        <w:tc>
          <w:tcPr>
            <w:tcW w:type="dxa" w:w="6912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steam generator (helical coil, in annulus; mid 5.9 m)</w:t>
            </w:r>
          </w:p>
        </w:tc>
      </w:tr>
      <w:tr>
        <w:tc>
          <w:tcPr>
            <w:tcW w:type="dxa" w:w="2448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7.4 – 7.9</w:t>
            </w:r>
          </w:p>
        </w:tc>
        <w:tc>
          <w:tcPr>
            <w:tcW w:type="dxa" w:w="6912"/>
            <w:shd w:val="clear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upper plenum</w:t>
            </w:r>
          </w:p>
        </w:tc>
      </w:tr>
      <w:tr>
        <w:tc>
          <w:tcPr>
            <w:tcW w:type="dxa" w:w="2448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/>
                <w:sz w:val="19"/>
              </w:rPr>
              <w:t>7.9 – 9.9</w:t>
            </w:r>
          </w:p>
        </w:tc>
        <w:tc>
          <w:tcPr>
            <w:tcW w:type="dxa" w:w="6912"/>
            <w:shd w:val="clear" w:fill="EAF1F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/>
            <w:r>
              <w:rPr>
                <w:rFonts w:ascii="Arial" w:hAnsi="Arial"/>
                <w:b w:val="0"/>
                <w:sz w:val="19"/>
              </w:rPr>
              <w:t>integral pressurizer</w:t>
            </w:r>
          </w:p>
        </w:tc>
      </w:tr>
    </w:tbl>
    <w:p/>
    <w:p>
      <w:pPr>
        <w:pStyle w:val="ListBullet"/>
      </w:pPr>
      <w:r>
        <w:t>Total vessel ≈ 10 m — markedly more compact than NuScale (≈ 17.7 m), because the required riser is half as tall.</w:t>
      </w:r>
    </w:p>
    <w:p>
      <w:pPr>
        <w:pStyle w:val="ListBullet"/>
      </w:pPr>
      <w:r>
        <w:t>The Aegis-40 core is geometrically the NuScale NPM core (37 FA / 9 768 pins / 2.0 m), an NRC-reviewed natural-circulation iPWR arrangement: helical-coil SG in the annulus around a central hot riser, integral pressurizer on top. Component layout is therefore proven; Aegis-40 runs the same core at lower power with a shorter riser.</w:t>
      </w:r>
    </w:p>
    <w:p>
      <w:pPr>
        <w:pStyle w:val="ListBullet"/>
      </w:pPr>
      <w:r>
        <w:t>The steam generator (≈ 1 250 m² helical surface for 125 MWth at ΔT_pri 50 K, 467 kg/s) fits the annulus above the core with a ≈ 1.5 m riser gap. The binding dimension is vessel diameter (≈ 3.0-3.5 m, NuScale-class), not height.</w:t>
      </w:r>
    </w:p>
    <w:p>
      <w:r>
        <w:rPr>
          <w:rFonts w:ascii="Arial" w:hAnsi="Arial"/>
          <w:i/>
          <w:sz w:val="21"/>
        </w:rPr>
        <w:t>This is a layout-scoping argument (iPWR analogy + elevation budget); the mechanical vessel design — seismic, wall thickness, SG supports — is outside this thermal-hydraulic scope.</w:t>
      </w:r>
    </w:p>
    <w:p>
      <w:pPr>
        <w:pStyle w:val="Heading1"/>
      </w:pPr>
      <w:r>
        <w:rPr>
          <w:rFonts w:ascii="Arial" w:hAnsi="Arial"/>
          <w:color w:val="1F4E79"/>
        </w:rPr>
        <w:t>11. CFD field visualisation</w:t>
      </w:r>
    </w:p>
    <w:p>
      <w:r>
        <w:rPr>
          <w:rFonts w:ascii="Arial" w:hAnsi="Arial"/>
          <w:i w:val="0"/>
          <w:sz w:val="21"/>
        </w:rPr>
        <w:t>ParaView renderings of the converged medium-mesh fields (t = 15):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724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a_xsection_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2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777777"/>
          <w:sz w:val="18"/>
        </w:rPr>
        <w:t>Figure F9a. Temperature on the sub-channel cross-section at the axial peak (z = 1.0 m): hot fuel core grading through the clad to the cooler surrounding coolant.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3464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b_axial_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46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777777"/>
          <w:sz w:val="18"/>
        </w:rPr>
        <w:t>Figure F9b. Axial temperature on the pin centre-plane (chopped-cosine profile; inlet at left); radial scale exaggerated ~26x for legibility.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724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c_veloc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2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777777"/>
          <w:sz w:val="18"/>
        </w:rPr>
        <w:t>Figure F9c. Coolant axial velocity U_z on the sub-channel cross-section (z = 1.0 m): all-positive upflow (no recirculation), peak in the open sub-channel, no-slip at the rod wall (fuel+clad rod shown grey).</w:t>
      </w:r>
    </w:p>
    <w:p>
      <w:pPr>
        <w:pStyle w:val="Heading1"/>
      </w:pPr>
      <w:r>
        <w:rPr>
          <w:rFonts w:ascii="Arial" w:hAnsi="Arial"/>
          <w:color w:val="1F4E79"/>
        </w:rPr>
        <w:t>12. Limitations &amp; uncertainty</w:t>
      </w:r>
    </w:p>
    <w:p>
      <w:pPr>
        <w:pStyle w:val="ListBullet"/>
      </w:pPr>
      <w:r>
        <w:t>MDNBR uses the W-3 correlation, extrapolated below its mass-flux range (G 543 &lt; 1356 kg/m²·s) and into deep subcooling; W-3 is conservative there (under-predicts CHF), so the +20 % margin is a lower bound. A low-flow CHF correlation is recommended for the final safety case.</w:t>
      </w:r>
    </w:p>
    <w:p>
      <w:pPr>
        <w:pStyle w:val="ListBullet"/>
      </w:pPr>
      <w:r>
        <w:t>The hot-channel single-phase bulk slightly exceeds Tsat at the outlet (~4 K); a two-phase enthalpy model would cap it at Tsat. This affects only the top of the most-peaked channel.</w:t>
      </w:r>
    </w:p>
    <w:p>
      <w:pPr>
        <w:pStyle w:val="ListBullet"/>
      </w:pPr>
      <w:r>
        <w:t>Peaking uses the FER design targets (F_q 2.00, F_ΔH 1.55); the notebook compute cells were not executed, so these are design anchors rather than a fresh per-pin reconstruction.</w:t>
      </w:r>
    </w:p>
    <w:p>
      <w:pPr>
        <w:pStyle w:val="ListBullet"/>
      </w:pPr>
      <w:r>
        <w:t>Grid-convergence uncertainty is &lt; 0.15 % on temperatures; peak-fuel and Δp are degenerate-Richardson and reported by direct medium→fine change.</w:t>
      </w:r>
    </w:p>
    <w:p>
      <w:pPr>
        <w:pStyle w:val="Heading1"/>
      </w:pPr>
      <w:r>
        <w:rPr>
          <w:rFonts w:ascii="Arial" w:hAnsi="Arial"/>
          <w:color w:val="1F4E79"/>
        </w:rPr>
        <w:t>13. Conclusions</w:t>
      </w:r>
    </w:p>
    <w:p>
      <w:pPr>
        <w:pStyle w:val="ListBullet"/>
      </w:pPr>
      <w:r>
        <w:t>The conjugate CFD is energy-conservative (×1.00, every mesh) and mesh-independent (GCI &lt; 0.15 %), and its near-wall heat transfer matches the correlation stack to &lt; 7 K.</w:t>
      </w:r>
    </w:p>
    <w:p>
      <w:pPr>
        <w:pStyle w:val="ListBullet"/>
      </w:pPr>
      <w:r>
        <w:t>At the FER design point the hot channel sits at the saturation boundary by design; peak fuel centreline is only 734 °C.</w:t>
      </w:r>
    </w:p>
    <w:p>
      <w:pPr>
        <w:pStyle w:val="ListBullet"/>
      </w:pPr>
      <w:r>
        <w:t>Safety metrics pass with margin: MDNBR 1.56 (&gt; 1.3, +20 %), PCT 349 °C (≪ 1200 °C), fuel 734 °C (≪ melt).</w:t>
      </w:r>
    </w:p>
    <w:p>
      <w:pPr>
        <w:pStyle w:val="ListBullet"/>
      </w:pPr>
      <w:r>
        <w:t>Natural circulation delivers the design flow at a modest H_tc ≈ 4 m, yielding a compact (~10 m) NuScale-class integral vessel in which the steam generator fits the annulus above the core — the reactor is thermal-hydraulically feasible.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