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3E21" w14:textId="77777777" w:rsidR="00F62C4C" w:rsidRPr="0091535E" w:rsidRDefault="00F62C4C" w:rsidP="00F62C4C">
      <w:pPr>
        <w:pStyle w:val="2"/>
        <w:ind w:left="652" w:hanging="652"/>
        <w:rPr>
          <w:rFonts w:eastAsia="Arial Black" w:cs="Arial Black"/>
          <w:szCs w:val="28"/>
        </w:rPr>
      </w:pPr>
      <w:bookmarkStart w:id="0" w:name="_Toc198560772"/>
      <w:bookmarkStart w:id="1" w:name="_Toc230185530"/>
      <w:r w:rsidRPr="0091535E">
        <w:rPr>
          <w:rFonts w:eastAsia="Arial Black" w:cs="Arial Black"/>
          <w:szCs w:val="28"/>
        </w:rPr>
        <w:t xml:space="preserve">8.8. </w:t>
      </w:r>
      <w:bookmarkEnd w:id="0"/>
      <w:r w:rsidRPr="0091535E">
        <w:rPr>
          <w:rFonts w:eastAsia="Arial Black" w:cs="Arial Black"/>
          <w:szCs w:val="28"/>
        </w:rPr>
        <w:t>Auxiliary Systems Design</w:t>
      </w:r>
      <w:bookmarkEnd w:id="1"/>
    </w:p>
    <w:p w14:paraId="4CB42ED6" w14:textId="77777777" w:rsidR="00F62C4C" w:rsidRDefault="00F62C4C" w:rsidP="00F62C4C">
      <w:pPr>
        <w:pStyle w:val="3"/>
        <w:spacing w:before="200"/>
      </w:pPr>
      <w:r>
        <w:t>Scope and classification basis</w:t>
      </w:r>
    </w:p>
    <w:p w14:paraId="3775A015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Following SSG-62 §2.2–2.4, an </w:t>
      </w:r>
      <w:r>
        <w:rPr>
          <w:rFonts w:cs="Arial"/>
          <w:b/>
          <w:bCs/>
          <w:szCs w:val="24"/>
        </w:rPr>
        <w:t>auxiliary system</w:t>
      </w:r>
      <w:r>
        <w:rPr>
          <w:rFonts w:cs="Arial"/>
          <w:szCs w:val="24"/>
        </w:rPr>
        <w:t xml:space="preserve"> does not itself perform a primary plant function but must be available so that other systems (including the main systems) can perform theirs; a </w:t>
      </w:r>
      <w:r>
        <w:rPr>
          <w:rFonts w:cs="Arial"/>
          <w:b/>
          <w:bCs/>
          <w:szCs w:val="24"/>
        </w:rPr>
        <w:t>supporting system</w:t>
      </w:r>
      <w:r>
        <w:rPr>
          <w:rFonts w:cs="Arial"/>
          <w:szCs w:val="24"/>
        </w:rPr>
        <w:t xml:space="preserve"> is an auxiliary system used to serve a safety function [SSG-62]. The Aegis-40 auxiliary and supporting systems are classified by safety class in accordance with their importance to safety per SSG-30 [SSG-62 §3.4, §3.52].</w:t>
      </w:r>
    </w:p>
    <w:p w14:paraId="368B2563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A defining consequence of the Aegis-40 passive safety architecture is invoked directly from SSG-62 §3.6 and §4.1: for plants whose safety functions rely on buoyancy, gravity or stored energy and contain fewer active components, the need for safety-classified supporting systems can be significantly smaller. Accordingly, </w:t>
      </w:r>
      <w:r>
        <w:rPr>
          <w:rFonts w:cs="Arial"/>
          <w:b/>
          <w:bCs/>
          <w:szCs w:val="24"/>
        </w:rPr>
        <w:t>no auxiliary system in this section is required to prevent core damage</w:t>
      </w:r>
      <w:r>
        <w:rPr>
          <w:rFonts w:cs="Arial"/>
          <w:szCs w:val="24"/>
        </w:rPr>
        <w:t xml:space="preserve">; the natural-circulation primary loop and passive decay-heat removal (§8.4, §8.6) discharge the fundamental safety functions without auxiliary support. The auxiliary systems preserve normal operation, provide </w:t>
      </w:r>
      <w:proofErr w:type="spellStart"/>
      <w:r>
        <w:rPr>
          <w:rFonts w:cs="Arial"/>
          <w:szCs w:val="24"/>
        </w:rPr>
        <w:t>defence</w:t>
      </w:r>
      <w:proofErr w:type="spellEnd"/>
      <w:r>
        <w:rPr>
          <w:rFonts w:cs="Arial"/>
          <w:szCs w:val="24"/>
        </w:rPr>
        <w:t>-in-depth (</w:t>
      </w:r>
      <w:proofErr w:type="spellStart"/>
      <w:r>
        <w:rPr>
          <w:rFonts w:cs="Arial"/>
          <w:szCs w:val="24"/>
        </w:rPr>
        <w:t>DiD</w:t>
      </w:r>
      <w:proofErr w:type="spellEnd"/>
      <w:r>
        <w:rPr>
          <w:rFonts w:cs="Arial"/>
          <w:szCs w:val="24"/>
        </w:rPr>
        <w:t>) backup, and limit dose in line with ALARA.</w:t>
      </w:r>
    </w:p>
    <w:p w14:paraId="1326260D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The systems governed by </w:t>
      </w:r>
      <w:r>
        <w:rPr>
          <w:rFonts w:cs="Arial"/>
          <w:b/>
          <w:bCs/>
          <w:szCs w:val="24"/>
        </w:rPr>
        <w:t>other</w:t>
      </w:r>
      <w:r>
        <w:rPr>
          <w:rFonts w:cs="Arial"/>
          <w:szCs w:val="24"/>
        </w:rPr>
        <w:t xml:space="preserve"> guides are addressed in their proper FER sections and only </w:t>
      </w:r>
      <w:proofErr w:type="spellStart"/>
      <w:r>
        <w:rPr>
          <w:rFonts w:cs="Arial"/>
          <w:szCs w:val="24"/>
        </w:rPr>
        <w:t>summarised</w:t>
      </w:r>
      <w:proofErr w:type="spellEnd"/>
      <w:r>
        <w:rPr>
          <w:rFonts w:cs="Arial"/>
          <w:szCs w:val="24"/>
        </w:rPr>
        <w:t xml:space="preserve"> here for completeness: fire protection (SSR-2/1 Req. 74; NS-G-1.7 / SSG-64) — §8.8.11 and §8.6; radiation-protection design (Req. 81; NS-G-1.13) — §8.8.12; fuel handling and storage (Req. 80; SSG-63) — §8.8.10; radioactive-waste and effluent processing (Req. 78, 79) — FER §8.11; decay-heat removal and the steam/feedwater systems (Req. 70 part, 77; SSG-56) — §8.4/§8.6. The auxiliary-systems interconnection overview is </w:t>
      </w:r>
      <w:r>
        <w:rPr>
          <w:rFonts w:cs="Arial"/>
          <w:b/>
          <w:bCs/>
          <w:szCs w:val="24"/>
        </w:rPr>
        <w:t>Figure 8.8-1</w:t>
      </w:r>
      <w:r>
        <w:rPr>
          <w:rFonts w:cs="Arial"/>
          <w:szCs w:val="24"/>
        </w:rPr>
        <w:t>.</w:t>
      </w:r>
    </w:p>
    <w:p w14:paraId="398E8775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3641ACF" wp14:editId="42655755">
            <wp:extent cx="5580000" cy="3863076"/>
            <wp:effectExtent l="0" t="0" r="0" b="0"/>
            <wp:docPr id="9001" name="Fig_8.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Fig_8.8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58F7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8.8-1. Aegis-40 auxiliary and supporting systems — overview (per IAEA SSG-62).</w:t>
      </w:r>
    </w:p>
    <w:p w14:paraId="1834BDD2" w14:textId="77777777" w:rsidR="00F62C4C" w:rsidRDefault="00F62C4C" w:rsidP="00F62C4C">
      <w:pPr>
        <w:pStyle w:val="3"/>
        <w:spacing w:before="200"/>
      </w:pPr>
      <w:r>
        <w:t>8.8.1. Air Conditioning and Ventilation (HVAC) and Fission-Product Release Control — SSG-62 §4.108–4.170 (Req. 73)</w:t>
      </w:r>
    </w:p>
    <w:p w14:paraId="3A62DCB5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Maintain temperature, humidity, cleanliness and the </w:t>
      </w:r>
      <w:r>
        <w:rPr>
          <w:rFonts w:cs="Arial"/>
          <w:b/>
          <w:bCs/>
          <w:szCs w:val="24"/>
        </w:rPr>
        <w:t>directional pressure cascade</w:t>
      </w:r>
      <w:r>
        <w:rPr>
          <w:rFonts w:cs="Arial"/>
          <w:szCs w:val="24"/>
        </w:rPr>
        <w:t xml:space="preserve"> of plant areas so air always flows from lower to higher potential contamination, controlling airborne fission-product migration in normal operation and design-basis accidents (DBA) [SSG-62 §4.108–4.170; NS-G-1.13].</w:t>
      </w:r>
    </w:p>
    <w:p w14:paraId="7DB9E72A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Subsystems / operating principle.</w:t>
      </w:r>
    </w:p>
    <w:p w14:paraId="5FE6272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Controlled-area (reactor building) HVAC</w:t>
      </w:r>
      <w:r>
        <w:rPr>
          <w:rFonts w:cs="Arial"/>
          <w:szCs w:val="24"/>
        </w:rPr>
        <w:t xml:space="preserve"> — once-through (non-recirculating); building held at </w:t>
      </w:r>
      <w:r>
        <w:rPr>
          <w:rFonts w:cs="Arial"/>
          <w:b/>
          <w:bCs/>
          <w:szCs w:val="24"/>
        </w:rPr>
        <w:t>negative pressure (target −250 Pa)</w:t>
      </w:r>
      <w:r>
        <w:rPr>
          <w:rFonts w:cs="Arial"/>
          <w:szCs w:val="24"/>
        </w:rPr>
        <w:t xml:space="preserve">; exhaust through pre-filter → </w:t>
      </w:r>
      <w:r>
        <w:rPr>
          <w:rFonts w:cs="Arial"/>
          <w:b/>
          <w:bCs/>
          <w:szCs w:val="24"/>
        </w:rPr>
        <w:t>HEPA ≥99.97 % @0.3 µm</w:t>
      </w:r>
      <w:r>
        <w:rPr>
          <w:rFonts w:cs="Arial"/>
          <w:szCs w:val="24"/>
        </w:rPr>
        <w:t xml:space="preserve"> → impregnated </w:t>
      </w:r>
      <w:r>
        <w:rPr>
          <w:rFonts w:cs="Arial"/>
          <w:b/>
          <w:bCs/>
          <w:szCs w:val="24"/>
        </w:rPr>
        <w:t>charcoal iodine adsorber (≥99 % elemental I)</w:t>
      </w:r>
      <w:r>
        <w:rPr>
          <w:rFonts w:cs="Arial"/>
          <w:szCs w:val="24"/>
        </w:rPr>
        <w:t xml:space="preserve"> → HEPA, released via the monitored stack.</w:t>
      </w:r>
    </w:p>
    <w:p w14:paraId="1B79B900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Fuel-handling-area ventilation</w:t>
      </w:r>
      <w:r>
        <w:rPr>
          <w:rFonts w:cs="Arial"/>
          <w:szCs w:val="24"/>
        </w:rPr>
        <w:t xml:space="preserve"> — independent train, auto-realigned to recirculation/filtration on a high-radiation signal (§8.8.5).</w:t>
      </w:r>
    </w:p>
    <w:p w14:paraId="27BAEBB3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Standby Gas Treatment System (SGTS)</w:t>
      </w:r>
      <w:r>
        <w:rPr>
          <w:rFonts w:cs="Arial"/>
          <w:szCs w:val="24"/>
        </w:rPr>
        <w:t xml:space="preserve"> — redundant 2×100 % filtration train; on containment-isolation/high-radiation it holds secondary confinement at negative pressure and filters leakage before elevated release. As the EPZ is at the plant boundary (§8.1), SGTS is a </w:t>
      </w:r>
      <w:proofErr w:type="spellStart"/>
      <w:r>
        <w:rPr>
          <w:rFonts w:cs="Arial"/>
          <w:szCs w:val="24"/>
        </w:rPr>
        <w:t>DiD</w:t>
      </w:r>
      <w:proofErr w:type="spellEnd"/>
      <w:r>
        <w:rPr>
          <w:rFonts w:cs="Arial"/>
          <w:szCs w:val="24"/>
        </w:rPr>
        <w:t xml:space="preserve"> provision, not a credited core-protection system.</w:t>
      </w:r>
    </w:p>
    <w:p w14:paraId="48F0FC6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Main-Control-Room habitability HVAC</w:t>
      </w:r>
      <w:r>
        <w:rPr>
          <w:rFonts w:cs="Arial"/>
          <w:szCs w:val="24"/>
        </w:rPr>
        <w:t xml:space="preserve"> — isolates and </w:t>
      </w:r>
      <w:proofErr w:type="spellStart"/>
      <w:r>
        <w:rPr>
          <w:rFonts w:cs="Arial"/>
          <w:szCs w:val="24"/>
        </w:rPr>
        <w:t>pressurises</w:t>
      </w:r>
      <w:proofErr w:type="spellEnd"/>
      <w:r>
        <w:rPr>
          <w:rFonts w:cs="Arial"/>
          <w:szCs w:val="24"/>
        </w:rPr>
        <w:t xml:space="preserve"> the MCR (</w:t>
      </w:r>
      <w:r>
        <w:rPr>
          <w:rFonts w:cs="Arial"/>
          <w:b/>
          <w:bCs/>
          <w:szCs w:val="24"/>
        </w:rPr>
        <w:t>target +120 Pa</w:t>
      </w:r>
      <w:r>
        <w:rPr>
          <w:rFonts w:cs="Arial"/>
          <w:szCs w:val="24"/>
        </w:rPr>
        <w:t xml:space="preserve">), filters intake through HEPA + charcoal, keeping operator dose </w:t>
      </w:r>
      <w:r>
        <w:rPr>
          <w:rFonts w:cs="Arial"/>
          <w:szCs w:val="24"/>
        </w:rPr>
        <w:lastRenderedPageBreak/>
        <w:t>within DBA limits [GDC 19], supporting the limited-staffing Digital-Twin concept (§8.7).</w:t>
      </w:r>
    </w:p>
    <w:p w14:paraId="6010EFF6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 &amp; SSG-62 compliance.</w:t>
      </w:r>
      <w:r>
        <w:rPr>
          <w:rFonts w:cs="Arial"/>
          <w:szCs w:val="24"/>
        </w:rPr>
        <w:t xml:space="preserve"> HVAC dampers serving a confinement function fail to the safe (closed) position on loss of power/air (§8.8.2). Redundant divisions are independent and protected against internal/external hazards per SSG-62 §3.15–3.28. </w:t>
      </w:r>
      <w:r>
        <w:rPr>
          <w:rFonts w:cs="Arial"/>
          <w:b/>
          <w:bCs/>
          <w:szCs w:val="24"/>
        </w:rPr>
        <w:t>Performance:</w:t>
      </w:r>
      <w:r>
        <w:rPr>
          <w:rFonts w:cs="Arial"/>
          <w:szCs w:val="24"/>
        </w:rPr>
        <w:t xml:space="preserve"> filter efficiencies above; the system maintains the pressure cascade on single active failure.</w:t>
      </w:r>
    </w:p>
    <w:p w14:paraId="04D28EB5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Layout &amp; maintenance.</w:t>
      </w:r>
      <w:r>
        <w:rPr>
          <w:rFonts w:cs="Arial"/>
          <w:szCs w:val="24"/>
        </w:rPr>
        <w:t xml:space="preserve"> Air-handling units, fans and filter trains in dedicated rooms; below-grade placement shortens ducts and adds shielding. Bag-in/bag-out filter change-out; differential-pressure monitoring schedules replacement; in-place DOP/halide efficiency testing [RG 1.52]. See </w:t>
      </w:r>
      <w:r>
        <w:rPr>
          <w:rFonts w:cs="Arial"/>
          <w:b/>
          <w:bCs/>
          <w:szCs w:val="24"/>
        </w:rPr>
        <w:t>Figure 8.8-2</w:t>
      </w:r>
      <w:r>
        <w:rPr>
          <w:rFonts w:cs="Arial"/>
          <w:szCs w:val="24"/>
        </w:rPr>
        <w:t>.</w:t>
      </w:r>
    </w:p>
    <w:p w14:paraId="1CB95D2B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44D43371" wp14:editId="1BC64E8B">
            <wp:extent cx="5580000" cy="3433846"/>
            <wp:effectExtent l="0" t="0" r="0" b="0"/>
            <wp:docPr id="9002" name="Fig_8.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Fig_8.8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02EE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8.8-2. HVAC flow and pressure-zone cascade.</w:t>
      </w:r>
    </w:p>
    <w:p w14:paraId="15D522CE" w14:textId="77777777" w:rsidR="00F62C4C" w:rsidRDefault="00F62C4C" w:rsidP="00F62C4C">
      <w:pPr>
        <w:pStyle w:val="3"/>
        <w:spacing w:before="200"/>
      </w:pPr>
      <w:r>
        <w:t>8.8.2. Compressed-Air Systems — SSG-62 §4.94–4.107 (Req. 72)</w:t>
      </w:r>
    </w:p>
    <w:p w14:paraId="2CA4F11C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Supply clean, dry, oil-free air to pneumatic instruments and valve actuators, plus service and breathing air [SSG-62 §4.94].</w:t>
      </w:r>
    </w:p>
    <w:p w14:paraId="4EC28275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Subsystems.</w:t>
      </w:r>
    </w:p>
    <w:p w14:paraId="1713A0B1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Instrument Air (IA)</w:t>
      </w:r>
      <w:r>
        <w:rPr>
          <w:rFonts w:cs="Arial"/>
          <w:szCs w:val="24"/>
        </w:rPr>
        <w:t xml:space="preserve"> — oil-free compressors, after-coolers, twin desiccant dryers; </w:t>
      </w:r>
      <w:r>
        <w:rPr>
          <w:rFonts w:cs="Arial"/>
          <w:b/>
          <w:bCs/>
          <w:szCs w:val="24"/>
        </w:rPr>
        <w:t>pressure dewpoint ≤ −40 °C (target)</w:t>
      </w:r>
      <w:r>
        <w:rPr>
          <w:rFonts w:cs="Arial"/>
          <w:szCs w:val="24"/>
        </w:rPr>
        <w:t>, filtration to ISO 8573-1 Class 2; air receiver provides ride-through on compressor swap.</w:t>
      </w:r>
    </w:p>
    <w:p w14:paraId="67086623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Service Air (SA)</w:t>
      </w:r>
      <w:r>
        <w:rPr>
          <w:rFonts w:cs="Arial"/>
          <w:szCs w:val="24"/>
        </w:rPr>
        <w:t xml:space="preserve"> — isolated from IA so SA demand cannot degrade IA quality [SSG-62 §4.95–4.99].</w:t>
      </w:r>
    </w:p>
    <w:p w14:paraId="484343A0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lastRenderedPageBreak/>
        <w:t xml:space="preserve">• </w:t>
      </w:r>
      <w:r>
        <w:rPr>
          <w:rFonts w:cs="Arial"/>
          <w:b/>
          <w:bCs/>
          <w:szCs w:val="24"/>
        </w:rPr>
        <w:t>Breathing Air</w:t>
      </w:r>
      <w:r>
        <w:rPr>
          <w:rFonts w:cs="Arial"/>
          <w:szCs w:val="24"/>
        </w:rPr>
        <w:t xml:space="preserve"> — grade-D for maintenance in contaminated areas.</w:t>
      </w:r>
    </w:p>
    <w:p w14:paraId="57863514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 (fail-safe).</w:t>
      </w:r>
      <w:r>
        <w:rPr>
          <w:rFonts w:cs="Arial"/>
          <w:szCs w:val="24"/>
        </w:rPr>
        <w:t xml:space="preserve"> All air-operated valves with a protective function </w:t>
      </w:r>
      <w:r>
        <w:rPr>
          <w:rFonts w:cs="Arial"/>
          <w:b/>
          <w:bCs/>
          <w:szCs w:val="24"/>
        </w:rPr>
        <w:t>fail to the safe position on loss of instrument air or power</w:t>
      </w:r>
      <w:r>
        <w:rPr>
          <w:rFonts w:cs="Arial"/>
          <w:szCs w:val="24"/>
        </w:rPr>
        <w:t xml:space="preserve"> (containment-isolation valves fail closed; passive-DHR valves fail open), so loss of compressed air initiates rather than defeats the safe-state transition (§8.6) [SSG-62 §4.103–4.107]. Loss of the IA system shall not cause a postulated initiating event [SSG-62 §3.13].</w:t>
      </w:r>
    </w:p>
    <w:p w14:paraId="52AF25F1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Lead/lag/standby compressor rotation, automatic dryer regeneration, periodic dewpoint and oil-carryover monitoring. See </w:t>
      </w:r>
      <w:r>
        <w:rPr>
          <w:rFonts w:cs="Arial"/>
          <w:b/>
          <w:bCs/>
          <w:szCs w:val="24"/>
        </w:rPr>
        <w:t>Figure 8.8-3</w:t>
      </w:r>
      <w:r>
        <w:rPr>
          <w:rFonts w:cs="Arial"/>
          <w:szCs w:val="24"/>
        </w:rPr>
        <w:t>.</w:t>
      </w:r>
    </w:p>
    <w:p w14:paraId="244F7B0D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21BFF1D4" wp14:editId="5BAD28DB">
            <wp:extent cx="5580000" cy="3004615"/>
            <wp:effectExtent l="0" t="0" r="0" b="0"/>
            <wp:docPr id="9003" name="Fig_8.8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Fig_8.8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55CD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8.8-3. Compressed-air system (instrument / service / breathing).</w:t>
      </w:r>
    </w:p>
    <w:p w14:paraId="1158562B" w14:textId="77777777" w:rsidR="00F62C4C" w:rsidRDefault="00F62C4C" w:rsidP="00F62C4C">
      <w:pPr>
        <w:pStyle w:val="3"/>
        <w:spacing w:before="200"/>
      </w:pPr>
      <w:r>
        <w:t>8.8.3. Electrical Power — Supporting Systems for Emergency and Alternate Supply — SSG-62 §4.233–4.267 (Req. 68); SSG-34</w:t>
      </w:r>
    </w:p>
    <w:p w14:paraId="04EE680C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Provide reliable power to plant loads and, in particular, the supporting power needed by systems important to safety. The overall electrical-power architecture follows SSG-34; this section concentrates on the </w:t>
      </w:r>
      <w:r>
        <w:rPr>
          <w:rFonts w:cs="Arial"/>
          <w:b/>
          <w:bCs/>
          <w:szCs w:val="24"/>
        </w:rPr>
        <w:t>supporting systems for the emergency and alternate power sources</w:t>
      </w:r>
      <w:r>
        <w:rPr>
          <w:rFonts w:cs="Arial"/>
          <w:szCs w:val="24"/>
        </w:rPr>
        <w:t xml:space="preserve"> that are the subject of SSG-62 (Req. 68) [SSG-62 §4.233].</w:t>
      </w:r>
    </w:p>
    <w:p w14:paraId="491A3F38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Off-site (preferred) power.</w:t>
      </w:r>
      <w:r>
        <w:rPr>
          <w:rFonts w:cs="Arial"/>
          <w:szCs w:val="24"/>
        </w:rPr>
        <w:t xml:space="preserve"> Two physically and electrically independent off-site supplies connect to the Sinop grid via separate lines and switchyard bays; either independently feeds all auxiliaries [GDC 17; IEEE Std 308; SSG-34].</w:t>
      </w:r>
    </w:p>
    <w:p w14:paraId="0EF81D4A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On-site distribution.</w:t>
      </w:r>
      <w:r>
        <w:rPr>
          <w:rFonts w:cs="Arial"/>
          <w:szCs w:val="24"/>
        </w:rPr>
        <w:t xml:space="preserve"> Turbine-generator → main step-up transformer; auxiliaries from a unit auxiliary transformer with fast transfer to a reserve transformer on loss of the unit source. Distribution is segregated into </w:t>
      </w:r>
      <w:r>
        <w:rPr>
          <w:rFonts w:cs="Arial"/>
          <w:b/>
          <w:bCs/>
          <w:szCs w:val="24"/>
        </w:rPr>
        <w:t>Class 1E (safety)</w:t>
      </w:r>
      <w:r>
        <w:rPr>
          <w:rFonts w:cs="Arial"/>
          <w:szCs w:val="24"/>
        </w:rPr>
        <w:t xml:space="preserve"> and </w:t>
      </w:r>
      <w:r>
        <w:rPr>
          <w:rFonts w:cs="Arial"/>
          <w:b/>
          <w:bCs/>
          <w:szCs w:val="24"/>
        </w:rPr>
        <w:t>non-1E</w:t>
      </w:r>
      <w:r>
        <w:rPr>
          <w:rFonts w:cs="Arial"/>
          <w:szCs w:val="24"/>
        </w:rPr>
        <w:t xml:space="preserve"> trains with physical separation and electrical isolation [IEEE Std 384].</w:t>
      </w:r>
    </w:p>
    <w:p w14:paraId="5F886078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lastRenderedPageBreak/>
        <w:t>Emergency / alternate AC.</w:t>
      </w:r>
      <w:r>
        <w:rPr>
          <w:rFonts w:cs="Arial"/>
          <w:szCs w:val="24"/>
        </w:rPr>
        <w:t xml:space="preserve"> Two independent standby AC sources (target ≥ 2×100 % of protected loads) serve plant protection and orderly shutdown. </w:t>
      </w:r>
      <w:r>
        <w:rPr>
          <w:rFonts w:cs="Arial"/>
          <w:b/>
          <w:bCs/>
          <w:szCs w:val="24"/>
        </w:rPr>
        <w:t>Consistent with SSG-62 §3.6, their unavailability does not challenge core safety</w:t>
      </w:r>
      <w:r>
        <w:rPr>
          <w:rFonts w:cs="Arial"/>
          <w:szCs w:val="24"/>
        </w:rPr>
        <w:t xml:space="preserve"> — this is the basis for the negligible station-blackout (SBO) contribution to core-damage frequency. The supporting systems for these sources (fuel-oil supply, starting air, jacket-cooling, lubrication, room ventilation) are designed with the autonomy, availability and robustness commensurate with the served function and "with adequate margin" [SSG-62 §3.5, §4.233–4.267].</w:t>
      </w:r>
    </w:p>
    <w:p w14:paraId="0DE9CB77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DC and uninterruptible power.</w:t>
      </w:r>
    </w:p>
    <w:p w14:paraId="5D2F4EF9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Class 1E DC</w:t>
      </w:r>
      <w:r>
        <w:rPr>
          <w:rFonts w:cs="Arial"/>
          <w:szCs w:val="24"/>
        </w:rPr>
        <w:t xml:space="preserve"> — redundant, independent battery banks (target ≥ 72 h coping without recharge) feed the protection system, safety instrumentation and DC isolation valves needed for passive safety, riding through extended SBO consistent with the &gt;100 h passive-cooling target (§8.5).</w:t>
      </w:r>
    </w:p>
    <w:p w14:paraId="7AF58FE1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UPS</w:t>
      </w:r>
      <w:r>
        <w:rPr>
          <w:rFonts w:cs="Arial"/>
          <w:szCs w:val="24"/>
        </w:rPr>
        <w:t xml:space="preserve"> — battery-backed inverters supply clean AC to I&amp;C, the DCS and the Digital-Twin process computer (§8.7); the safety-side UPS is isolated from the non-safety side across the one-way data diode / air-gap.</w:t>
      </w:r>
    </w:p>
    <w:p w14:paraId="399D9A62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Independence &amp; maintenance.</w:t>
      </w:r>
      <w:r>
        <w:rPr>
          <w:rFonts w:cs="Arial"/>
          <w:szCs w:val="24"/>
        </w:rPr>
        <w:t xml:space="preserve"> Redundant divisions in separate fire areas (§8.8.11) with no shared raceways; common-cause vulnerabilities between redundant supporting trains identified and removed as far as practicable [SSG-62 §3.38, §4.233–4.267]. Battery rooms ventilated and H₂-monitored; periodic battery capacity discharge and relay-protection testing. Single-line diagram: </w:t>
      </w:r>
      <w:r>
        <w:rPr>
          <w:rFonts w:cs="Arial"/>
          <w:b/>
          <w:bCs/>
          <w:szCs w:val="24"/>
        </w:rPr>
        <w:t>Figure 8.8-4</w:t>
      </w:r>
      <w:r>
        <w:rPr>
          <w:rFonts w:cs="Arial"/>
          <w:szCs w:val="24"/>
        </w:rPr>
        <w:t>.</w:t>
      </w:r>
    </w:p>
    <w:p w14:paraId="6E386DF3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1D054768" wp14:editId="6E911F32">
            <wp:extent cx="5580000" cy="3863076"/>
            <wp:effectExtent l="0" t="0" r="0" b="0"/>
            <wp:docPr id="9004" name="Fig_8.8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Fig_8.8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0701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8.8-4. Electrical single-line — emergency and supporting supplies.</w:t>
      </w:r>
    </w:p>
    <w:p w14:paraId="581C716D" w14:textId="77777777" w:rsidR="00F62C4C" w:rsidRDefault="00F62C4C" w:rsidP="00F62C4C">
      <w:pPr>
        <w:pStyle w:val="3"/>
        <w:spacing w:before="200"/>
      </w:pPr>
      <w:r>
        <w:lastRenderedPageBreak/>
        <w:t>8.8.4. Process and Post-Accident Sampling System — SSG-62 §4.45–4.72 (Req. 71)</w:t>
      </w:r>
    </w:p>
    <w:p w14:paraId="5638480D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Take representative samples of process fluids during normal operation </w:t>
      </w:r>
      <w:r>
        <w:rPr>
          <w:rFonts w:cs="Arial"/>
          <w:b/>
          <w:bCs/>
          <w:szCs w:val="24"/>
        </w:rPr>
        <w:t>and under accident conditions</w:t>
      </w:r>
      <w:r>
        <w:rPr>
          <w:rFonts w:cs="Arial"/>
          <w:szCs w:val="24"/>
        </w:rPr>
        <w:t xml:space="preserve"> to monitor coolant chemistry, activity and core/containment status while limiting operator dose [SSG-62 §4.45–4.72].</w:t>
      </w:r>
    </w:p>
    <w:p w14:paraId="4830F250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Design features.</w:t>
      </w:r>
    </w:p>
    <w:p w14:paraId="18CCCDD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>• Sample points on the reactor-coolant system, containment atmosphere/sump, and effluent paths; remote/shielded sampling stations with flushing to prevent cross-contamination.</w:t>
      </w:r>
    </w:p>
    <w:p w14:paraId="04027938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Post-accident sampling</w:t>
      </w:r>
      <w:r>
        <w:rPr>
          <w:rFonts w:cs="Arial"/>
          <w:szCs w:val="24"/>
        </w:rPr>
        <w:t xml:space="preserve"> capability sized for high-activity samples (e.g., dissolved H₂, boron — minimal here owing to the SBF core, fission-product activity, containment hydrogen) with shielded handling and dose control.</w:t>
      </w:r>
    </w:p>
    <w:p w14:paraId="6DF11C54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>• Sample lines penetrating containment have qualified automatic isolation [SSR-2/1 Req. 56].</w:t>
      </w:r>
    </w:p>
    <w:p w14:paraId="55D8AB30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function.</w:t>
      </w:r>
      <w:r>
        <w:rPr>
          <w:rFonts w:cs="Arial"/>
          <w:szCs w:val="24"/>
        </w:rPr>
        <w:t xml:space="preserve"> Supports accident management and the Digital-Twin state estimate (§8.7) by providing chemistry/activity data. </w:t>
      </w:r>
      <w:r>
        <w:rPr>
          <w:rFonts w:cs="Arial"/>
          <w:b/>
          <w:bCs/>
          <w:szCs w:val="24"/>
        </w:rPr>
        <w:t>Performance:</w:t>
      </w:r>
      <w:r>
        <w:rPr>
          <w:rFonts w:cs="Arial"/>
          <w:szCs w:val="24"/>
        </w:rPr>
        <w:t xml:space="preserve"> representativeness, response time and dose-per-sample targets defined per SSG-62 §4.45–4.72.</w:t>
      </w:r>
    </w:p>
    <w:p w14:paraId="742C4732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Periodic calibration of in-line </w:t>
      </w:r>
      <w:proofErr w:type="spellStart"/>
      <w:r>
        <w:rPr>
          <w:rFonts w:cs="Arial"/>
          <w:szCs w:val="24"/>
        </w:rPr>
        <w:t>analysers</w:t>
      </w:r>
      <w:proofErr w:type="spellEnd"/>
      <w:r>
        <w:rPr>
          <w:rFonts w:cs="Arial"/>
          <w:szCs w:val="24"/>
        </w:rPr>
        <w:t xml:space="preserve">; line flushing and integrity checks. See </w:t>
      </w:r>
      <w:r>
        <w:rPr>
          <w:rFonts w:cs="Arial"/>
          <w:b/>
          <w:bCs/>
          <w:szCs w:val="24"/>
        </w:rPr>
        <w:t>Figure 8.8-5</w:t>
      </w:r>
      <w:r>
        <w:rPr>
          <w:rFonts w:cs="Arial"/>
          <w:szCs w:val="24"/>
        </w:rPr>
        <w:t>.</w:t>
      </w:r>
    </w:p>
    <w:p w14:paraId="61B4458B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5066A6C4" wp14:editId="0D1892BC">
            <wp:extent cx="5580000" cy="3004615"/>
            <wp:effectExtent l="0" t="0" r="0" b="0"/>
            <wp:docPr id="9005" name="Fig_8.8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Fig_8.8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36A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8.8-5. Process and post-accident sampling system.</w:t>
      </w:r>
    </w:p>
    <w:p w14:paraId="41A77541" w14:textId="77777777" w:rsidR="00F62C4C" w:rsidRDefault="00F62C4C" w:rsidP="00F62C4C">
      <w:pPr>
        <w:pStyle w:val="3"/>
        <w:spacing w:before="200"/>
      </w:pPr>
      <w:r>
        <w:t>8.8.5. Process Radiation Monitoring System — SSG-62 §4.73–4.93 (Req. 82)</w:t>
      </w:r>
    </w:p>
    <w:p w14:paraId="504A2018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Continuously monitor radioactivity in plant process streams and effluent paths to detect abnormal conditions, initiate protective actions, and record releases </w:t>
      </w:r>
      <w:r>
        <w:rPr>
          <w:rFonts w:cs="Arial"/>
          <w:szCs w:val="24"/>
        </w:rPr>
        <w:lastRenderedPageBreak/>
        <w:t>[SSG-62 §4.73–4.93]. (This is distinct from radiation-protection design / area &amp; personnel monitoring, which is §8.8.12 under NS-G-1.13.)</w:t>
      </w:r>
    </w:p>
    <w:p w14:paraId="46BE1E9F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Channels.</w:t>
      </w:r>
    </w:p>
    <w:p w14:paraId="06A994C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>• Reactor-coolant and steam/secondary activity (fuel-failure and primary-to-secondary leak detection).</w:t>
      </w:r>
    </w:p>
    <w:p w14:paraId="32BE4A8D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Containment-atmosphere, ventilation-exhaust and </w:t>
      </w:r>
      <w:r>
        <w:rPr>
          <w:rFonts w:cs="Arial"/>
          <w:b/>
          <w:bCs/>
          <w:szCs w:val="24"/>
        </w:rPr>
        <w:t>gaseous stack-discharge</w:t>
      </w:r>
      <w:r>
        <w:rPr>
          <w:rFonts w:cs="Arial"/>
          <w:szCs w:val="24"/>
        </w:rPr>
        <w:t xml:space="preserve"> monitors.</w:t>
      </w:r>
    </w:p>
    <w:p w14:paraId="493EC10A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Liquid-effluent discharge</w:t>
      </w:r>
      <w:r>
        <w:rPr>
          <w:rFonts w:cs="Arial"/>
          <w:szCs w:val="24"/>
        </w:rPr>
        <w:t xml:space="preserve"> monitors.</w:t>
      </w:r>
    </w:p>
    <w:p w14:paraId="078070DB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>• Component-cooling-water and other intermediate loops (in-leakage detection, §8.8.9).</w:t>
      </w:r>
    </w:p>
    <w:p w14:paraId="65763B54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function.</w:t>
      </w:r>
      <w:r>
        <w:rPr>
          <w:rFonts w:cs="Arial"/>
          <w:szCs w:val="24"/>
        </w:rPr>
        <w:t xml:space="preserve"> High readings provide initiating signals to HVAC realignment / SGTS (§8.8.1), MCR habitability isolation (§8.8.2/8.8.3) and effluent-discharge isolation, linking process monitoring to the ESF actuation logic (§8.6–8.7). Monitors are safety-classified per their function [SSG-62 §4.73–4.93; SSG-30].</w:t>
      </w:r>
    </w:p>
    <w:p w14:paraId="03CEE115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Periodic source-check/calibration; redundancy so a single monitor outage does not blind a credited function. See </w:t>
      </w:r>
      <w:r>
        <w:rPr>
          <w:rFonts w:cs="Arial"/>
          <w:b/>
          <w:bCs/>
          <w:szCs w:val="24"/>
        </w:rPr>
        <w:t>Figure 8.8-6</w:t>
      </w:r>
      <w:r>
        <w:rPr>
          <w:rFonts w:cs="Arial"/>
          <w:szCs w:val="24"/>
        </w:rPr>
        <w:t>.</w:t>
      </w:r>
    </w:p>
    <w:p w14:paraId="329D94C2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02C1EE7F" wp14:editId="64E73A74">
            <wp:extent cx="5580000" cy="3219230"/>
            <wp:effectExtent l="0" t="0" r="0" b="0"/>
            <wp:docPr id="9006" name="Fig_8.8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Fig_8.8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9DCE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8.8-6. Process radiation monitoring system.</w:t>
      </w:r>
    </w:p>
    <w:p w14:paraId="2F92E50B" w14:textId="77777777" w:rsidR="00F62C4C" w:rsidRDefault="00F62C4C" w:rsidP="00F62C4C">
      <w:pPr>
        <w:pStyle w:val="3"/>
        <w:spacing w:before="200"/>
      </w:pPr>
      <w:r>
        <w:t>8.8.6. Communication Systems — SSG-62 §4.5–4.24 (Req. 37)</w:t>
      </w:r>
    </w:p>
    <w:p w14:paraId="31699E7B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Provide reliable internal and external communication for normal operation, anticipated operational occurrences and accident conditions, including communication with off-site emergency </w:t>
      </w:r>
      <w:proofErr w:type="spellStart"/>
      <w:r>
        <w:rPr>
          <w:rFonts w:cs="Arial"/>
          <w:szCs w:val="24"/>
        </w:rPr>
        <w:t>organisations</w:t>
      </w:r>
      <w:proofErr w:type="spellEnd"/>
      <w:r>
        <w:rPr>
          <w:rFonts w:cs="Arial"/>
          <w:szCs w:val="24"/>
        </w:rPr>
        <w:t xml:space="preserve"> [SSG-62 §4.5–4.24].</w:t>
      </w:r>
    </w:p>
    <w:p w14:paraId="3BF19319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Design features.</w:t>
      </w:r>
    </w:p>
    <w:p w14:paraId="3DA50BAF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lastRenderedPageBreak/>
        <w:t>• Diverse means (hard-wired intercom/page-party, telephone, wireless, sound-powered phones) so no single failure or single hazard defeats all communication [SSG-62 §4.6, diversity &amp; independence].</w:t>
      </w:r>
    </w:p>
    <w:p w14:paraId="7FBE1E19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MCR, supplementary control point, on-site emergency </w:t>
      </w:r>
      <w:proofErr w:type="spellStart"/>
      <w:r>
        <w:rPr>
          <w:rFonts w:cs="Arial"/>
          <w:szCs w:val="24"/>
        </w:rPr>
        <w:t>centre</w:t>
      </w:r>
      <w:proofErr w:type="spellEnd"/>
      <w:r>
        <w:rPr>
          <w:rFonts w:cs="Arial"/>
          <w:szCs w:val="24"/>
        </w:rPr>
        <w:t xml:space="preserve"> and key local stations covered; communication functions credited for accident management are powered from emergency/UPS supplies (§8.8.3).</w:t>
      </w:r>
    </w:p>
    <w:p w14:paraId="3B95AA01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>• Qualified against the noise, fire, seismic and radiation environments of the locations served [SSG-62 §3.58–3.65].</w:t>
      </w:r>
    </w:p>
    <w:p w14:paraId="77A7CB31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function.</w:t>
      </w:r>
      <w:r>
        <w:rPr>
          <w:rFonts w:cs="Arial"/>
          <w:szCs w:val="24"/>
        </w:rPr>
        <w:t xml:space="preserve"> Supports operator actions and emergency response; not required for the passive safety functions but credited in the </w:t>
      </w:r>
      <w:proofErr w:type="spellStart"/>
      <w:r>
        <w:rPr>
          <w:rFonts w:cs="Arial"/>
          <w:szCs w:val="24"/>
        </w:rPr>
        <w:t>DiD</w:t>
      </w:r>
      <w:proofErr w:type="spellEnd"/>
      <w:r>
        <w:rPr>
          <w:rFonts w:cs="Arial"/>
          <w:szCs w:val="24"/>
        </w:rPr>
        <w:t xml:space="preserve">/accident-management strategy. See </w:t>
      </w:r>
      <w:r>
        <w:rPr>
          <w:rFonts w:cs="Arial"/>
          <w:b/>
          <w:bCs/>
          <w:szCs w:val="24"/>
        </w:rPr>
        <w:t>Figure 8.8-7</w:t>
      </w:r>
      <w:r>
        <w:rPr>
          <w:rFonts w:cs="Arial"/>
          <w:szCs w:val="24"/>
        </w:rPr>
        <w:t>.</w:t>
      </w:r>
    </w:p>
    <w:p w14:paraId="7B2B070A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Periodic functional tests of each medium and of MCR-to-emergency-</w:t>
      </w:r>
      <w:proofErr w:type="spellStart"/>
      <w:r>
        <w:rPr>
          <w:rFonts w:cs="Arial"/>
          <w:szCs w:val="24"/>
        </w:rPr>
        <w:t>centre</w:t>
      </w:r>
      <w:proofErr w:type="spellEnd"/>
      <w:r>
        <w:rPr>
          <w:rFonts w:cs="Arial"/>
          <w:szCs w:val="24"/>
        </w:rPr>
        <w:t xml:space="preserve"> links.</w:t>
      </w:r>
    </w:p>
    <w:p w14:paraId="3CBA0EBB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15BA5674" wp14:editId="2893503F">
            <wp:extent cx="5580000" cy="3004615"/>
            <wp:effectExtent l="0" t="0" r="0" b="0"/>
            <wp:docPr id="9007" name="Fig_8.8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Fig_8.8-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FEC4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8.8-7. Communication systems architecture.</w:t>
      </w:r>
    </w:p>
    <w:p w14:paraId="07E16F16" w14:textId="77777777" w:rsidR="00F62C4C" w:rsidRDefault="00F62C4C" w:rsidP="00F62C4C">
      <w:pPr>
        <w:pStyle w:val="3"/>
        <w:spacing w:before="200"/>
      </w:pPr>
      <w:r>
        <w:t>8.8.7. Normal and Emergency Lighting — SSG-62 §4.171–4.179 (Req. 75)</w:t>
      </w:r>
    </w:p>
    <w:p w14:paraId="6E6F5636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Provide adequate lighting for safe operation and, on loss of normal power, emergency lighting for operator action, safe egress and access to equipment important to safety [SSG-62 §4.171–4.179].</w:t>
      </w:r>
    </w:p>
    <w:p w14:paraId="404B50CD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Design features.</w:t>
      </w:r>
    </w:p>
    <w:p w14:paraId="246793A1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Normal lighting</w:t>
      </w:r>
      <w:r>
        <w:rPr>
          <w:rFonts w:cs="Arial"/>
          <w:szCs w:val="24"/>
        </w:rPr>
        <w:t xml:space="preserve"> from the standard AC distribution; </w:t>
      </w:r>
      <w:r>
        <w:rPr>
          <w:rFonts w:cs="Arial"/>
          <w:b/>
          <w:bCs/>
          <w:szCs w:val="24"/>
        </w:rPr>
        <w:t>emergency lighting</w:t>
      </w:r>
      <w:r>
        <w:rPr>
          <w:rFonts w:cs="Arial"/>
          <w:szCs w:val="24"/>
        </w:rPr>
        <w:t xml:space="preserve"> in the MCR, supplementary control point, escape routes, and locations of manual safety actions, fed from emergency AC and/or self-contained battery units (target ≥ 90 min autonomy).</w:t>
      </w:r>
    </w:p>
    <w:p w14:paraId="34974215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lastRenderedPageBreak/>
        <w:t>• Illumination levels and durations matched to the credited operator actions; below-grade areas given particular attention.</w:t>
      </w:r>
    </w:p>
    <w:p w14:paraId="29CEFB1E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function.</w:t>
      </w:r>
      <w:r>
        <w:rPr>
          <w:rFonts w:cs="Arial"/>
          <w:szCs w:val="24"/>
        </w:rPr>
        <w:t xml:space="preserve"> Enables credited manual actions and evacuation during loss of off-site power / SBO. See </w:t>
      </w:r>
      <w:r>
        <w:rPr>
          <w:rFonts w:cs="Arial"/>
          <w:b/>
          <w:bCs/>
          <w:szCs w:val="24"/>
        </w:rPr>
        <w:t>Figure 8.8-8</w:t>
      </w:r>
      <w:r>
        <w:rPr>
          <w:rFonts w:cs="Arial"/>
          <w:szCs w:val="24"/>
        </w:rPr>
        <w:t>.</w:t>
      </w:r>
    </w:p>
    <w:p w14:paraId="04847F6D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Periodic battery-unit duration tests and lamp checks.</w:t>
      </w:r>
    </w:p>
    <w:p w14:paraId="6A191DAF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367A4BE4" wp14:editId="0CBE3CDA">
            <wp:extent cx="5580000" cy="2897307"/>
            <wp:effectExtent l="0" t="0" r="0" b="0"/>
            <wp:docPr id="9008" name="Fig_8.8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Fig_8.8-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F67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8.8-8. Normal and emergency lighting.</w:t>
      </w:r>
    </w:p>
    <w:p w14:paraId="457FC3C9" w14:textId="77777777" w:rsidR="00F62C4C" w:rsidRDefault="00F62C4C" w:rsidP="00F62C4C">
      <w:pPr>
        <w:pStyle w:val="3"/>
        <w:spacing w:before="200"/>
      </w:pPr>
      <w:r>
        <w:t>8.8.8. Overhead Lifting and Handling Equipment — SSG-62 §4.180–4.198 (Req. 76)</w:t>
      </w:r>
    </w:p>
    <w:p w14:paraId="5186C90A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Move heavy loads (RPV head and internals, casks, large components) safely, preventing loads from impacting equipment or fuel important to safety [SSG-62 §4.180–4.198].</w:t>
      </w:r>
    </w:p>
    <w:p w14:paraId="3ADB685D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Design features.</w:t>
      </w:r>
    </w:p>
    <w:p w14:paraId="0E3F8890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Main lifting equipment (e.g., reactor-building/polar or gantry crane) designed to </w:t>
      </w:r>
      <w:r>
        <w:rPr>
          <w:rFonts w:cs="Arial"/>
          <w:b/>
          <w:bCs/>
          <w:szCs w:val="24"/>
        </w:rPr>
        <w:t>single-failure-proof</w:t>
      </w:r>
      <w:r>
        <w:rPr>
          <w:rFonts w:cs="Arial"/>
          <w:szCs w:val="24"/>
        </w:rPr>
        <w:t xml:space="preserve"> standards where a load drop could affect safety, with over-speed, over-load and restricted-zone interlocks [SSG-62 §4.196].</w:t>
      </w:r>
    </w:p>
    <w:p w14:paraId="3666A872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Safe load paths</w:t>
      </w:r>
      <w:r>
        <w:rPr>
          <w:rFonts w:cs="Arial"/>
          <w:szCs w:val="24"/>
        </w:rPr>
        <w:t xml:space="preserve"> that avoid carrying heavy loads over irradiated fuel or safety equipment.</w:t>
      </w:r>
    </w:p>
    <w:p w14:paraId="1B58F6BB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>• Cranes exposed to contamination given smooth/strippable coatings for decontamination [SSG-62 §4.197]; design life and provisions consistent with the preliminary decommissioning plan [SSG-62 §4.198].</w:t>
      </w:r>
    </w:p>
    <w:p w14:paraId="3EFE2B31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Safety function.</w:t>
      </w:r>
      <w:r>
        <w:rPr>
          <w:rFonts w:cs="Arial"/>
          <w:szCs w:val="24"/>
        </w:rPr>
        <w:t xml:space="preserve"> Prevents heavy-load-drop initiating events. </w:t>
      </w:r>
      <w:r>
        <w:rPr>
          <w:rFonts w:cs="Arial"/>
          <w:b/>
          <w:bCs/>
          <w:szCs w:val="24"/>
        </w:rPr>
        <w:t>Pre-service</w:t>
      </w:r>
      <w:r>
        <w:rPr>
          <w:rFonts w:cs="Arial"/>
          <w:szCs w:val="24"/>
        </w:rPr>
        <w:t xml:space="preserve"> maximum-expected-load testing and periodic in-service inspection/testing of safety interlocks [SSG-62 §4.196]. See </w:t>
      </w:r>
      <w:r>
        <w:rPr>
          <w:rFonts w:cs="Arial"/>
          <w:b/>
          <w:bCs/>
          <w:szCs w:val="24"/>
        </w:rPr>
        <w:t>Figure 8.8-9</w:t>
      </w:r>
      <w:r>
        <w:rPr>
          <w:rFonts w:cs="Arial"/>
          <w:szCs w:val="24"/>
        </w:rPr>
        <w:t>.</w:t>
      </w:r>
    </w:p>
    <w:p w14:paraId="37CBC6AD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31348F" wp14:editId="6FBA4915">
            <wp:extent cx="5580000" cy="3219230"/>
            <wp:effectExtent l="0" t="0" r="0" b="0"/>
            <wp:docPr id="9009" name="Fig_8.8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Fig_8.8-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A674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8.8-9. Overhead lifting and safe-load-path.</w:t>
      </w:r>
    </w:p>
    <w:p w14:paraId="31AB6E2F" w14:textId="77777777" w:rsidR="00F62C4C" w:rsidRDefault="00F62C4C" w:rsidP="00F62C4C">
      <w:pPr>
        <w:pStyle w:val="3"/>
        <w:spacing w:before="200"/>
      </w:pPr>
      <w:r>
        <w:t xml:space="preserve">8.8.9. Auxiliary Cooling, </w:t>
      </w:r>
      <w:proofErr w:type="spellStart"/>
      <w:r>
        <w:t>Demineralised</w:t>
      </w:r>
      <w:proofErr w:type="spellEnd"/>
      <w:r>
        <w:t>-Water and Drainage Systems — SSG-62 §4.25–4.44 (Req. 70 part) &amp; §2.6(k)</w:t>
      </w:r>
    </w:p>
    <w:p w14:paraId="18AEC3D7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Component Cooling Water System (CCWS).</w:t>
      </w:r>
      <w:r>
        <w:rPr>
          <w:rFonts w:cs="Arial"/>
          <w:szCs w:val="24"/>
        </w:rPr>
        <w:t xml:space="preserve"> Closed </w:t>
      </w:r>
      <w:proofErr w:type="spellStart"/>
      <w:r>
        <w:rPr>
          <w:rFonts w:cs="Arial"/>
          <w:szCs w:val="24"/>
        </w:rPr>
        <w:t>demineralised</w:t>
      </w:r>
      <w:proofErr w:type="spellEnd"/>
      <w:r>
        <w:rPr>
          <w:rFonts w:cs="Arial"/>
          <w:szCs w:val="24"/>
        </w:rPr>
        <w:t xml:space="preserve">-water loop removing heat from auxiliary loads (spent-fuel-pool coolers, sampling coolers, non-safety pump coolers) and rejecting it to the raw-water / ultimate-heat-sink interface (Black Sea seawater). As a closed intermediate </w:t>
      </w:r>
      <w:proofErr w:type="gramStart"/>
      <w:r>
        <w:rPr>
          <w:rFonts w:cs="Arial"/>
          <w:szCs w:val="24"/>
        </w:rPr>
        <w:t>loop</w:t>
      </w:r>
      <w:proofErr w:type="gramEnd"/>
      <w:r>
        <w:rPr>
          <w:rFonts w:cs="Arial"/>
          <w:szCs w:val="24"/>
        </w:rPr>
        <w:t xml:space="preserve"> it is a </w:t>
      </w:r>
      <w:r>
        <w:rPr>
          <w:rFonts w:cs="Arial"/>
          <w:b/>
          <w:bCs/>
          <w:szCs w:val="24"/>
        </w:rPr>
        <w:t>monitored barrier</w:t>
      </w:r>
      <w:r>
        <w:rPr>
          <w:rFonts w:cs="Arial"/>
          <w:szCs w:val="24"/>
        </w:rPr>
        <w:t xml:space="preserve"> between potentially radioactive sources and the environment; CCWS radiation monitoring (§8.8.5) detects in-leakage. Redundant 2×100 % pumps/heat-exchangers for credited loads (target) [SSG-62 §4.25–4.44].</w:t>
      </w:r>
    </w:p>
    <w:p w14:paraId="039BBC84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Raw-Water / Service-Water System.</w:t>
      </w:r>
      <w:r>
        <w:rPr>
          <w:rFonts w:cs="Arial"/>
          <w:szCs w:val="24"/>
        </w:rPr>
        <w:t xml:space="preserve"> Transfers CCWS heat to the ultimate heat sink; designed against external hazards and biofouling for the coastal site [SSG-62 §3.19–3.28].</w:t>
      </w:r>
    </w:p>
    <w:p w14:paraId="089BCA48" w14:textId="77777777" w:rsidR="00F62C4C" w:rsidRDefault="00F62C4C" w:rsidP="00F62C4C">
      <w:pPr>
        <w:spacing w:after="120" w:line="276" w:lineRule="auto"/>
      </w:pPr>
      <w:proofErr w:type="spellStart"/>
      <w:r>
        <w:rPr>
          <w:rFonts w:cs="Arial"/>
          <w:b/>
          <w:bCs/>
          <w:szCs w:val="24"/>
        </w:rPr>
        <w:t>Demineralised</w:t>
      </w:r>
      <w:proofErr w:type="spellEnd"/>
      <w:r>
        <w:rPr>
          <w:rFonts w:cs="Arial"/>
          <w:b/>
          <w:bCs/>
          <w:szCs w:val="24"/>
        </w:rPr>
        <w:t>-water storage and supply</w:t>
      </w:r>
      <w:r>
        <w:rPr>
          <w:rFonts w:cs="Arial"/>
          <w:szCs w:val="24"/>
        </w:rPr>
        <w:t xml:space="preserve"> and </w:t>
      </w:r>
      <w:r>
        <w:rPr>
          <w:rFonts w:cs="Arial"/>
          <w:b/>
          <w:bCs/>
          <w:szCs w:val="24"/>
        </w:rPr>
        <w:t>equipment / floor-drainage systems</w:t>
      </w:r>
      <w:r>
        <w:rPr>
          <w:rFonts w:cs="Arial"/>
          <w:szCs w:val="24"/>
        </w:rPr>
        <w:t xml:space="preserve"> are provided as auxiliary systems per SSG-62 §2.6(k): the </w:t>
      </w:r>
      <w:proofErr w:type="spellStart"/>
      <w:r>
        <w:rPr>
          <w:rFonts w:cs="Arial"/>
          <w:szCs w:val="24"/>
        </w:rPr>
        <w:t>demin</w:t>
      </w:r>
      <w:proofErr w:type="spellEnd"/>
      <w:r>
        <w:rPr>
          <w:rFonts w:cs="Arial"/>
          <w:szCs w:val="24"/>
        </w:rPr>
        <w:t>-water reserve supports makeup and chemistry; drainage collects, segregates and routes potentially radioactive leakage to the liquid-radwaste system (FER §8.11), kept separate from non-radioactive drains [SSG-62 §4.225].</w:t>
      </w:r>
    </w:p>
    <w:p w14:paraId="5BABD3B8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Reactor-coolant makeup and purification (reduced CVCS).</w:t>
      </w:r>
      <w:r>
        <w:rPr>
          <w:rFonts w:cs="Arial"/>
          <w:szCs w:val="24"/>
        </w:rPr>
        <w:t xml:space="preserve"> The soluble-boron-free core </w:t>
      </w:r>
      <w:r>
        <w:rPr>
          <w:rFonts w:cs="Arial"/>
          <w:b/>
          <w:bCs/>
          <w:szCs w:val="24"/>
        </w:rPr>
        <w:t>eliminates the boron-control and boron-recovery functions</w:t>
      </w:r>
      <w:r>
        <w:rPr>
          <w:rFonts w:cs="Arial"/>
          <w:szCs w:val="24"/>
        </w:rPr>
        <w:t xml:space="preserve"> of a conventional CVCS — a stated Aegis-40 originality (PER §5.1). A reduced makeup-and-purification subsystem still: maintains primary inventory and </w:t>
      </w:r>
      <w:proofErr w:type="spellStart"/>
      <w:r>
        <w:rPr>
          <w:rFonts w:cs="Arial"/>
          <w:szCs w:val="24"/>
        </w:rPr>
        <w:t>pressuriser</w:t>
      </w:r>
      <w:proofErr w:type="spellEnd"/>
      <w:r>
        <w:rPr>
          <w:rFonts w:cs="Arial"/>
          <w:szCs w:val="24"/>
        </w:rPr>
        <w:t xml:space="preserve"> level; purifies coolant via ion-exchange </w:t>
      </w:r>
      <w:proofErr w:type="spellStart"/>
      <w:r>
        <w:rPr>
          <w:rFonts w:cs="Arial"/>
          <w:szCs w:val="24"/>
        </w:rPr>
        <w:t>demineralisers</w:t>
      </w:r>
      <w:proofErr w:type="spellEnd"/>
      <w:r>
        <w:rPr>
          <w:rFonts w:cs="Arial"/>
          <w:szCs w:val="24"/>
        </w:rPr>
        <w:t xml:space="preserve"> (corrosion- and fission-product removal, source-term/dose reduction); and controls chemistry (Li-OH pH, H₂ for O₂ suppression) within </w:t>
      </w:r>
      <w:r>
        <w:rPr>
          <w:rFonts w:cs="Arial"/>
          <w:szCs w:val="24"/>
        </w:rPr>
        <w:lastRenderedPageBreak/>
        <w:t xml:space="preserve">PWR water-chemistry guidelines. Eliminating soluble-boron handling simplifies the auxiliary building, cuts liquid radwaste, and supports safeguards-by-design (PER §3.3). See </w:t>
      </w:r>
      <w:r>
        <w:rPr>
          <w:rFonts w:cs="Arial"/>
          <w:b/>
          <w:bCs/>
          <w:szCs w:val="24"/>
        </w:rPr>
        <w:t>Figure 8.8-10</w:t>
      </w:r>
      <w:r>
        <w:rPr>
          <w:rFonts w:cs="Arial"/>
          <w:szCs w:val="24"/>
        </w:rPr>
        <w:t>.</w:t>
      </w:r>
    </w:p>
    <w:p w14:paraId="69E61015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Resin change-out under HP control; CCWS leak monitoring; chemistry sampling and trending.</w:t>
      </w:r>
    </w:p>
    <w:p w14:paraId="3A03F874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5892A3A3" wp14:editId="0C9C8B8B">
            <wp:extent cx="5580000" cy="3433846"/>
            <wp:effectExtent l="0" t="0" r="0" b="0"/>
            <wp:docPr id="9010" name="Fig_8.8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Fig_8.8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5986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 xml:space="preserve">Figure 8.8-10. Auxiliary cooling, </w:t>
      </w:r>
      <w:proofErr w:type="spellStart"/>
      <w:r>
        <w:rPr>
          <w:rFonts w:cs="Arial"/>
          <w:i/>
          <w:iCs/>
          <w:sz w:val="20"/>
          <w:szCs w:val="20"/>
        </w:rPr>
        <w:t>demineralised</w:t>
      </w:r>
      <w:proofErr w:type="spellEnd"/>
      <w:r>
        <w:rPr>
          <w:rFonts w:cs="Arial"/>
          <w:i/>
          <w:iCs/>
          <w:sz w:val="20"/>
          <w:szCs w:val="20"/>
        </w:rPr>
        <w:t>-water and reduced-CVCS.</w:t>
      </w:r>
    </w:p>
    <w:p w14:paraId="75FA4C48" w14:textId="77777777" w:rsidR="00F62C4C" w:rsidRDefault="00F62C4C" w:rsidP="00F62C4C">
      <w:pPr>
        <w:pStyle w:val="3"/>
        <w:spacing w:before="200"/>
      </w:pPr>
      <w:r>
        <w:t>8.8.10. Fuel Handling and Storage Systems — SSR-2/1 Req. 80; SSG-63</w:t>
      </w:r>
    </w:p>
    <w:p w14:paraId="1E4D67DC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Receive, store, load and unload fuel safely, maintaining sub-criticality, cooling, shielding and confinement. The Aegis-40 runs an </w:t>
      </w:r>
      <w:r>
        <w:rPr>
          <w:rFonts w:cs="Arial"/>
          <w:b/>
          <w:bCs/>
          <w:szCs w:val="24"/>
        </w:rPr>
        <w:t>18-month, 4-batch cycle on a 21-assembly core</w:t>
      </w:r>
      <w:r>
        <w:rPr>
          <w:rFonts w:cs="Arial"/>
          <w:szCs w:val="24"/>
        </w:rPr>
        <w:t xml:space="preserve">, so a </w:t>
      </w:r>
      <w:proofErr w:type="spellStart"/>
      <w:r>
        <w:rPr>
          <w:rFonts w:cs="Arial"/>
          <w:szCs w:val="24"/>
        </w:rPr>
        <w:t>refuelling</w:t>
      </w:r>
      <w:proofErr w:type="spellEnd"/>
      <w:r>
        <w:rPr>
          <w:rFonts w:cs="Arial"/>
          <w:szCs w:val="24"/>
        </w:rPr>
        <w:t xml:space="preserve"> outage replaces ≈ </w:t>
      </w:r>
      <w:r>
        <w:rPr>
          <w:rFonts w:cs="Arial"/>
          <w:b/>
          <w:bCs/>
          <w:szCs w:val="24"/>
        </w:rPr>
        <w:t>5–6 of the 21 assemblies</w:t>
      </w:r>
      <w:r>
        <w:rPr>
          <w:rFonts w:cs="Arial"/>
          <w:szCs w:val="24"/>
        </w:rPr>
        <w:t xml:space="preserve"> (target).</w:t>
      </w:r>
    </w:p>
    <w:p w14:paraId="1A962696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New fuel.</w:t>
      </w:r>
      <w:r>
        <w:rPr>
          <w:rFonts w:cs="Arial"/>
          <w:szCs w:val="24"/>
        </w:rPr>
        <w:t xml:space="preserve"> Fresh 17×17 assemblies stored dry in criticality-safe racks with </w:t>
      </w:r>
      <w:proofErr w:type="spellStart"/>
      <w:r>
        <w:rPr>
          <w:rFonts w:cs="Arial"/>
          <w:b/>
          <w:bCs/>
          <w:szCs w:val="24"/>
        </w:rPr>
        <w:t>k_eff</w:t>
      </w:r>
      <w:proofErr w:type="spellEnd"/>
      <w:r>
        <w:rPr>
          <w:rFonts w:cs="Arial"/>
          <w:b/>
          <w:bCs/>
          <w:szCs w:val="24"/>
        </w:rPr>
        <w:t xml:space="preserve"> ≤ 0.95</w:t>
      </w:r>
      <w:r>
        <w:rPr>
          <w:rFonts w:cs="Arial"/>
          <w:szCs w:val="24"/>
        </w:rPr>
        <w:t xml:space="preserve"> under optimum-moderation flooding [ANSI/ANS-8.1]; because the core is SBF, criticality safety relies on </w:t>
      </w:r>
      <w:r>
        <w:rPr>
          <w:rFonts w:cs="Arial"/>
          <w:b/>
          <w:bCs/>
          <w:szCs w:val="24"/>
        </w:rPr>
        <w:t>fixed geometry and absorber rack materials</w:t>
      </w:r>
      <w:r>
        <w:rPr>
          <w:rFonts w:cs="Arial"/>
          <w:szCs w:val="24"/>
        </w:rPr>
        <w:t>, not dissolved boron.</w:t>
      </w:r>
    </w:p>
    <w:p w14:paraId="0D52FCCC" w14:textId="77777777" w:rsidR="00F62C4C" w:rsidRDefault="00F62C4C" w:rsidP="00F62C4C">
      <w:pPr>
        <w:spacing w:after="120" w:line="276" w:lineRule="auto"/>
      </w:pPr>
      <w:proofErr w:type="spellStart"/>
      <w:r>
        <w:rPr>
          <w:rFonts w:cs="Arial"/>
          <w:b/>
          <w:bCs/>
          <w:szCs w:val="24"/>
        </w:rPr>
        <w:t>Refuelling</w:t>
      </w:r>
      <w:proofErr w:type="spellEnd"/>
      <w:r>
        <w:rPr>
          <w:rFonts w:cs="Arial"/>
          <w:b/>
          <w:bCs/>
          <w:szCs w:val="24"/>
        </w:rPr>
        <w:t>.</w:t>
      </w:r>
      <w:r>
        <w:rPr>
          <w:rFonts w:cs="Arial"/>
          <w:szCs w:val="24"/>
        </w:rPr>
        <w:t xml:space="preserve"> Below-grade </w:t>
      </w:r>
      <w:proofErr w:type="spellStart"/>
      <w:r>
        <w:rPr>
          <w:rFonts w:cs="Arial"/>
          <w:szCs w:val="24"/>
        </w:rPr>
        <w:t>refuelling</w:t>
      </w:r>
      <w:proofErr w:type="spellEnd"/>
      <w:r>
        <w:rPr>
          <w:rFonts w:cs="Arial"/>
          <w:szCs w:val="24"/>
        </w:rPr>
        <w:t xml:space="preserve"> cavity; integral RPV head/internals removed; </w:t>
      </w:r>
      <w:proofErr w:type="spellStart"/>
      <w:r>
        <w:rPr>
          <w:rFonts w:cs="Arial"/>
          <w:szCs w:val="24"/>
        </w:rPr>
        <w:t>refuelling</w:t>
      </w:r>
      <w:proofErr w:type="spellEnd"/>
      <w:r>
        <w:rPr>
          <w:rFonts w:cs="Arial"/>
          <w:szCs w:val="24"/>
        </w:rPr>
        <w:t xml:space="preserve"> machine and underwater transfer to the spent-fuel pool; load/travel interlocks; double-verification of assembly identity/position for safeguards (§3S).</w:t>
      </w:r>
    </w:p>
    <w:p w14:paraId="43B8C958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Spent-Fuel Pool &amp; SFP Cooling/Cleanup (SFPCCS).</w:t>
      </w:r>
      <w:r>
        <w:rPr>
          <w:rFonts w:cs="Arial"/>
          <w:szCs w:val="24"/>
        </w:rPr>
        <w:t xml:space="preserve"> Absorber racks (</w:t>
      </w:r>
      <w:proofErr w:type="spellStart"/>
      <w:r>
        <w:rPr>
          <w:rFonts w:cs="Arial"/>
          <w:szCs w:val="24"/>
        </w:rPr>
        <w:t>k_eff</w:t>
      </w:r>
      <w:proofErr w:type="spellEnd"/>
      <w:r>
        <w:rPr>
          <w:rFonts w:cs="Arial"/>
          <w:szCs w:val="24"/>
        </w:rPr>
        <w:t xml:space="preserve"> ≤ 0.95) in a stainless-lined pool sized for the cycle history plus one full-core offload (target); </w:t>
      </w:r>
      <w:r>
        <w:rPr>
          <w:rFonts w:cs="Arial"/>
          <w:b/>
          <w:bCs/>
          <w:szCs w:val="24"/>
        </w:rPr>
        <w:t>cooling</w:t>
      </w:r>
      <w:r>
        <w:rPr>
          <w:rFonts w:cs="Arial"/>
          <w:szCs w:val="24"/>
        </w:rPr>
        <w:t xml:space="preserve"> via redundant 2×100 % HX trains to CCWS (§8.8.9), bulk ≤ 50 °C; </w:t>
      </w:r>
      <w:r>
        <w:rPr>
          <w:rFonts w:cs="Arial"/>
          <w:b/>
          <w:bCs/>
          <w:szCs w:val="24"/>
        </w:rPr>
        <w:t xml:space="preserve">passive </w:t>
      </w:r>
      <w:r>
        <w:rPr>
          <w:rFonts w:cs="Arial"/>
          <w:b/>
          <w:bCs/>
          <w:szCs w:val="24"/>
        </w:rPr>
        <w:lastRenderedPageBreak/>
        <w:t>gravity makeup</w:t>
      </w:r>
      <w:r>
        <w:rPr>
          <w:rFonts w:cs="Arial"/>
          <w:szCs w:val="24"/>
        </w:rPr>
        <w:t xml:space="preserve"> from an elevated tank for a long boil-off grace period; </w:t>
      </w:r>
      <w:r>
        <w:rPr>
          <w:rFonts w:cs="Arial"/>
          <w:b/>
          <w:bCs/>
          <w:szCs w:val="24"/>
        </w:rPr>
        <w:t>cleanup</w:t>
      </w:r>
      <w:r>
        <w:rPr>
          <w:rFonts w:cs="Arial"/>
          <w:szCs w:val="24"/>
        </w:rPr>
        <w:t xml:space="preserve"> by ion-exchange/filters [SSG-63; IAEA SSG-15].</w:t>
      </w:r>
    </w:p>
    <w:p w14:paraId="23110764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Pool level/temperature instrumentation, liner leak-chase, periodic crane/machine load testing. See </w:t>
      </w:r>
      <w:r>
        <w:rPr>
          <w:rFonts w:cs="Arial"/>
          <w:b/>
          <w:bCs/>
          <w:szCs w:val="24"/>
        </w:rPr>
        <w:t>Figure 8.8-11</w:t>
      </w:r>
      <w:r>
        <w:rPr>
          <w:rFonts w:cs="Arial"/>
          <w:szCs w:val="24"/>
        </w:rPr>
        <w:t>.</w:t>
      </w:r>
    </w:p>
    <w:p w14:paraId="5F5559AC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6CA2197A" wp14:editId="21B85030">
            <wp:extent cx="5580000" cy="3004615"/>
            <wp:effectExtent l="0" t="0" r="0" b="0"/>
            <wp:docPr id="9011" name="Fig_8.8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Fig_8.8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0D39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8.8-11. Fuel route and storage.</w:t>
      </w:r>
    </w:p>
    <w:p w14:paraId="7B2E3991" w14:textId="77777777" w:rsidR="00F62C4C" w:rsidRDefault="00F62C4C" w:rsidP="00F62C4C">
      <w:pPr>
        <w:pStyle w:val="3"/>
        <w:spacing w:before="200"/>
      </w:pPr>
      <w:r>
        <w:t>8.8.11. Fire Protection System — SSR-2/1 Req. 74; NS-G-1.7 / SSG-64</w:t>
      </w:r>
    </w:p>
    <w:p w14:paraId="3763652A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Protect against fire by the </w:t>
      </w:r>
      <w:proofErr w:type="spellStart"/>
      <w:r>
        <w:rPr>
          <w:rFonts w:cs="Arial"/>
          <w:szCs w:val="24"/>
        </w:rPr>
        <w:t>DiD</w:t>
      </w:r>
      <w:proofErr w:type="spellEnd"/>
      <w:r>
        <w:rPr>
          <w:rFonts w:cs="Arial"/>
          <w:szCs w:val="24"/>
        </w:rPr>
        <w:t xml:space="preserve"> strategy </w:t>
      </w:r>
      <w:r>
        <w:rPr>
          <w:rFonts w:cs="Arial"/>
          <w:b/>
          <w:bCs/>
          <w:szCs w:val="24"/>
        </w:rPr>
        <w:t>prevent–detect–suppress–confine</w:t>
      </w:r>
      <w:r>
        <w:rPr>
          <w:rFonts w:cs="Arial"/>
          <w:szCs w:val="24"/>
        </w:rPr>
        <w:t>, while ensuring a safe-shutdown path remains available despite any single fire [NS-G-1.7 / SSG-64; NFPA 805].</w:t>
      </w:r>
    </w:p>
    <w:p w14:paraId="7B2CCEE7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Design features.</w:t>
      </w:r>
    </w:p>
    <w:p w14:paraId="010A5B2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Fire-area separation</w:t>
      </w:r>
      <w:r>
        <w:rPr>
          <w:rFonts w:cs="Arial"/>
          <w:szCs w:val="24"/>
        </w:rPr>
        <w:t xml:space="preserve"> — redundant safety divisions in separate fire areas bounded by </w:t>
      </w:r>
      <w:r>
        <w:rPr>
          <w:rFonts w:cs="Arial"/>
          <w:b/>
          <w:bCs/>
          <w:szCs w:val="24"/>
        </w:rPr>
        <w:t>3-hour-rated barriers</w:t>
      </w:r>
      <w:r>
        <w:rPr>
          <w:rFonts w:cs="Arial"/>
          <w:szCs w:val="24"/>
        </w:rPr>
        <w:t xml:space="preserve"> with rated penetration seals and dampers; the division-independent passive safety functions strongly limit a fire's ability to defeat safe shutdown.</w:t>
      </w:r>
    </w:p>
    <w:p w14:paraId="05586627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Detection</w:t>
      </w:r>
      <w:r>
        <w:rPr>
          <w:rFonts w:cs="Arial"/>
          <w:szCs w:val="24"/>
        </w:rPr>
        <w:t xml:space="preserve"> — addressable smoke/heat and (oil/turbine areas) flame detection to the fire panel and MCR.</w:t>
      </w:r>
    </w:p>
    <w:p w14:paraId="2B539E5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Suppression</w:t>
      </w:r>
      <w:r>
        <w:rPr>
          <w:rFonts w:cs="Arial"/>
          <w:szCs w:val="24"/>
        </w:rPr>
        <w:t xml:space="preserve"> — wet-pipe sprinklers generally; pre-action/deluge in high-hazard areas (lube-oil, transformers); </w:t>
      </w:r>
      <w:r>
        <w:rPr>
          <w:rFonts w:cs="Arial"/>
          <w:b/>
          <w:bCs/>
          <w:szCs w:val="24"/>
        </w:rPr>
        <w:t>clean-agent (inert-gas) total flooding</w:t>
      </w:r>
      <w:r>
        <w:rPr>
          <w:rFonts w:cs="Arial"/>
          <w:szCs w:val="24"/>
        </w:rPr>
        <w:t xml:space="preserve"> in electrical/I&amp;C and computer rooms to protect the DCS/Digital-Twin (no Halon).</w:t>
      </w:r>
    </w:p>
    <w:p w14:paraId="41EF43F6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Fire-water</w:t>
      </w:r>
      <w:r>
        <w:rPr>
          <w:rFonts w:cs="Arial"/>
          <w:szCs w:val="24"/>
        </w:rPr>
        <w:t xml:space="preserve"> — redundant fire pumps (one diesel, one electric) ensure suppression during loss of off-site power.</w:t>
      </w:r>
    </w:p>
    <w:p w14:paraId="130F1DAF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Maintenance.</w:t>
      </w:r>
      <w:r>
        <w:rPr>
          <w:rFonts w:cs="Arial"/>
          <w:szCs w:val="24"/>
        </w:rPr>
        <w:t xml:space="preserve"> Scheduled detector/pump testing, sprinkler inspection, barrier-penetration surveillance. See </w:t>
      </w:r>
      <w:r>
        <w:rPr>
          <w:rFonts w:cs="Arial"/>
          <w:b/>
          <w:bCs/>
          <w:szCs w:val="24"/>
        </w:rPr>
        <w:t>Figure 8.8-12</w:t>
      </w:r>
      <w:r>
        <w:rPr>
          <w:rFonts w:cs="Arial"/>
          <w:szCs w:val="24"/>
        </w:rPr>
        <w:t>.</w:t>
      </w:r>
    </w:p>
    <w:p w14:paraId="45F26E2F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E90673" wp14:editId="24A9286B">
            <wp:extent cx="5580000" cy="3326538"/>
            <wp:effectExtent l="0" t="0" r="0" b="0"/>
            <wp:docPr id="9012" name="Fig_8.8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Fig_8.8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CFFA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8.8-12. Fire-zone map.</w:t>
      </w:r>
    </w:p>
    <w:p w14:paraId="5C2C678F" w14:textId="77777777" w:rsidR="00F62C4C" w:rsidRDefault="00F62C4C" w:rsidP="00F62C4C">
      <w:pPr>
        <w:pStyle w:val="3"/>
        <w:spacing w:before="200"/>
      </w:pPr>
      <w:r>
        <w:t>8.8.12. Radiation Protection Provisions in Auxiliary Systems — SSR-2/1 Req. 81; NS-G-1.13</w:t>
      </w:r>
    </w:p>
    <w:p w14:paraId="2E8DCC91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Purpose.</w:t>
      </w:r>
      <w:r>
        <w:rPr>
          <w:rFonts w:cs="Arial"/>
          <w:szCs w:val="24"/>
        </w:rPr>
        <w:t xml:space="preserve"> Keep occupational and public exposure ALARA [NS-G-1.13; ICRP 103; IAEA GSR Part 3]. (Process-stream activity monitoring is the separate system in §8.8.5.)</w:t>
      </w:r>
    </w:p>
    <w:p w14:paraId="10EDA009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Engineered means.</w:t>
      </w:r>
    </w:p>
    <w:p w14:paraId="07212615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Shielding</w:t>
      </w:r>
      <w:r>
        <w:rPr>
          <w:rFonts w:cs="Arial"/>
          <w:szCs w:val="24"/>
        </w:rPr>
        <w:t xml:space="preserve"> — concrete/steel biological shields plus inherent shielding of the below-grade cavity.</w:t>
      </w:r>
    </w:p>
    <w:p w14:paraId="1DBE9892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Area Radiation Monitoring System (ARMS)</w:t>
      </w:r>
      <w:r>
        <w:rPr>
          <w:rFonts w:cs="Arial"/>
          <w:szCs w:val="24"/>
        </w:rPr>
        <w:t xml:space="preserve"> — fixed gamma/neutron monitors with MCR alarms in accessible areas.</w:t>
      </w:r>
    </w:p>
    <w:p w14:paraId="33EFE192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Continuous Air Monitors (CAMs)</w:t>
      </w:r>
      <w:r>
        <w:rPr>
          <w:rFonts w:cs="Arial"/>
          <w:szCs w:val="24"/>
        </w:rPr>
        <w:t xml:space="preserve"> — particulate/iodine/noble-gas channels, interlocked to HVAC (§8.8.1).</w:t>
      </w:r>
    </w:p>
    <w:p w14:paraId="14AD714A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Access control &amp; dosimetry</w:t>
      </w:r>
      <w:r>
        <w:rPr>
          <w:rFonts w:cs="Arial"/>
          <w:szCs w:val="24"/>
        </w:rPr>
        <w:t xml:space="preserve"> — HP control point, electronic + passive dosimetry, contamination monitors, decontamination facility.</w:t>
      </w:r>
    </w:p>
    <w:p w14:paraId="5CDFCFCA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Interface.</w:t>
      </w:r>
      <w:r>
        <w:rPr>
          <w:rFonts w:cs="Arial"/>
          <w:szCs w:val="24"/>
        </w:rPr>
        <w:t xml:space="preserve"> Radiation signals drive HVAC isolation, SGTS and MCR habitability actions (§8.8.1–8.8.3). Effluent and radioactive-waste handling is covered in </w:t>
      </w:r>
      <w:r>
        <w:rPr>
          <w:rFonts w:cs="Arial"/>
          <w:b/>
          <w:bCs/>
          <w:szCs w:val="24"/>
        </w:rPr>
        <w:t>FER §8.11</w:t>
      </w:r>
      <w:r>
        <w:rPr>
          <w:rFonts w:cs="Arial"/>
          <w:szCs w:val="24"/>
        </w:rPr>
        <w:t xml:space="preserve">. See </w:t>
      </w:r>
      <w:r>
        <w:rPr>
          <w:rFonts w:cs="Arial"/>
          <w:b/>
          <w:bCs/>
          <w:szCs w:val="24"/>
        </w:rPr>
        <w:t>Figure 8.8-13</w:t>
      </w:r>
      <w:r>
        <w:rPr>
          <w:rFonts w:cs="Arial"/>
          <w:szCs w:val="24"/>
        </w:rPr>
        <w:t xml:space="preserve"> (radiation-monitoring layout).</w:t>
      </w:r>
    </w:p>
    <w:p w14:paraId="11336329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8806505" wp14:editId="40B0239E">
            <wp:extent cx="5580000" cy="3219230"/>
            <wp:effectExtent l="0" t="0" r="0" b="0"/>
            <wp:docPr id="9013" name="Fig_8.8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Fig_8.8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926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8.8-13. Area radiation-monitoring layout.</w:t>
      </w:r>
    </w:p>
    <w:p w14:paraId="0A84ABEC" w14:textId="77777777" w:rsidR="00F62C4C" w:rsidRDefault="00F62C4C" w:rsidP="00F62C4C">
      <w:pPr>
        <w:pStyle w:val="3"/>
        <w:spacing w:before="200"/>
      </w:pPr>
      <w:r>
        <w:t>References cited in §8.8</w:t>
      </w:r>
    </w:p>
    <w:p w14:paraId="1EC42C9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Design of Auxiliary and Supporting Systems for Nuclear Power Plants, </w:t>
      </w:r>
      <w:r>
        <w:rPr>
          <w:rFonts w:cs="Arial"/>
          <w:b/>
          <w:bCs/>
          <w:szCs w:val="24"/>
        </w:rPr>
        <w:t>SSG-62</w:t>
      </w:r>
      <w:r>
        <w:rPr>
          <w:rFonts w:cs="Arial"/>
          <w:szCs w:val="24"/>
        </w:rPr>
        <w:t>, Vienna (2020/Russian ed.).</w:t>
      </w:r>
    </w:p>
    <w:p w14:paraId="66F05F7F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Safety of Nuclear Power Plants: Design, </w:t>
      </w:r>
      <w:r>
        <w:rPr>
          <w:rFonts w:cs="Arial"/>
          <w:b/>
          <w:bCs/>
          <w:szCs w:val="24"/>
        </w:rPr>
        <w:t>SSR-2/1 (Rev. 1)</w:t>
      </w:r>
      <w:r>
        <w:rPr>
          <w:rFonts w:cs="Arial"/>
          <w:szCs w:val="24"/>
        </w:rPr>
        <w:t xml:space="preserve"> — Requirements 37, 68, 70–82.</w:t>
      </w:r>
    </w:p>
    <w:p w14:paraId="2E8C6A86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Design of Electrical Power Systems for Nuclear Power Plants, </w:t>
      </w:r>
      <w:r>
        <w:rPr>
          <w:rFonts w:cs="Arial"/>
          <w:b/>
          <w:bCs/>
          <w:szCs w:val="24"/>
        </w:rPr>
        <w:t>SSG-34</w:t>
      </w:r>
      <w:r>
        <w:rPr>
          <w:rFonts w:cs="Arial"/>
          <w:szCs w:val="24"/>
        </w:rPr>
        <w:t>.</w:t>
      </w:r>
    </w:p>
    <w:p w14:paraId="5BDF52E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Design of the Reactor Coolant System and Associated Systems …, </w:t>
      </w:r>
      <w:r>
        <w:rPr>
          <w:rFonts w:cs="Arial"/>
          <w:b/>
          <w:bCs/>
          <w:szCs w:val="24"/>
        </w:rPr>
        <w:t>SSG-56</w:t>
      </w:r>
      <w:r>
        <w:rPr>
          <w:rFonts w:cs="Arial"/>
          <w:szCs w:val="24"/>
        </w:rPr>
        <w:t>.</w:t>
      </w:r>
    </w:p>
    <w:p w14:paraId="217D0313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Design of Fuel Handling and Storage Systems for Nuclear Power Plants, </w:t>
      </w:r>
      <w:r>
        <w:rPr>
          <w:rFonts w:cs="Arial"/>
          <w:b/>
          <w:bCs/>
          <w:szCs w:val="24"/>
        </w:rPr>
        <w:t>SSG-63</w:t>
      </w:r>
      <w:r>
        <w:rPr>
          <w:rFonts w:cs="Arial"/>
          <w:szCs w:val="24"/>
        </w:rPr>
        <w:t>.</w:t>
      </w:r>
    </w:p>
    <w:p w14:paraId="53EBB37D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Protection against Internal Fires and Explosions in the Design of NPPs, </w:t>
      </w:r>
      <w:r>
        <w:rPr>
          <w:rFonts w:cs="Arial"/>
          <w:b/>
          <w:bCs/>
          <w:szCs w:val="24"/>
        </w:rPr>
        <w:t>NS-G-1.7</w:t>
      </w:r>
      <w:r>
        <w:rPr>
          <w:rFonts w:cs="Arial"/>
          <w:szCs w:val="24"/>
        </w:rPr>
        <w:t xml:space="preserve"> (current: </w:t>
      </w:r>
      <w:r>
        <w:rPr>
          <w:rFonts w:cs="Arial"/>
          <w:b/>
          <w:bCs/>
          <w:szCs w:val="24"/>
        </w:rPr>
        <w:t>SSG-64</w:t>
      </w:r>
      <w:r>
        <w:rPr>
          <w:rFonts w:cs="Arial"/>
          <w:szCs w:val="24"/>
        </w:rPr>
        <w:t>).</w:t>
      </w:r>
    </w:p>
    <w:p w14:paraId="1451961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Radiation Protection Aspects of Design for Nuclear Power Plants, </w:t>
      </w:r>
      <w:r>
        <w:rPr>
          <w:rFonts w:cs="Arial"/>
          <w:b/>
          <w:bCs/>
          <w:szCs w:val="24"/>
        </w:rPr>
        <w:t>NS-G-1.13</w:t>
      </w:r>
      <w:r>
        <w:rPr>
          <w:rFonts w:cs="Arial"/>
          <w:szCs w:val="24"/>
        </w:rPr>
        <w:t>.</w:t>
      </w:r>
    </w:p>
    <w:p w14:paraId="18F85F87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Storage of Spent Nuclear Fuel, </w:t>
      </w:r>
      <w:r>
        <w:rPr>
          <w:rFonts w:cs="Arial"/>
          <w:b/>
          <w:bCs/>
          <w:szCs w:val="24"/>
        </w:rPr>
        <w:t>SSG-15 (Rev. 1)</w:t>
      </w:r>
      <w:r>
        <w:rPr>
          <w:rFonts w:cs="Arial"/>
          <w:szCs w:val="24"/>
        </w:rPr>
        <w:t>.</w:t>
      </w:r>
    </w:p>
    <w:p w14:paraId="0B759018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Safety Classification of Structures, Systems and Components in NPPs, </w:t>
      </w:r>
      <w:r>
        <w:rPr>
          <w:rFonts w:cs="Arial"/>
          <w:b/>
          <w:bCs/>
          <w:szCs w:val="24"/>
        </w:rPr>
        <w:t>SSG-30</w:t>
      </w:r>
      <w:r>
        <w:rPr>
          <w:rFonts w:cs="Arial"/>
          <w:szCs w:val="24"/>
        </w:rPr>
        <w:t>.</w:t>
      </w:r>
    </w:p>
    <w:p w14:paraId="38259839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IAEA, </w:t>
      </w:r>
      <w:r>
        <w:rPr>
          <w:rFonts w:cs="Arial"/>
          <w:b/>
          <w:bCs/>
          <w:szCs w:val="24"/>
        </w:rPr>
        <w:t>GSR Part 3</w:t>
      </w:r>
      <w:r>
        <w:rPr>
          <w:rFonts w:cs="Arial"/>
          <w:szCs w:val="24"/>
        </w:rPr>
        <w:t xml:space="preserve">; ICRP </w:t>
      </w:r>
      <w:r>
        <w:rPr>
          <w:rFonts w:cs="Arial"/>
          <w:b/>
          <w:bCs/>
          <w:szCs w:val="24"/>
        </w:rPr>
        <w:t>Publication 103</w:t>
      </w:r>
      <w:r>
        <w:rPr>
          <w:rFonts w:cs="Arial"/>
          <w:szCs w:val="24"/>
        </w:rPr>
        <w:t>.</w:t>
      </w:r>
    </w:p>
    <w:p w14:paraId="154DA2B1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U.S. NRC </w:t>
      </w:r>
      <w:r>
        <w:rPr>
          <w:rFonts w:cs="Arial"/>
          <w:b/>
          <w:bCs/>
          <w:szCs w:val="24"/>
        </w:rPr>
        <w:t>10 CFR 50 App. A</w:t>
      </w:r>
      <w:r>
        <w:rPr>
          <w:rFonts w:cs="Arial"/>
          <w:szCs w:val="24"/>
        </w:rPr>
        <w:t xml:space="preserve"> (GDC 17, 19); </w:t>
      </w:r>
      <w:r>
        <w:rPr>
          <w:rFonts w:cs="Arial"/>
          <w:b/>
          <w:bCs/>
          <w:szCs w:val="24"/>
        </w:rPr>
        <w:t>RG 1.52</w:t>
      </w:r>
      <w:r>
        <w:rPr>
          <w:rFonts w:cs="Arial"/>
          <w:szCs w:val="24"/>
        </w:rPr>
        <w:t>.</w:t>
      </w:r>
    </w:p>
    <w:p w14:paraId="5E672DED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IEEE </w:t>
      </w:r>
      <w:r>
        <w:rPr>
          <w:rFonts w:cs="Arial"/>
          <w:b/>
          <w:bCs/>
          <w:szCs w:val="24"/>
        </w:rPr>
        <w:t>Std 308</w:t>
      </w:r>
      <w:r>
        <w:rPr>
          <w:rFonts w:cs="Arial"/>
          <w:szCs w:val="24"/>
        </w:rPr>
        <w:t xml:space="preserve">, </w:t>
      </w:r>
      <w:r>
        <w:rPr>
          <w:rFonts w:cs="Arial"/>
          <w:b/>
          <w:bCs/>
          <w:szCs w:val="24"/>
        </w:rPr>
        <w:t>Std 384</w:t>
      </w:r>
      <w:r>
        <w:rPr>
          <w:rFonts w:cs="Arial"/>
          <w:szCs w:val="24"/>
        </w:rPr>
        <w:t xml:space="preserve">; </w:t>
      </w:r>
      <w:r>
        <w:rPr>
          <w:rFonts w:cs="Arial"/>
          <w:b/>
          <w:bCs/>
          <w:szCs w:val="24"/>
        </w:rPr>
        <w:t>ANSI/ANS-8.1</w:t>
      </w:r>
      <w:r>
        <w:rPr>
          <w:rFonts w:cs="Arial"/>
          <w:szCs w:val="24"/>
        </w:rPr>
        <w:t xml:space="preserve">; </w:t>
      </w:r>
      <w:r>
        <w:rPr>
          <w:rFonts w:cs="Arial"/>
          <w:b/>
          <w:bCs/>
          <w:szCs w:val="24"/>
        </w:rPr>
        <w:t>NFPA 805</w:t>
      </w:r>
      <w:r>
        <w:rPr>
          <w:rFonts w:cs="Arial"/>
          <w:szCs w:val="24"/>
        </w:rPr>
        <w:t xml:space="preserve">; </w:t>
      </w:r>
      <w:r>
        <w:rPr>
          <w:rFonts w:cs="Arial"/>
          <w:b/>
          <w:bCs/>
          <w:szCs w:val="24"/>
        </w:rPr>
        <w:t>ISO 8573-1</w:t>
      </w:r>
      <w:r>
        <w:rPr>
          <w:rFonts w:cs="Arial"/>
          <w:szCs w:val="24"/>
        </w:rPr>
        <w:t>.</w:t>
      </w:r>
    </w:p>
    <w:p w14:paraId="3759BDD5" w14:textId="77777777" w:rsidR="00F62C4C" w:rsidRPr="0091535E" w:rsidRDefault="00F62C4C" w:rsidP="00F62C4C">
      <w:pPr>
        <w:pStyle w:val="2"/>
        <w:spacing w:before="0"/>
        <w:ind w:left="652" w:hanging="652"/>
        <w:rPr>
          <w:rFonts w:eastAsia="Arial Black" w:cs="Arial Black"/>
          <w:szCs w:val="28"/>
        </w:rPr>
      </w:pPr>
      <w:bookmarkStart w:id="2" w:name="_Toc198560773"/>
      <w:bookmarkStart w:id="3" w:name="_Toc230185531"/>
      <w:r w:rsidRPr="0091535E">
        <w:rPr>
          <w:rFonts w:eastAsia="Arial Black" w:cs="Arial Black"/>
          <w:szCs w:val="28"/>
        </w:rPr>
        <w:t>8.9. Ener</w:t>
      </w:r>
      <w:bookmarkEnd w:id="2"/>
      <w:r w:rsidRPr="0091535E">
        <w:rPr>
          <w:rFonts w:eastAsia="Arial Black" w:cs="Arial Black"/>
          <w:szCs w:val="28"/>
        </w:rPr>
        <w:t>gy Cycle and Integrated Systems</w:t>
      </w:r>
      <w:bookmarkEnd w:id="3"/>
    </w:p>
    <w:p w14:paraId="08D45AF7" w14:textId="77777777" w:rsidR="00F62C4C" w:rsidRPr="0091535E" w:rsidRDefault="00F62C4C" w:rsidP="00F62C4C">
      <w:pPr>
        <w:suppressAutoHyphens/>
        <w:spacing w:after="120" w:line="276" w:lineRule="auto"/>
        <w:rPr>
          <w:rFonts w:cs="Arial"/>
          <w:color w:val="000000"/>
          <w:szCs w:val="24"/>
        </w:rPr>
      </w:pPr>
      <w:r w:rsidRPr="0091535E">
        <w:t>Technical information regarding the energy cycle of the modular reactor, including electricity generation and non-electrical applications, should be presented in this section.</w:t>
      </w:r>
    </w:p>
    <w:p w14:paraId="55B26D40" w14:textId="77777777" w:rsidR="00F62C4C" w:rsidRPr="0091535E" w:rsidRDefault="00F62C4C" w:rsidP="00F62C4C">
      <w:pPr>
        <w:pStyle w:val="a9"/>
        <w:numPr>
          <w:ilvl w:val="1"/>
          <w:numId w:val="3"/>
        </w:numPr>
        <w:suppressAutoHyphens/>
        <w:spacing w:after="120" w:line="276" w:lineRule="auto"/>
        <w:contextualSpacing w:val="0"/>
        <w:rPr>
          <w:rFonts w:cs="Arial"/>
          <w:color w:val="000000"/>
          <w:szCs w:val="24"/>
        </w:rPr>
      </w:pPr>
      <w:r w:rsidRPr="0091535E">
        <w:lastRenderedPageBreak/>
        <w:t>The energy conversion system design and flow diagrams for electricity generation from the modular reactor should be provided.</w:t>
      </w:r>
    </w:p>
    <w:p w14:paraId="391620F1" w14:textId="77777777" w:rsidR="00F62C4C" w:rsidRPr="0091535E" w:rsidRDefault="00F62C4C" w:rsidP="00F62C4C">
      <w:pPr>
        <w:pStyle w:val="a9"/>
        <w:numPr>
          <w:ilvl w:val="1"/>
          <w:numId w:val="3"/>
        </w:numPr>
        <w:suppressAutoHyphens/>
        <w:spacing w:after="120" w:line="276" w:lineRule="auto"/>
        <w:contextualSpacing w:val="0"/>
        <w:rPr>
          <w:rFonts w:cs="Arial"/>
          <w:color w:val="000000"/>
          <w:szCs w:val="24"/>
        </w:rPr>
      </w:pPr>
      <w:r w:rsidRPr="0091535E">
        <w:t>Definitions and detailed analyses of the systems planned to be integrated with the modular reactor for non-electrical applications—such as hydrogen production, seawater desalination, district heating, and process heat facilities for industries—together with their connections to the plant, should be presented.</w:t>
      </w:r>
    </w:p>
    <w:p w14:paraId="20FA9E96" w14:textId="77777777" w:rsidR="00F62C4C" w:rsidRPr="0091535E" w:rsidRDefault="00F62C4C" w:rsidP="00F62C4C">
      <w:pPr>
        <w:pStyle w:val="2"/>
        <w:ind w:left="652" w:hanging="652"/>
        <w:rPr>
          <w:rFonts w:eastAsia="Arial Black" w:cs="Arial Black"/>
          <w:szCs w:val="28"/>
        </w:rPr>
      </w:pPr>
      <w:bookmarkStart w:id="4" w:name="_Toc198560774"/>
      <w:bookmarkStart w:id="5" w:name="_Toc230185532"/>
      <w:r w:rsidRPr="0091535E">
        <w:rPr>
          <w:rFonts w:eastAsia="Arial Black" w:cs="Arial Black"/>
          <w:szCs w:val="28"/>
        </w:rPr>
        <w:t xml:space="preserve">8.10. </w:t>
      </w:r>
      <w:bookmarkEnd w:id="4"/>
      <w:r w:rsidRPr="0091535E">
        <w:rPr>
          <w:rFonts w:eastAsia="Arial Black" w:cs="Arial Black"/>
          <w:szCs w:val="28"/>
        </w:rPr>
        <w:t>Plant Layout Design</w:t>
      </w:r>
      <w:bookmarkEnd w:id="5"/>
    </w:p>
    <w:p w14:paraId="49A29C96" w14:textId="77777777" w:rsidR="00F62C4C" w:rsidRDefault="00F62C4C" w:rsidP="00F62C4C">
      <w:pPr>
        <w:pStyle w:val="3"/>
        <w:spacing w:before="200"/>
      </w:pPr>
      <w:r>
        <w:t>8.10.1. Overall Layout Description</w:t>
      </w:r>
    </w:p>
    <w:p w14:paraId="7E5DF3E4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The Aegis-40 is a 125 </w:t>
      </w:r>
      <w:proofErr w:type="spellStart"/>
      <w:r>
        <w:rPr>
          <w:rFonts w:cs="Arial"/>
          <w:szCs w:val="24"/>
        </w:rPr>
        <w:t>MWth</w:t>
      </w:r>
      <w:proofErr w:type="spellEnd"/>
      <w:r>
        <w:rPr>
          <w:rFonts w:cs="Arial"/>
          <w:szCs w:val="24"/>
        </w:rPr>
        <w:t xml:space="preserve"> / ~40 MWe (net) integral Pressurized Water Reactor (</w:t>
      </w:r>
      <w:proofErr w:type="spellStart"/>
      <w:r>
        <w:rPr>
          <w:rFonts w:cs="Arial"/>
          <w:szCs w:val="24"/>
        </w:rPr>
        <w:t>iPWR</w:t>
      </w:r>
      <w:proofErr w:type="spellEnd"/>
      <w:r>
        <w:rPr>
          <w:rFonts w:cs="Arial"/>
          <w:szCs w:val="24"/>
        </w:rPr>
        <w:t xml:space="preserve">) for coastal deployment at the Sinop site on the Turkish Black Sea coast, identified as the optimal Turkish NPP location by multi-criteria analysis [Kurt, 2014]. The general arrangement is developed to satisfy four governing objectives simultaneously: </w:t>
      </w:r>
      <w:r>
        <w:rPr>
          <w:rFonts w:cs="Arial"/>
          <w:b/>
          <w:bCs/>
          <w:szCs w:val="24"/>
        </w:rPr>
        <w:t>inherent nuclear safety, construction efficiency and modularity, economic competitiveness, and reliable long-term operation and maintenance</w:t>
      </w:r>
      <w:r>
        <w:rPr>
          <w:rFonts w:cs="Arial"/>
          <w:szCs w:val="24"/>
        </w:rPr>
        <w:t xml:space="preserve"> over the 60-year design life.</w:t>
      </w:r>
    </w:p>
    <w:p w14:paraId="75626404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The defining spatial characteristic is the complete integration of the primary pressure boundary. The Reactor Pressure Vessel (RPV) — dimensionally referenced to the </w:t>
      </w:r>
      <w:proofErr w:type="spellStart"/>
      <w:r>
        <w:rPr>
          <w:rFonts w:cs="Arial"/>
          <w:szCs w:val="24"/>
        </w:rPr>
        <w:t>NuScale</w:t>
      </w:r>
      <w:proofErr w:type="spellEnd"/>
      <w:r>
        <w:rPr>
          <w:rFonts w:cs="Arial"/>
          <w:szCs w:val="24"/>
        </w:rPr>
        <w:t xml:space="preserve"> VOYGR Design Certification Application (NRC Docket No. 52-048) — houses the core, two helical-coil once-through steam generators (OTSGs), and the integral pressurizer within a single pressure boundary. Primary circulation is driven entirely by natural convection, with no reactor coolant pumps. This integral, pump-free architecture removes all large-bore primary piping, eliminates the large-break loss-of-coolant accident (LB-LOCA) as a design-basis event, and substantially reduces the Reactor Building footprint.</w:t>
      </w:r>
    </w:p>
    <w:p w14:paraId="5AA3E6C3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Following IAEA plant-grouping practice, the site is </w:t>
      </w:r>
      <w:proofErr w:type="spellStart"/>
      <w:r>
        <w:rPr>
          <w:rFonts w:cs="Arial"/>
          <w:szCs w:val="24"/>
        </w:rPr>
        <w:t>organised</w:t>
      </w:r>
      <w:proofErr w:type="spellEnd"/>
      <w:r>
        <w:rPr>
          <w:rFonts w:cs="Arial"/>
          <w:szCs w:val="24"/>
        </w:rPr>
        <w:t xml:space="preserve"> into a </w:t>
      </w:r>
      <w:r>
        <w:rPr>
          <w:rFonts w:cs="Arial"/>
          <w:b/>
          <w:bCs/>
          <w:szCs w:val="24"/>
        </w:rPr>
        <w:t>Nuclear Island (NI)</w:t>
      </w:r>
      <w:r>
        <w:rPr>
          <w:rFonts w:cs="Arial"/>
          <w:szCs w:val="24"/>
        </w:rPr>
        <w:t xml:space="preserve"> containing all Seismic Category I / Class 1E structures, and a combined </w:t>
      </w:r>
      <w:r>
        <w:rPr>
          <w:rFonts w:cs="Arial"/>
          <w:b/>
          <w:bCs/>
          <w:szCs w:val="24"/>
        </w:rPr>
        <w:t>Energy / Conventional Island (E-CI)</w:t>
      </w:r>
      <w:r>
        <w:rPr>
          <w:rFonts w:cs="Arial"/>
          <w:szCs w:val="24"/>
        </w:rPr>
        <w:t xml:space="preserve"> of Seismic Category II structures housing power conversion and the non-electrical applications. The overall site arrangement is shown in </w:t>
      </w:r>
      <w:r>
        <w:rPr>
          <w:rFonts w:cs="Arial"/>
          <w:b/>
          <w:bCs/>
          <w:szCs w:val="24"/>
        </w:rPr>
        <w:t>Figure 8.10-1</w:t>
      </w:r>
      <w:r>
        <w:rPr>
          <w:rFonts w:cs="Arial"/>
          <w:szCs w:val="24"/>
        </w:rPr>
        <w:t>.</w:t>
      </w:r>
    </w:p>
    <w:p w14:paraId="5CD8A3AD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0534415" wp14:editId="5567B1BE">
            <wp:extent cx="5580000" cy="3886071"/>
            <wp:effectExtent l="0" t="0" r="0" b="0"/>
            <wp:docPr id="9920" name="GA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" name="GA-0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FFB5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8.10-1. Aegis-40 site general arrangement (single 40 MWe unit).</w:t>
      </w:r>
    </w:p>
    <w:p w14:paraId="2D5DB71E" w14:textId="77777777" w:rsidR="00F62C4C" w:rsidRDefault="00F62C4C" w:rsidP="00F62C4C">
      <w:pPr>
        <w:pStyle w:val="3"/>
        <w:spacing w:before="200"/>
      </w:pPr>
      <w:r>
        <w:t>8.10.2. Site Zoning and the Combined Energy Island</w:t>
      </w:r>
    </w:p>
    <w:p w14:paraId="7F46D72E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A key layout decision for the Aegis-40 is that the three secondary-side consumers — the </w:t>
      </w:r>
      <w:r>
        <w:rPr>
          <w:rFonts w:cs="Arial"/>
          <w:b/>
          <w:bCs/>
          <w:szCs w:val="24"/>
        </w:rPr>
        <w:t>steam turbine, the Thermochemical Energy Storage (TES) district-heating module, and the Solid Oxide Electrolysis (SOE) hydrogen unit</w:t>
      </w:r>
      <w:r>
        <w:rPr>
          <w:rFonts w:cs="Arial"/>
          <w:szCs w:val="24"/>
        </w:rPr>
        <w:t xml:space="preserve"> — are all co-located within a single Energy Island and fed from </w:t>
      </w:r>
      <w:r>
        <w:rPr>
          <w:rFonts w:cs="Arial"/>
          <w:b/>
          <w:bCs/>
          <w:szCs w:val="24"/>
        </w:rPr>
        <w:t>one main-steam corridor</w:t>
      </w:r>
      <w:r>
        <w:rPr>
          <w:rFonts w:cs="Arial"/>
          <w:szCs w:val="24"/>
        </w:rPr>
        <w:t xml:space="preserve"> leaving the Reactor Building. Because all three loads draw from the secondary side (the turbine from the main steam header, the TES from a pass-out / extraction branch at ~280 °C / 15 bar during peak hours, and the SOE from the deaerator-inlet steam during off-peak hours), a single below-grade steam corridor with short branch take-offs serves the entire island. This </w:t>
      </w:r>
      <w:proofErr w:type="spellStart"/>
      <w:r>
        <w:rPr>
          <w:rFonts w:cs="Arial"/>
          <w:szCs w:val="24"/>
        </w:rPr>
        <w:t>minimises</w:t>
      </w:r>
      <w:proofErr w:type="spellEnd"/>
      <w:r>
        <w:rPr>
          <w:rFonts w:cs="Arial"/>
          <w:szCs w:val="24"/>
        </w:rPr>
        <w:t xml:space="preserve"> high-energy piping length, the number of Reactor-Building penetrations, and the overall footprint, while simplifying isolation and in-service inspection. The steam-distribution arrangement is shown in </w:t>
      </w:r>
      <w:r>
        <w:rPr>
          <w:rFonts w:cs="Arial"/>
          <w:b/>
          <w:bCs/>
          <w:szCs w:val="24"/>
        </w:rPr>
        <w:t>Figure 8.10-2</w:t>
      </w:r>
      <w:r>
        <w:rPr>
          <w:rFonts w:cs="Arial"/>
          <w:szCs w:val="24"/>
        </w:rPr>
        <w:t>.</w:t>
      </w:r>
    </w:p>
    <w:p w14:paraId="5BBA0562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1AB73E" wp14:editId="49F48A9B">
            <wp:extent cx="5580000" cy="3088928"/>
            <wp:effectExtent l="0" t="0" r="0" b="0"/>
            <wp:docPr id="9921" name="GA-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" name="GA-0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5C3E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8.10-2. Single main-steam header serving turbine, TES and SOE.</w:t>
      </w:r>
    </w:p>
    <w:p w14:paraId="20786F9F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The Turbine Generator Building (TGB) is oriented with its condenser end toward the sea to shorten the circulating-water route to the Black Sea ultimate heat sink. The TES Building (TESB) is placed on the landward side of the TGB, closest to the Sinop district-heating tie-in, and the SOE hydrogen unit (SOEU) is located at the downwind end of the island as a detached, NFPA-2-compliant hydrogen hazard zone, kept clear of the control room and the public boundary. A seismic gap of not less than </w:t>
      </w:r>
      <w:r>
        <w:rPr>
          <w:rFonts w:cs="Arial"/>
          <w:b/>
          <w:bCs/>
          <w:szCs w:val="24"/>
        </w:rPr>
        <w:t>75 mm</w:t>
      </w:r>
      <w:r>
        <w:rPr>
          <w:rFonts w:cs="Arial"/>
          <w:szCs w:val="24"/>
        </w:rPr>
        <w:t xml:space="preserve"> separates all Category I structures from the Category II Energy Island to prevent structural interaction during the Safe Shutdown Earthquake (SSE = 0.3 g).</w:t>
      </w:r>
    </w:p>
    <w:p w14:paraId="475EE9F9" w14:textId="77777777" w:rsidR="00F62C4C" w:rsidRDefault="00F62C4C" w:rsidP="00F62C4C">
      <w:pPr>
        <w:pStyle w:val="3"/>
        <w:spacing w:before="200"/>
      </w:pPr>
      <w:r>
        <w:t>8.10.3. Principal Buildings and Structures</w:t>
      </w:r>
    </w:p>
    <w:p w14:paraId="1F42CCAD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Table 8.10-1 </w:t>
      </w:r>
      <w:proofErr w:type="spellStart"/>
      <w:r>
        <w:rPr>
          <w:rFonts w:cs="Arial"/>
          <w:szCs w:val="24"/>
        </w:rPr>
        <w:t>summarises</w:t>
      </w:r>
      <w:proofErr w:type="spellEnd"/>
      <w:r>
        <w:rPr>
          <w:rFonts w:cs="Arial"/>
          <w:szCs w:val="24"/>
        </w:rPr>
        <w:t xml:space="preserve"> the main buildings, their functions, safety classifications and key construction parameters. The Nuclear Island grade-level arrangement is shown in </w:t>
      </w:r>
      <w:r>
        <w:rPr>
          <w:rFonts w:cs="Arial"/>
          <w:b/>
          <w:bCs/>
          <w:szCs w:val="24"/>
        </w:rPr>
        <w:t>Figure 8.10-3</w:t>
      </w:r>
      <w:r>
        <w:rPr>
          <w:rFonts w:cs="Arial"/>
          <w:szCs w:val="24"/>
        </w:rPr>
        <w:t>.</w:t>
      </w:r>
    </w:p>
    <w:p w14:paraId="60B2CCCE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Table 8.10-1. Aegis-40 principal buildings, safety classification and construction notes.</w:t>
      </w:r>
    </w:p>
    <w:p w14:paraId="4667F15F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Reactor Building (RB)</w:t>
      </w:r>
      <w:r>
        <w:rPr>
          <w:rFonts w:cs="Arial"/>
          <w:szCs w:val="24"/>
        </w:rPr>
        <w:t xml:space="preserve"> — houses RPV, natural-circulation primary loop, containment vessel, passive DHRS HX and IRWST. Seismic Cat. I / Class 1E. Reinforced concrete; 1.2 m shielding walls; post-tensioned dome; below-grade RPV pool.</w:t>
      </w:r>
    </w:p>
    <w:p w14:paraId="1CA3B0FD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Spent Fuel Pool Building (SFPB)</w:t>
      </w:r>
      <w:r>
        <w:rPr>
          <w:rFonts w:cs="Arial"/>
          <w:szCs w:val="24"/>
        </w:rPr>
        <w:t xml:space="preserve"> — interim spent-fuel storage, transfer canal, fuel-handling machine. Seismic Cat. I. RC; shared shielding wall with RB; borated-water pool.</w:t>
      </w:r>
    </w:p>
    <w:p w14:paraId="4EC9ADD4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Auxiliary / Radwaste Building (ARB)</w:t>
      </w:r>
      <w:r>
        <w:rPr>
          <w:rFonts w:cs="Arial"/>
          <w:szCs w:val="24"/>
        </w:rPr>
        <w:t xml:space="preserve"> — reduced CVCS (SBF core), liquid radwaste, decontamination, chemistry. Seismic Cat. I/II. RC (Cat. I </w:t>
      </w:r>
      <w:proofErr w:type="gramStart"/>
      <w:r>
        <w:rPr>
          <w:rFonts w:cs="Arial"/>
          <w:szCs w:val="24"/>
        </w:rPr>
        <w:t>zones</w:t>
      </w:r>
      <w:proofErr w:type="gramEnd"/>
      <w:r>
        <w:rPr>
          <w:rFonts w:cs="Arial"/>
          <w:szCs w:val="24"/>
        </w:rPr>
        <w:t>) + steel (Cat. II).</w:t>
      </w:r>
    </w:p>
    <w:p w14:paraId="2A1E88A4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lastRenderedPageBreak/>
        <w:t xml:space="preserve">• </w:t>
      </w:r>
      <w:r>
        <w:rPr>
          <w:rFonts w:cs="Arial"/>
          <w:b/>
          <w:bCs/>
          <w:szCs w:val="24"/>
        </w:rPr>
        <w:t>Electrical &amp; Control Building (ECB)</w:t>
      </w:r>
      <w:r>
        <w:rPr>
          <w:rFonts w:cs="Arial"/>
          <w:szCs w:val="24"/>
        </w:rPr>
        <w:t xml:space="preserve"> — main control room, supplementary control point, Digital-Twin process computer, Class 1E switchgear, emergency power. Seismic Cat. I / Class 1E. Hardened RC; tornado-missile protected; air-gapped from external networks.</w:t>
      </w:r>
    </w:p>
    <w:p w14:paraId="706CC142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Turbine Generator Building (TGB)</w:t>
      </w:r>
      <w:r>
        <w:rPr>
          <w:rFonts w:cs="Arial"/>
          <w:szCs w:val="24"/>
        </w:rPr>
        <w:t xml:space="preserve"> — steam turbine, condenser, feedwater heaters, deaerator, generator. Seismic Cat. II. Structural steel; seismic gap ≥75 mm from NI; ≥20 m turbine-missile separation.</w:t>
      </w:r>
    </w:p>
    <w:p w14:paraId="173EFE56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TES / District-Heating Building (TESB)</w:t>
      </w:r>
      <w:r>
        <w:rPr>
          <w:rFonts w:cs="Arial"/>
          <w:szCs w:val="24"/>
        </w:rPr>
        <w:t xml:space="preserve"> — zeolite 13X sorption modules (~390 t), heat exchangers, district-heating interface. Seismic Cat. II. Steel; adjacent to TGB secondary loop.</w:t>
      </w:r>
    </w:p>
    <w:p w14:paraId="66AFD85F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SOE Hydrogen Unit (SOEU)</w:t>
      </w:r>
      <w:r>
        <w:rPr>
          <w:rFonts w:cs="Arial"/>
          <w:szCs w:val="24"/>
        </w:rPr>
        <w:t xml:space="preserve"> — solid-oxide cells (5 MWe), H₂ condenser-chiller, compression to 30 </w:t>
      </w:r>
      <w:proofErr w:type="gramStart"/>
      <w:r>
        <w:rPr>
          <w:rFonts w:cs="Arial"/>
          <w:szCs w:val="24"/>
        </w:rPr>
        <w:t>bar</w:t>
      </w:r>
      <w:proofErr w:type="gramEnd"/>
      <w:r>
        <w:rPr>
          <w:rFonts w:cs="Arial"/>
          <w:szCs w:val="24"/>
        </w:rPr>
        <w:t>. Seismic Cat. II. Detached pad; H₂ hazard separation per NFPA 2.</w:t>
      </w:r>
    </w:p>
    <w:p w14:paraId="030C9805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>The Reactor Building is the dominant NI structure: a cylindrical RC shell with a post-tensioned hemispherical dome enclosing the containment vessel and the below-grade RPV pool. The pump-free integral primary loop requires no primary-pump penetrations through containment, reducing the number of penetrations and simplifying in-service inspection.</w:t>
      </w:r>
    </w:p>
    <w:p w14:paraId="1530B3B0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45764848" wp14:editId="65BFC22D">
            <wp:extent cx="5580000" cy="3794400"/>
            <wp:effectExtent l="0" t="0" r="0" b="0"/>
            <wp:docPr id="9922" name="GA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" name="GA-0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1F71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8.10-3. Nuclear Island plan, grade level (El. plus/minus 0.00).</w:t>
      </w:r>
    </w:p>
    <w:p w14:paraId="6A44D484" w14:textId="77777777" w:rsidR="00F62C4C" w:rsidRDefault="00F62C4C" w:rsidP="00F62C4C">
      <w:pPr>
        <w:pStyle w:val="3"/>
        <w:spacing w:before="200"/>
      </w:pPr>
      <w:r>
        <w:lastRenderedPageBreak/>
        <w:t>8.10.4. Below-Grade Arrangement and Passive-Safety Layout</w:t>
      </w:r>
    </w:p>
    <w:p w14:paraId="6D99BB12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The entire RPV is positioned below grade within a steel-lined borated-water pool, consistent with the </w:t>
      </w:r>
      <w:proofErr w:type="spellStart"/>
      <w:r>
        <w:rPr>
          <w:rFonts w:cs="Arial"/>
          <w:szCs w:val="24"/>
        </w:rPr>
        <w:t>NuScale</w:t>
      </w:r>
      <w:proofErr w:type="spellEnd"/>
      <w:r>
        <w:rPr>
          <w:rFonts w:cs="Arial"/>
          <w:szCs w:val="24"/>
        </w:rPr>
        <w:t xml:space="preserve"> and CAREM-25 reference configurations. The below-grade plan at the RPV-pool level (El. −12.0 m) is shown in </w:t>
      </w:r>
      <w:r>
        <w:rPr>
          <w:rFonts w:cs="Arial"/>
          <w:b/>
          <w:bCs/>
          <w:szCs w:val="24"/>
        </w:rPr>
        <w:t>Figure 8.10-4</w:t>
      </w:r>
      <w:r>
        <w:rPr>
          <w:rFonts w:cs="Arial"/>
          <w:szCs w:val="24"/>
        </w:rPr>
        <w:t xml:space="preserve"> and the north–south cross-section in </w:t>
      </w:r>
      <w:r>
        <w:rPr>
          <w:rFonts w:cs="Arial"/>
          <w:b/>
          <w:bCs/>
          <w:szCs w:val="24"/>
        </w:rPr>
        <w:t>Figure 8.10-5</w:t>
      </w:r>
      <w:r>
        <w:rPr>
          <w:rFonts w:cs="Arial"/>
          <w:szCs w:val="24"/>
        </w:rPr>
        <w:t xml:space="preserve">. This placement simultaneously: lowers the </w:t>
      </w:r>
      <w:proofErr w:type="spellStart"/>
      <w:r>
        <w:rPr>
          <w:rFonts w:cs="Arial"/>
          <w:szCs w:val="24"/>
        </w:rPr>
        <w:t>centre</w:t>
      </w:r>
      <w:proofErr w:type="spellEnd"/>
      <w:r>
        <w:rPr>
          <w:rFonts w:cs="Arial"/>
          <w:szCs w:val="24"/>
        </w:rPr>
        <w:t xml:space="preserve"> of gravity of the heaviest components, improving seismic performance under the 0.3 g SSE; enables fully gravity-driven passive safety functions (DHRS and ECCS) with no pumps or active valves; provides the pool as the ultimate heat sink for a &gt;100 h passive-cooling grace period (§8.5) and as biological shielding; reduces the exposed security perimeter; and gives inherent protection against external hazards including aircraft impact — supporting the plant-boundary Emergency Planning Zone.</w:t>
      </w:r>
    </w:p>
    <w:p w14:paraId="3DAA89B1" w14:textId="77777777" w:rsidR="00F62C4C" w:rsidRDefault="00F62C4C" w:rsidP="00F62C4C">
      <w:pPr>
        <w:spacing w:before="120" w:after="40"/>
        <w:jc w:val="center"/>
      </w:pPr>
      <w:r>
        <w:rPr>
          <w:noProof/>
        </w:rPr>
        <w:drawing>
          <wp:inline distT="0" distB="0" distL="0" distR="0" wp14:anchorId="08893841" wp14:editId="133FCB6A">
            <wp:extent cx="5580000" cy="3682800"/>
            <wp:effectExtent l="0" t="0" r="0" b="0"/>
            <wp:docPr id="9923" name="GA-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" name="GA-0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115C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8.10-4. Nuclear Island below-grade plan (RPV pool, El. -12.0).</w:t>
      </w:r>
    </w:p>
    <w:p w14:paraId="56B3C9E4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6B6505" wp14:editId="600F3D8B">
            <wp:extent cx="5580000" cy="3906000"/>
            <wp:effectExtent l="0" t="0" r="0" b="0"/>
            <wp:docPr id="9924" name="GA-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" name="GA-0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1701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8.10-5. Reactor Building cross-section A-A.</w:t>
      </w:r>
    </w:p>
    <w:p w14:paraId="3D605FC6" w14:textId="77777777" w:rsidR="00F62C4C" w:rsidRDefault="00F62C4C" w:rsidP="00F62C4C">
      <w:pPr>
        <w:pStyle w:val="3"/>
        <w:spacing w:before="200"/>
      </w:pPr>
      <w:r>
        <w:t>8.10.5. Two- and Three-Dimensional Layout Plans</w:t>
      </w:r>
    </w:p>
    <w:p w14:paraId="354703AD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>The general arrangement is documented in the following reference drawings, submitted as Digital Appendices:</w:t>
      </w:r>
    </w:p>
    <w:p w14:paraId="0064C809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AE-40-GA-001</w:t>
      </w:r>
      <w:r>
        <w:rPr>
          <w:rFonts w:cs="Arial"/>
          <w:szCs w:val="24"/>
        </w:rPr>
        <w:t xml:space="preserve"> — Site General Arrangement Plan (1:500): boundary, road access, Sinop seawater intake/discharge, building spacing, EPZ boundary.</w:t>
      </w:r>
    </w:p>
    <w:p w14:paraId="355ABFF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AE-40-GA-002</w:t>
      </w:r>
      <w:r>
        <w:rPr>
          <w:rFonts w:cs="Arial"/>
          <w:szCs w:val="24"/>
        </w:rPr>
        <w:t xml:space="preserve"> — Nuclear Island Plan, Grade Level (El. ±0.00), 1:200.</w:t>
      </w:r>
    </w:p>
    <w:p w14:paraId="758401A8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AE-40-GA-003</w:t>
      </w:r>
      <w:r>
        <w:rPr>
          <w:rFonts w:cs="Arial"/>
          <w:szCs w:val="24"/>
        </w:rPr>
        <w:t xml:space="preserve"> — Nuclear Island Plan, Below-Grade (El. −12.0 / RPV pool), 1:200.</w:t>
      </w:r>
    </w:p>
    <w:p w14:paraId="644093D3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AE-40-GA-004</w:t>
      </w:r>
      <w:r>
        <w:rPr>
          <w:rFonts w:cs="Arial"/>
          <w:szCs w:val="24"/>
        </w:rPr>
        <w:t xml:space="preserve"> — Reactor Building Cross-Section A–A, 1:200.</w:t>
      </w:r>
    </w:p>
    <w:p w14:paraId="1C73E0F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AE-40-GA-005</w:t>
      </w:r>
      <w:r>
        <w:rPr>
          <w:rFonts w:cs="Arial"/>
          <w:szCs w:val="24"/>
        </w:rPr>
        <w:t xml:space="preserve"> — Main-Steam Distribution to Turbine + TES + SOE.</w:t>
      </w:r>
    </w:p>
    <w:p w14:paraId="248B33D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AE-40-GA-006</w:t>
      </w:r>
      <w:r>
        <w:rPr>
          <w:rFonts w:cs="Arial"/>
          <w:szCs w:val="24"/>
        </w:rPr>
        <w:t xml:space="preserve"> — Full-Site 3D Isometric, generated from the CAD model.</w:t>
      </w:r>
    </w:p>
    <w:p w14:paraId="0B51529F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>The 3D CAD model (</w:t>
      </w:r>
      <w:proofErr w:type="spellStart"/>
      <w:r>
        <w:rPr>
          <w:rFonts w:cs="Arial"/>
          <w:szCs w:val="24"/>
        </w:rPr>
        <w:t>FreeCAD</w:t>
      </w:r>
      <w:proofErr w:type="spellEnd"/>
      <w:r>
        <w:rPr>
          <w:rFonts w:cs="Arial"/>
          <w:szCs w:val="24"/>
        </w:rPr>
        <w:t xml:space="preserve"> / Fusion 360) is the </w:t>
      </w:r>
      <w:r>
        <w:rPr>
          <w:rFonts w:cs="Arial"/>
          <w:b/>
          <w:bCs/>
          <w:szCs w:val="24"/>
        </w:rPr>
        <w:t>Single Source of Truth (SSOT)</w:t>
      </w:r>
      <w:r>
        <w:rPr>
          <w:rFonts w:cs="Arial"/>
          <w:szCs w:val="24"/>
        </w:rPr>
        <w:t xml:space="preserve"> for spatial coordination and contains all structures, equipment and piping of nominal diameter ≥50 mm, maintained under version control (Git/GitHub). Structural information feeding the specification basis includes RC wall/slab thicknesses and rebar schedules (from seismic demand per ASCE 4-16 / 43-19), structural-steel member and connection details for Category II buildings, inter-building connection structures (below-grade pipe tunnel, cable tunnel, personnel corridors), and system weight distributions used as structural-analysis inputs. The site 3D massing is shown in </w:t>
      </w:r>
      <w:r>
        <w:rPr>
          <w:rFonts w:cs="Arial"/>
          <w:b/>
          <w:bCs/>
          <w:szCs w:val="24"/>
        </w:rPr>
        <w:t>Figure 8.10-6</w:t>
      </w:r>
      <w:r>
        <w:rPr>
          <w:rFonts w:cs="Arial"/>
          <w:szCs w:val="24"/>
        </w:rPr>
        <w:t>.</w:t>
      </w:r>
    </w:p>
    <w:p w14:paraId="49DB4D1E" w14:textId="77777777" w:rsidR="00F62C4C" w:rsidRDefault="00F62C4C" w:rsidP="00F62C4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3B8D756" wp14:editId="2529CFEA">
            <wp:extent cx="5580000" cy="3433846"/>
            <wp:effectExtent l="0" t="0" r="0" b="0"/>
            <wp:docPr id="9925" name="GA-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" name="GA-0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49F1" w14:textId="77777777" w:rsidR="00F62C4C" w:rsidRDefault="00F62C4C" w:rsidP="00F62C4C">
      <w:pPr>
        <w:spacing w:after="200"/>
        <w:jc w:val="center"/>
      </w:pPr>
      <w:r>
        <w:rPr>
          <w:rFonts w:cs="Arial"/>
          <w:i/>
          <w:iCs/>
          <w:sz w:val="20"/>
          <w:szCs w:val="20"/>
        </w:rPr>
        <w:t>Figure 8.10-6. Site 3D isometric (schematic).</w:t>
      </w:r>
    </w:p>
    <w:p w14:paraId="5A639EC8" w14:textId="77777777" w:rsidR="00F62C4C" w:rsidRDefault="00F62C4C" w:rsidP="00F62C4C">
      <w:pPr>
        <w:pStyle w:val="3"/>
        <w:spacing w:before="200"/>
      </w:pPr>
      <w:r>
        <w:t>8.10.6. Critical Piping Arrangement</w:t>
      </w:r>
    </w:p>
    <w:p w14:paraId="3ACF3ECA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>Critical piping comprises large-diameter / high-energy lines whose dimensions, thermal expansion or seismic response govern building penetrations, equipment placement and structure sizing. Table 8.10-2 lists the Aegis-40 critical piping, including the TES and SOE steam branches unique to this multi-application configuration.</w:t>
      </w:r>
    </w:p>
    <w:p w14:paraId="3BA8A6F2" w14:textId="77777777" w:rsidR="00F62C4C" w:rsidRDefault="00F62C4C" w:rsidP="00F62C4C">
      <w:pPr>
        <w:spacing w:after="120" w:line="276" w:lineRule="auto"/>
      </w:pPr>
      <w:r>
        <w:rPr>
          <w:rFonts w:cs="Arial"/>
          <w:b/>
          <w:bCs/>
          <w:szCs w:val="24"/>
        </w:rPr>
        <w:t>Table 8.10-2. Aegis-40 critical piping — routing, design parameters and layout drivers.</w:t>
      </w:r>
    </w:p>
    <w:p w14:paraId="50196A67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Main Steam Line (MSL)</w:t>
      </w:r>
      <w:r>
        <w:rPr>
          <w:rFonts w:cs="Arial"/>
          <w:szCs w:val="24"/>
        </w:rPr>
        <w:t xml:space="preserve"> — 2 × DN250, ~315 °C / 5.8 MPa, RB → Energy Island (below-grade tunnel). ASME III Cl. 2; MSIVs inside RB within 1.5 m of penetration; whip restraints ≤3 m; redundant trains ≥3 m apart; common corridor serves turbine + TES + SOE branch take-offs.</w:t>
      </w:r>
    </w:p>
    <w:p w14:paraId="7A13DF1C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Main Feedwater Line (FWL)</w:t>
      </w:r>
      <w:r>
        <w:rPr>
          <w:rFonts w:cs="Arial"/>
          <w:szCs w:val="24"/>
        </w:rPr>
        <w:t xml:space="preserve"> — 2 × DN200, ~220 °C / 6.5 MPa, Energy Island → RB (co-routed with MSL). ASME III Cl. 2; MFIVs at RB boundary; thermal sleeve at RPV nozzle; RC dividing wall from MSL in the tunnel.</w:t>
      </w:r>
    </w:p>
    <w:p w14:paraId="67633260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TES charging branch</w:t>
      </w:r>
      <w:r>
        <w:rPr>
          <w:rFonts w:cs="Arial"/>
          <w:szCs w:val="24"/>
        </w:rPr>
        <w:t xml:space="preserve"> — pass-out / extraction steam ~280 °C / 1.5 MPa, header → TESB. Isolation valves at TESB inlet; short run within the Energy Island.</w:t>
      </w:r>
    </w:p>
    <w:p w14:paraId="63907ACB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SOE steam branch</w:t>
      </w:r>
      <w:r>
        <w:rPr>
          <w:rFonts w:cs="Arial"/>
          <w:szCs w:val="24"/>
        </w:rPr>
        <w:t xml:space="preserve"> — deaerator-inlet steam, header → SOEU (off-peak). Isolation + flow control; H₂-side separated per NFPA 2.</w:t>
      </w:r>
    </w:p>
    <w:p w14:paraId="38C3A97E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Decay Heat Removal (DHRS)</w:t>
      </w:r>
      <w:r>
        <w:rPr>
          <w:rFonts w:cs="Arial"/>
          <w:szCs w:val="24"/>
        </w:rPr>
        <w:t xml:space="preserve"> — 2 × DN100, 343 °C / 15.5 MPa, intra-RB (RPV ↔ DHRS HX in pool). ASME III Cl. 1; fully passive; no active valves; no containment penetration required.</w:t>
      </w:r>
    </w:p>
    <w:p w14:paraId="454A2841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lastRenderedPageBreak/>
        <w:t xml:space="preserve">• </w:t>
      </w:r>
      <w:r>
        <w:rPr>
          <w:rFonts w:cs="Arial"/>
          <w:b/>
          <w:bCs/>
          <w:szCs w:val="24"/>
        </w:rPr>
        <w:t>Passive ECCS injection</w:t>
      </w:r>
      <w:r>
        <w:rPr>
          <w:rFonts w:cs="Arial"/>
          <w:szCs w:val="24"/>
        </w:rPr>
        <w:t xml:space="preserve"> — 2 × DN80, 15.5 MPa design, intra-RB (IRWST → RPV). ASME III Cl. 1; gravity-driven; no pump penetrations.</w:t>
      </w:r>
    </w:p>
    <w:p w14:paraId="48F72B84" w14:textId="77777777" w:rsidR="00F62C4C" w:rsidRDefault="00F62C4C" w:rsidP="00F62C4C">
      <w:pPr>
        <w:spacing w:after="60" w:line="276" w:lineRule="auto"/>
        <w:ind w:left="360" w:hanging="360"/>
      </w:pPr>
      <w:r>
        <w:rPr>
          <w:rFonts w:cs="Arial"/>
          <w:szCs w:val="24"/>
        </w:rPr>
        <w:t xml:space="preserve">• </w:t>
      </w:r>
      <w:r>
        <w:rPr>
          <w:rFonts w:cs="Arial"/>
          <w:b/>
          <w:bCs/>
          <w:szCs w:val="24"/>
        </w:rPr>
        <w:t>Pressurizer surge line</w:t>
      </w:r>
      <w:r>
        <w:rPr>
          <w:rFonts w:cs="Arial"/>
          <w:szCs w:val="24"/>
        </w:rPr>
        <w:t xml:space="preserve"> — eliminated by the integral design (internal to RPV upper head).</w:t>
      </w:r>
    </w:p>
    <w:p w14:paraId="4D4D41FE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>Main steam and feedwater lines exit the RB through dedicated, missile-protected, double-walled penetrations with annular leak-off monitoring and are routed in a below-grade tunnel to the Energy Island; postulated pipe-whip zones have been confirmed not to impact safety-related SSCs.</w:t>
      </w:r>
    </w:p>
    <w:p w14:paraId="27E97B5A" w14:textId="77777777" w:rsidR="00F62C4C" w:rsidRDefault="00F62C4C" w:rsidP="00F62C4C">
      <w:pPr>
        <w:pStyle w:val="3"/>
        <w:spacing w:before="200"/>
      </w:pPr>
      <w:r>
        <w:t>8.10.7. Scalability and Multi-Unit Roadmap</w:t>
      </w:r>
    </w:p>
    <w:p w14:paraId="432DE983" w14:textId="77777777" w:rsidR="00F62C4C" w:rsidRDefault="00F62C4C" w:rsidP="00F62C4C">
      <w:pPr>
        <w:spacing w:after="120" w:line="276" w:lineRule="auto"/>
      </w:pPr>
      <w:r>
        <w:rPr>
          <w:rFonts w:cs="Arial"/>
          <w:szCs w:val="24"/>
        </w:rPr>
        <w:t xml:space="preserve">While the reference design is a single 40 MWe unit, the arrangement is laid out to support the staged multi-unit deployment envisaged in the PER (5–10 units toward Turkey's SMR targets). Additional units replicate the NI module and share common infrastructure (intake/discharge, switchyard, access, and the Energy Island services), enabling phased construction and economies of scale on the same site, consistent with the </w:t>
      </w:r>
      <w:proofErr w:type="spellStart"/>
      <w:r>
        <w:rPr>
          <w:rFonts w:cs="Arial"/>
          <w:szCs w:val="24"/>
        </w:rPr>
        <w:t>NuScale</w:t>
      </w:r>
      <w:proofErr w:type="spellEnd"/>
      <w:r>
        <w:rPr>
          <w:rFonts w:cs="Arial"/>
          <w:szCs w:val="24"/>
        </w:rPr>
        <w:t xml:space="preserve"> multi-module precedent.</w:t>
      </w:r>
    </w:p>
    <w:p w14:paraId="35FD0BF0" w14:textId="202B580B" w:rsidR="00624D3E" w:rsidRPr="00F62C4C" w:rsidRDefault="00624D3E" w:rsidP="00F62C4C"/>
    <w:sectPr w:rsidR="00624D3E" w:rsidRPr="00F62C4C" w:rsidSect="005C0F3D">
      <w:footerReference w:type="even" r:id="rId27"/>
      <w:footerReference w:type="default" r:id="rId28"/>
      <w:footerReference w:type="first" r:id="rId29"/>
      <w:pgSz w:w="11906" w:h="16838" w:code="9"/>
      <w:pgMar w:top="1588" w:right="1418" w:bottom="1588" w:left="1418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63D5" w14:textId="77777777" w:rsidR="00B15BAF" w:rsidRPr="0091535E" w:rsidRDefault="00B15BAF" w:rsidP="00162151">
      <w:pPr>
        <w:spacing w:after="0" w:line="240" w:lineRule="auto"/>
      </w:pPr>
      <w:r w:rsidRPr="0091535E">
        <w:separator/>
      </w:r>
    </w:p>
  </w:endnote>
  <w:endnote w:type="continuationSeparator" w:id="0">
    <w:p w14:paraId="4640D0B4" w14:textId="77777777" w:rsidR="00B15BAF" w:rsidRPr="0091535E" w:rsidRDefault="00B15BAF" w:rsidP="00162151">
      <w:pPr>
        <w:spacing w:after="0" w:line="240" w:lineRule="auto"/>
      </w:pPr>
      <w:r w:rsidRPr="009153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F218" w14:textId="77777777" w:rsidR="00120924" w:rsidRPr="0091535E" w:rsidRDefault="00120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FDD65" w14:textId="77777777" w:rsidR="00120924" w:rsidRPr="0091535E" w:rsidRDefault="00120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 w:rsidRPr="0091535E">
      <w:rPr>
        <w:color w:val="000000"/>
      </w:rPr>
      <w:fldChar w:fldCharType="begin"/>
    </w:r>
    <w:r w:rsidRPr="0091535E">
      <w:rPr>
        <w:color w:val="000000"/>
      </w:rPr>
      <w:instrText>PAGE</w:instrText>
    </w:r>
    <w:r w:rsidRPr="0091535E">
      <w:rPr>
        <w:color w:val="000000"/>
      </w:rPr>
      <w:fldChar w:fldCharType="separate"/>
    </w:r>
    <w:r w:rsidR="004079AD" w:rsidRPr="0091535E">
      <w:rPr>
        <w:color w:val="000000"/>
      </w:rPr>
      <w:t>3</w:t>
    </w:r>
    <w:r w:rsidRPr="0091535E"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38C5" w14:textId="77777777" w:rsidR="00120924" w:rsidRPr="0091535E" w:rsidRDefault="00120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 w:rsidRPr="0091535E">
      <w:rPr>
        <w:color w:val="000000"/>
      </w:rPr>
      <w:fldChar w:fldCharType="begin"/>
    </w:r>
    <w:r w:rsidRPr="0091535E">
      <w:rPr>
        <w:color w:val="000000"/>
      </w:rPr>
      <w:instrText>PAGE</w:instrText>
    </w:r>
    <w:r w:rsidRPr="0091535E">
      <w:rPr>
        <w:color w:val="000000"/>
      </w:rPr>
      <w:fldChar w:fldCharType="separate"/>
    </w:r>
    <w:r w:rsidR="00542E57">
      <w:rPr>
        <w:noProof/>
        <w:color w:val="000000"/>
      </w:rPr>
      <w:t>0</w:t>
    </w:r>
    <w:r w:rsidRPr="0091535E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A99A" w14:textId="77777777" w:rsidR="00B15BAF" w:rsidRPr="0091535E" w:rsidRDefault="00B15BAF" w:rsidP="00162151">
      <w:pPr>
        <w:spacing w:after="0" w:line="240" w:lineRule="auto"/>
      </w:pPr>
      <w:r w:rsidRPr="0091535E">
        <w:separator/>
      </w:r>
    </w:p>
  </w:footnote>
  <w:footnote w:type="continuationSeparator" w:id="0">
    <w:p w14:paraId="178BA0A9" w14:textId="77777777" w:rsidR="00B15BAF" w:rsidRPr="0091535E" w:rsidRDefault="00B15BAF" w:rsidP="00162151">
      <w:pPr>
        <w:spacing w:after="0" w:line="240" w:lineRule="auto"/>
      </w:pPr>
      <w:r w:rsidRPr="009153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689F"/>
    <w:multiLevelType w:val="multilevel"/>
    <w:tmpl w:val="F592A610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Arial" w:eastAsia="Calibri" w:hAnsi="Arial" w:cs="Arial"/>
        <w:color w:val="FF000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92" w:hanging="432"/>
      </w:pPr>
      <w:rPr>
        <w:rFonts w:ascii="Symbol" w:hAnsi="Symbol" w:cs="Symbol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168C3274"/>
    <w:multiLevelType w:val="multilevel"/>
    <w:tmpl w:val="6D722FD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Symbo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92" w:hanging="432"/>
      </w:pPr>
      <w:rPr>
        <w:rFonts w:ascii="Symbol" w:hAnsi="Symbol" w:cs="Symbol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OpenSymbo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Symbo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OpenSymbo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OpenSymbo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Symbo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OpenSymbo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OpenSymbol"/>
      </w:rPr>
    </w:lvl>
  </w:abstractNum>
  <w:abstractNum w:abstractNumId="2" w15:restartNumberingAfterBreak="0">
    <w:nsid w:val="2C9F175A"/>
    <w:multiLevelType w:val="hybridMultilevel"/>
    <w:tmpl w:val="1A907F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E0B88"/>
    <w:multiLevelType w:val="hybridMultilevel"/>
    <w:tmpl w:val="082852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B1E94"/>
    <w:multiLevelType w:val="multilevel"/>
    <w:tmpl w:val="91AE6D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75C735C7"/>
    <w:multiLevelType w:val="multilevel"/>
    <w:tmpl w:val="95D6AFD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1981374685">
    <w:abstractNumId w:val="5"/>
  </w:num>
  <w:num w:numId="2" w16cid:durableId="462121429">
    <w:abstractNumId w:val="1"/>
    <w:lvlOverride w:ilvl="0">
      <w:startOverride w:val="1"/>
    </w:lvlOverride>
    <w:lvlOverride w:ilvl="1">
      <w:startOverride w:val="1"/>
    </w:lvlOverride>
  </w:num>
  <w:num w:numId="3" w16cid:durableId="653143228">
    <w:abstractNumId w:val="0"/>
  </w:num>
  <w:num w:numId="4" w16cid:durableId="2118715672">
    <w:abstractNumId w:val="3"/>
  </w:num>
  <w:num w:numId="5" w16cid:durableId="157096637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8559678">
    <w:abstractNumId w:val="2"/>
  </w:num>
  <w:num w:numId="7" w16cid:durableId="35592631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24"/>
    <w:rsid w:val="0000011A"/>
    <w:rsid w:val="00004F2A"/>
    <w:rsid w:val="0000638E"/>
    <w:rsid w:val="00007B4C"/>
    <w:rsid w:val="00011A99"/>
    <w:rsid w:val="00013051"/>
    <w:rsid w:val="0001374D"/>
    <w:rsid w:val="000139D7"/>
    <w:rsid w:val="00014D23"/>
    <w:rsid w:val="000206F1"/>
    <w:rsid w:val="00020D4B"/>
    <w:rsid w:val="00021504"/>
    <w:rsid w:val="000229ED"/>
    <w:rsid w:val="000240C8"/>
    <w:rsid w:val="0002425B"/>
    <w:rsid w:val="00024293"/>
    <w:rsid w:val="00025C34"/>
    <w:rsid w:val="00027ADE"/>
    <w:rsid w:val="000316C5"/>
    <w:rsid w:val="00032A67"/>
    <w:rsid w:val="00034647"/>
    <w:rsid w:val="00034E1A"/>
    <w:rsid w:val="00035838"/>
    <w:rsid w:val="00036ABF"/>
    <w:rsid w:val="00044C19"/>
    <w:rsid w:val="000567A7"/>
    <w:rsid w:val="00062A3C"/>
    <w:rsid w:val="00062B09"/>
    <w:rsid w:val="000632C0"/>
    <w:rsid w:val="00064B18"/>
    <w:rsid w:val="00064C93"/>
    <w:rsid w:val="00067685"/>
    <w:rsid w:val="000677DE"/>
    <w:rsid w:val="000707DE"/>
    <w:rsid w:val="0007157A"/>
    <w:rsid w:val="00073613"/>
    <w:rsid w:val="00082850"/>
    <w:rsid w:val="00082EA8"/>
    <w:rsid w:val="0008451E"/>
    <w:rsid w:val="000922BB"/>
    <w:rsid w:val="00095F71"/>
    <w:rsid w:val="00097ADA"/>
    <w:rsid w:val="000A0650"/>
    <w:rsid w:val="000A09F6"/>
    <w:rsid w:val="000A4181"/>
    <w:rsid w:val="000A64B8"/>
    <w:rsid w:val="000B1B9A"/>
    <w:rsid w:val="000B20B1"/>
    <w:rsid w:val="000B2409"/>
    <w:rsid w:val="000B257B"/>
    <w:rsid w:val="000B5331"/>
    <w:rsid w:val="000B61A9"/>
    <w:rsid w:val="000B7574"/>
    <w:rsid w:val="000B76B8"/>
    <w:rsid w:val="000C1A82"/>
    <w:rsid w:val="000C51BA"/>
    <w:rsid w:val="000C62F9"/>
    <w:rsid w:val="000C7FBF"/>
    <w:rsid w:val="000D46B5"/>
    <w:rsid w:val="000D7015"/>
    <w:rsid w:val="000E0554"/>
    <w:rsid w:val="000E4E96"/>
    <w:rsid w:val="000E76F4"/>
    <w:rsid w:val="000F0626"/>
    <w:rsid w:val="000F35E7"/>
    <w:rsid w:val="000F4885"/>
    <w:rsid w:val="000F7753"/>
    <w:rsid w:val="00102741"/>
    <w:rsid w:val="001047C4"/>
    <w:rsid w:val="001055C3"/>
    <w:rsid w:val="001057FD"/>
    <w:rsid w:val="001072FA"/>
    <w:rsid w:val="0011033D"/>
    <w:rsid w:val="001103EC"/>
    <w:rsid w:val="0011284F"/>
    <w:rsid w:val="00117B06"/>
    <w:rsid w:val="00120924"/>
    <w:rsid w:val="00121C9D"/>
    <w:rsid w:val="00124575"/>
    <w:rsid w:val="00130167"/>
    <w:rsid w:val="0013411D"/>
    <w:rsid w:val="0013662E"/>
    <w:rsid w:val="00137E0F"/>
    <w:rsid w:val="001426BB"/>
    <w:rsid w:val="00142AAA"/>
    <w:rsid w:val="00143FB3"/>
    <w:rsid w:val="00144335"/>
    <w:rsid w:val="001472B0"/>
    <w:rsid w:val="00157A56"/>
    <w:rsid w:val="00162151"/>
    <w:rsid w:val="00164344"/>
    <w:rsid w:val="001662F6"/>
    <w:rsid w:val="00167C28"/>
    <w:rsid w:val="00171258"/>
    <w:rsid w:val="001763F2"/>
    <w:rsid w:val="0017759B"/>
    <w:rsid w:val="00180048"/>
    <w:rsid w:val="00180CD3"/>
    <w:rsid w:val="00185084"/>
    <w:rsid w:val="00186177"/>
    <w:rsid w:val="00191675"/>
    <w:rsid w:val="001960DF"/>
    <w:rsid w:val="001962A8"/>
    <w:rsid w:val="00197E40"/>
    <w:rsid w:val="001A2F65"/>
    <w:rsid w:val="001A5634"/>
    <w:rsid w:val="001A5E08"/>
    <w:rsid w:val="001A7CB6"/>
    <w:rsid w:val="001B3CBA"/>
    <w:rsid w:val="001B417C"/>
    <w:rsid w:val="001B7C2C"/>
    <w:rsid w:val="001C1B13"/>
    <w:rsid w:val="001C37C2"/>
    <w:rsid w:val="001C4201"/>
    <w:rsid w:val="001C5BD2"/>
    <w:rsid w:val="001C601B"/>
    <w:rsid w:val="001C68C7"/>
    <w:rsid w:val="001C6C8C"/>
    <w:rsid w:val="001D117E"/>
    <w:rsid w:val="001D62F0"/>
    <w:rsid w:val="001E0137"/>
    <w:rsid w:val="001E146C"/>
    <w:rsid w:val="001E19F6"/>
    <w:rsid w:val="001E2A2A"/>
    <w:rsid w:val="001E2AAF"/>
    <w:rsid w:val="001E2DA4"/>
    <w:rsid w:val="001E2F74"/>
    <w:rsid w:val="001E3774"/>
    <w:rsid w:val="001E42A5"/>
    <w:rsid w:val="001E52AE"/>
    <w:rsid w:val="001E571F"/>
    <w:rsid w:val="001E6BD5"/>
    <w:rsid w:val="001E723B"/>
    <w:rsid w:val="001F1B66"/>
    <w:rsid w:val="001F4366"/>
    <w:rsid w:val="001F53D7"/>
    <w:rsid w:val="001F6404"/>
    <w:rsid w:val="001F77E8"/>
    <w:rsid w:val="001F7EB6"/>
    <w:rsid w:val="00200447"/>
    <w:rsid w:val="00204C05"/>
    <w:rsid w:val="00205371"/>
    <w:rsid w:val="0020584C"/>
    <w:rsid w:val="00207029"/>
    <w:rsid w:val="00210BE1"/>
    <w:rsid w:val="00210FA1"/>
    <w:rsid w:val="002166C8"/>
    <w:rsid w:val="002168D2"/>
    <w:rsid w:val="0021753C"/>
    <w:rsid w:val="00221620"/>
    <w:rsid w:val="00221C70"/>
    <w:rsid w:val="00222609"/>
    <w:rsid w:val="0022305E"/>
    <w:rsid w:val="002236F4"/>
    <w:rsid w:val="00223E20"/>
    <w:rsid w:val="002247A3"/>
    <w:rsid w:val="002248D4"/>
    <w:rsid w:val="00226382"/>
    <w:rsid w:val="002359DD"/>
    <w:rsid w:val="002408B0"/>
    <w:rsid w:val="00242ACA"/>
    <w:rsid w:val="0024766B"/>
    <w:rsid w:val="00250B40"/>
    <w:rsid w:val="00251B2F"/>
    <w:rsid w:val="00251C60"/>
    <w:rsid w:val="00251F47"/>
    <w:rsid w:val="00256C0E"/>
    <w:rsid w:val="0026001B"/>
    <w:rsid w:val="002602D3"/>
    <w:rsid w:val="0026123A"/>
    <w:rsid w:val="002616AE"/>
    <w:rsid w:val="00261822"/>
    <w:rsid w:val="00270CAD"/>
    <w:rsid w:val="0027145A"/>
    <w:rsid w:val="00274D9B"/>
    <w:rsid w:val="00274F29"/>
    <w:rsid w:val="0027646B"/>
    <w:rsid w:val="00281508"/>
    <w:rsid w:val="002831B4"/>
    <w:rsid w:val="00293663"/>
    <w:rsid w:val="00296632"/>
    <w:rsid w:val="002A0177"/>
    <w:rsid w:val="002A4166"/>
    <w:rsid w:val="002B0231"/>
    <w:rsid w:val="002B1203"/>
    <w:rsid w:val="002B4213"/>
    <w:rsid w:val="002B4BA5"/>
    <w:rsid w:val="002B5368"/>
    <w:rsid w:val="002B774B"/>
    <w:rsid w:val="002C3EF9"/>
    <w:rsid w:val="002C4298"/>
    <w:rsid w:val="002C44BC"/>
    <w:rsid w:val="002C5220"/>
    <w:rsid w:val="002D11BE"/>
    <w:rsid w:val="002D5355"/>
    <w:rsid w:val="002D60A3"/>
    <w:rsid w:val="002D74FC"/>
    <w:rsid w:val="002D7F71"/>
    <w:rsid w:val="002E0984"/>
    <w:rsid w:val="002E2964"/>
    <w:rsid w:val="002E3547"/>
    <w:rsid w:val="002E537E"/>
    <w:rsid w:val="002F57B1"/>
    <w:rsid w:val="002F5DD4"/>
    <w:rsid w:val="002F716A"/>
    <w:rsid w:val="00300B62"/>
    <w:rsid w:val="0030144D"/>
    <w:rsid w:val="003025DE"/>
    <w:rsid w:val="00304562"/>
    <w:rsid w:val="0031371A"/>
    <w:rsid w:val="0031401B"/>
    <w:rsid w:val="00315E6F"/>
    <w:rsid w:val="003164F9"/>
    <w:rsid w:val="00324CE5"/>
    <w:rsid w:val="00326DAD"/>
    <w:rsid w:val="00326EB1"/>
    <w:rsid w:val="00327D05"/>
    <w:rsid w:val="00331AE1"/>
    <w:rsid w:val="00331E5D"/>
    <w:rsid w:val="00332E17"/>
    <w:rsid w:val="00335C66"/>
    <w:rsid w:val="003410B0"/>
    <w:rsid w:val="00342F4E"/>
    <w:rsid w:val="00345A47"/>
    <w:rsid w:val="00347CBF"/>
    <w:rsid w:val="00351626"/>
    <w:rsid w:val="00351738"/>
    <w:rsid w:val="00351C44"/>
    <w:rsid w:val="00351EFC"/>
    <w:rsid w:val="0035282D"/>
    <w:rsid w:val="00353066"/>
    <w:rsid w:val="003567B4"/>
    <w:rsid w:val="00360E94"/>
    <w:rsid w:val="003622D8"/>
    <w:rsid w:val="003662A6"/>
    <w:rsid w:val="003756E1"/>
    <w:rsid w:val="00376DFA"/>
    <w:rsid w:val="003807B8"/>
    <w:rsid w:val="00383520"/>
    <w:rsid w:val="00386D1C"/>
    <w:rsid w:val="003910F7"/>
    <w:rsid w:val="00393E0B"/>
    <w:rsid w:val="003940B2"/>
    <w:rsid w:val="00395510"/>
    <w:rsid w:val="00396E9F"/>
    <w:rsid w:val="003977BB"/>
    <w:rsid w:val="003A15C9"/>
    <w:rsid w:val="003A208F"/>
    <w:rsid w:val="003A64A8"/>
    <w:rsid w:val="003B7A9C"/>
    <w:rsid w:val="003C08B2"/>
    <w:rsid w:val="003C2138"/>
    <w:rsid w:val="003C47CC"/>
    <w:rsid w:val="003C74AB"/>
    <w:rsid w:val="003D0150"/>
    <w:rsid w:val="003D429B"/>
    <w:rsid w:val="003D563C"/>
    <w:rsid w:val="003D5CBB"/>
    <w:rsid w:val="003E04DE"/>
    <w:rsid w:val="003E16AB"/>
    <w:rsid w:val="003E48D3"/>
    <w:rsid w:val="003E494A"/>
    <w:rsid w:val="003E59BE"/>
    <w:rsid w:val="003E60D9"/>
    <w:rsid w:val="003E645F"/>
    <w:rsid w:val="003E72D5"/>
    <w:rsid w:val="003F14A4"/>
    <w:rsid w:val="003F1E10"/>
    <w:rsid w:val="003F3263"/>
    <w:rsid w:val="003F55C1"/>
    <w:rsid w:val="004016B9"/>
    <w:rsid w:val="00402E81"/>
    <w:rsid w:val="004037A3"/>
    <w:rsid w:val="00403CD9"/>
    <w:rsid w:val="0040432F"/>
    <w:rsid w:val="00405900"/>
    <w:rsid w:val="004079AD"/>
    <w:rsid w:val="00407A67"/>
    <w:rsid w:val="00414CDC"/>
    <w:rsid w:val="004167B9"/>
    <w:rsid w:val="004205E2"/>
    <w:rsid w:val="00420942"/>
    <w:rsid w:val="00422C1E"/>
    <w:rsid w:val="004300BD"/>
    <w:rsid w:val="00432CF8"/>
    <w:rsid w:val="00433CA6"/>
    <w:rsid w:val="00436A53"/>
    <w:rsid w:val="004415CB"/>
    <w:rsid w:val="00441E14"/>
    <w:rsid w:val="00442B1F"/>
    <w:rsid w:val="00443FEA"/>
    <w:rsid w:val="00447BEB"/>
    <w:rsid w:val="00451245"/>
    <w:rsid w:val="00451DB3"/>
    <w:rsid w:val="00457B40"/>
    <w:rsid w:val="00462910"/>
    <w:rsid w:val="00463AFB"/>
    <w:rsid w:val="00464D43"/>
    <w:rsid w:val="00467172"/>
    <w:rsid w:val="0047057D"/>
    <w:rsid w:val="00470A17"/>
    <w:rsid w:val="00471EDB"/>
    <w:rsid w:val="00475723"/>
    <w:rsid w:val="00475BC5"/>
    <w:rsid w:val="00481704"/>
    <w:rsid w:val="004908F9"/>
    <w:rsid w:val="00492849"/>
    <w:rsid w:val="00492CA0"/>
    <w:rsid w:val="00492F9F"/>
    <w:rsid w:val="0049536C"/>
    <w:rsid w:val="00497E1E"/>
    <w:rsid w:val="004A0B4F"/>
    <w:rsid w:val="004A2BAF"/>
    <w:rsid w:val="004A2C73"/>
    <w:rsid w:val="004A36BD"/>
    <w:rsid w:val="004A713D"/>
    <w:rsid w:val="004B01AE"/>
    <w:rsid w:val="004B0914"/>
    <w:rsid w:val="004B11DC"/>
    <w:rsid w:val="004B1ED8"/>
    <w:rsid w:val="004B34F1"/>
    <w:rsid w:val="004B389D"/>
    <w:rsid w:val="004B4695"/>
    <w:rsid w:val="004B6304"/>
    <w:rsid w:val="004B6865"/>
    <w:rsid w:val="004C0713"/>
    <w:rsid w:val="004C1692"/>
    <w:rsid w:val="004C1DE3"/>
    <w:rsid w:val="004C2F6B"/>
    <w:rsid w:val="004C3810"/>
    <w:rsid w:val="004C5154"/>
    <w:rsid w:val="004C57F6"/>
    <w:rsid w:val="004C5F3F"/>
    <w:rsid w:val="004C78FF"/>
    <w:rsid w:val="004D1A74"/>
    <w:rsid w:val="004D26A5"/>
    <w:rsid w:val="004D2B14"/>
    <w:rsid w:val="004D2FAF"/>
    <w:rsid w:val="004D3027"/>
    <w:rsid w:val="004D3A0D"/>
    <w:rsid w:val="004D46B1"/>
    <w:rsid w:val="004D55C5"/>
    <w:rsid w:val="004E3528"/>
    <w:rsid w:val="004E4057"/>
    <w:rsid w:val="004E4980"/>
    <w:rsid w:val="004E4E48"/>
    <w:rsid w:val="004E69A3"/>
    <w:rsid w:val="004E6AFB"/>
    <w:rsid w:val="004E6B21"/>
    <w:rsid w:val="004E72DA"/>
    <w:rsid w:val="004F08E4"/>
    <w:rsid w:val="004F1448"/>
    <w:rsid w:val="004F19BA"/>
    <w:rsid w:val="004F2125"/>
    <w:rsid w:val="004F217C"/>
    <w:rsid w:val="004F2297"/>
    <w:rsid w:val="004F3303"/>
    <w:rsid w:val="004F33FE"/>
    <w:rsid w:val="004F57FF"/>
    <w:rsid w:val="004F60D8"/>
    <w:rsid w:val="004F6378"/>
    <w:rsid w:val="00502CC8"/>
    <w:rsid w:val="00506778"/>
    <w:rsid w:val="00507E15"/>
    <w:rsid w:val="005123CB"/>
    <w:rsid w:val="0051504C"/>
    <w:rsid w:val="00515268"/>
    <w:rsid w:val="00515BF4"/>
    <w:rsid w:val="00515FCB"/>
    <w:rsid w:val="00520A07"/>
    <w:rsid w:val="00522206"/>
    <w:rsid w:val="00522606"/>
    <w:rsid w:val="00525985"/>
    <w:rsid w:val="00525BA5"/>
    <w:rsid w:val="0053562D"/>
    <w:rsid w:val="00540085"/>
    <w:rsid w:val="005405B2"/>
    <w:rsid w:val="005415D9"/>
    <w:rsid w:val="00541EA0"/>
    <w:rsid w:val="00541F7F"/>
    <w:rsid w:val="00542E57"/>
    <w:rsid w:val="00544BAA"/>
    <w:rsid w:val="00544DD5"/>
    <w:rsid w:val="00547897"/>
    <w:rsid w:val="00547A1D"/>
    <w:rsid w:val="00550FB0"/>
    <w:rsid w:val="0055182A"/>
    <w:rsid w:val="00552E82"/>
    <w:rsid w:val="00553172"/>
    <w:rsid w:val="00553B73"/>
    <w:rsid w:val="00553C75"/>
    <w:rsid w:val="00553E64"/>
    <w:rsid w:val="00557B5B"/>
    <w:rsid w:val="00560307"/>
    <w:rsid w:val="00561E9E"/>
    <w:rsid w:val="00563ED0"/>
    <w:rsid w:val="00566AC2"/>
    <w:rsid w:val="00567E51"/>
    <w:rsid w:val="00571302"/>
    <w:rsid w:val="005722E9"/>
    <w:rsid w:val="00572E12"/>
    <w:rsid w:val="00575102"/>
    <w:rsid w:val="00575109"/>
    <w:rsid w:val="00580FCC"/>
    <w:rsid w:val="005829AB"/>
    <w:rsid w:val="00582B92"/>
    <w:rsid w:val="0058394A"/>
    <w:rsid w:val="005846CA"/>
    <w:rsid w:val="0058563C"/>
    <w:rsid w:val="0058779E"/>
    <w:rsid w:val="00590596"/>
    <w:rsid w:val="00592A8A"/>
    <w:rsid w:val="00594A48"/>
    <w:rsid w:val="005961B3"/>
    <w:rsid w:val="00597361"/>
    <w:rsid w:val="005A0053"/>
    <w:rsid w:val="005A0C9A"/>
    <w:rsid w:val="005A3632"/>
    <w:rsid w:val="005A6885"/>
    <w:rsid w:val="005A73E5"/>
    <w:rsid w:val="005B023C"/>
    <w:rsid w:val="005B03BE"/>
    <w:rsid w:val="005B1F5F"/>
    <w:rsid w:val="005B21B3"/>
    <w:rsid w:val="005B5EF7"/>
    <w:rsid w:val="005B6194"/>
    <w:rsid w:val="005B643A"/>
    <w:rsid w:val="005C0F3D"/>
    <w:rsid w:val="005C1BCF"/>
    <w:rsid w:val="005C1C28"/>
    <w:rsid w:val="005C607C"/>
    <w:rsid w:val="005C73EF"/>
    <w:rsid w:val="005D077F"/>
    <w:rsid w:val="005D175D"/>
    <w:rsid w:val="005D5382"/>
    <w:rsid w:val="005D72C0"/>
    <w:rsid w:val="005E23A3"/>
    <w:rsid w:val="005E257A"/>
    <w:rsid w:val="005E26AA"/>
    <w:rsid w:val="005E3F62"/>
    <w:rsid w:val="005E42F8"/>
    <w:rsid w:val="005F1093"/>
    <w:rsid w:val="005F1A5B"/>
    <w:rsid w:val="005F207A"/>
    <w:rsid w:val="005F2926"/>
    <w:rsid w:val="005F3ADA"/>
    <w:rsid w:val="005F5389"/>
    <w:rsid w:val="0060395D"/>
    <w:rsid w:val="00611FC2"/>
    <w:rsid w:val="00615031"/>
    <w:rsid w:val="006177AE"/>
    <w:rsid w:val="00620106"/>
    <w:rsid w:val="006201E3"/>
    <w:rsid w:val="00624D3E"/>
    <w:rsid w:val="0062654F"/>
    <w:rsid w:val="00626726"/>
    <w:rsid w:val="00630E7C"/>
    <w:rsid w:val="0063171F"/>
    <w:rsid w:val="00631CC6"/>
    <w:rsid w:val="00631DFE"/>
    <w:rsid w:val="00632DBE"/>
    <w:rsid w:val="0063375B"/>
    <w:rsid w:val="00634F34"/>
    <w:rsid w:val="006361CD"/>
    <w:rsid w:val="006373DC"/>
    <w:rsid w:val="00637ED1"/>
    <w:rsid w:val="00645FEC"/>
    <w:rsid w:val="00647113"/>
    <w:rsid w:val="0065211B"/>
    <w:rsid w:val="00652E76"/>
    <w:rsid w:val="00655533"/>
    <w:rsid w:val="00660F42"/>
    <w:rsid w:val="00661F9B"/>
    <w:rsid w:val="006624D9"/>
    <w:rsid w:val="00663ED5"/>
    <w:rsid w:val="00664CFE"/>
    <w:rsid w:val="00664D5D"/>
    <w:rsid w:val="0066602D"/>
    <w:rsid w:val="006667A7"/>
    <w:rsid w:val="00666D33"/>
    <w:rsid w:val="006721C8"/>
    <w:rsid w:val="00674E33"/>
    <w:rsid w:val="00675DF2"/>
    <w:rsid w:val="00677515"/>
    <w:rsid w:val="00682231"/>
    <w:rsid w:val="00684705"/>
    <w:rsid w:val="00685604"/>
    <w:rsid w:val="00686883"/>
    <w:rsid w:val="00686CDE"/>
    <w:rsid w:val="00690F55"/>
    <w:rsid w:val="00691CFF"/>
    <w:rsid w:val="00692BDB"/>
    <w:rsid w:val="00693545"/>
    <w:rsid w:val="00693DE0"/>
    <w:rsid w:val="00694378"/>
    <w:rsid w:val="0069622C"/>
    <w:rsid w:val="00697676"/>
    <w:rsid w:val="006A19AF"/>
    <w:rsid w:val="006A2642"/>
    <w:rsid w:val="006B1C8C"/>
    <w:rsid w:val="006B3115"/>
    <w:rsid w:val="006B35B2"/>
    <w:rsid w:val="006B37AF"/>
    <w:rsid w:val="006B4573"/>
    <w:rsid w:val="006B553D"/>
    <w:rsid w:val="006B6B15"/>
    <w:rsid w:val="006B725C"/>
    <w:rsid w:val="006B7393"/>
    <w:rsid w:val="006C09C1"/>
    <w:rsid w:val="006C3FA8"/>
    <w:rsid w:val="006C4D71"/>
    <w:rsid w:val="006C6596"/>
    <w:rsid w:val="006C6740"/>
    <w:rsid w:val="006C7C12"/>
    <w:rsid w:val="006D276B"/>
    <w:rsid w:val="006D5C1B"/>
    <w:rsid w:val="006D7A71"/>
    <w:rsid w:val="006E0080"/>
    <w:rsid w:val="006E10AD"/>
    <w:rsid w:val="006E214C"/>
    <w:rsid w:val="006E2A55"/>
    <w:rsid w:val="006E3111"/>
    <w:rsid w:val="006E40F3"/>
    <w:rsid w:val="006E7EB8"/>
    <w:rsid w:val="006F0552"/>
    <w:rsid w:val="006F1376"/>
    <w:rsid w:val="006F1428"/>
    <w:rsid w:val="006F1E23"/>
    <w:rsid w:val="006F5EA5"/>
    <w:rsid w:val="006F68CF"/>
    <w:rsid w:val="006F6CA4"/>
    <w:rsid w:val="007002B2"/>
    <w:rsid w:val="0070347D"/>
    <w:rsid w:val="0070455C"/>
    <w:rsid w:val="0071438D"/>
    <w:rsid w:val="00715AC7"/>
    <w:rsid w:val="00716022"/>
    <w:rsid w:val="007171FC"/>
    <w:rsid w:val="00722B08"/>
    <w:rsid w:val="00725909"/>
    <w:rsid w:val="007311BF"/>
    <w:rsid w:val="007313E9"/>
    <w:rsid w:val="00732F15"/>
    <w:rsid w:val="0073475C"/>
    <w:rsid w:val="00734923"/>
    <w:rsid w:val="00736338"/>
    <w:rsid w:val="00737577"/>
    <w:rsid w:val="007400F8"/>
    <w:rsid w:val="00743A33"/>
    <w:rsid w:val="00747017"/>
    <w:rsid w:val="00750521"/>
    <w:rsid w:val="00751FEB"/>
    <w:rsid w:val="00752D29"/>
    <w:rsid w:val="00752F2E"/>
    <w:rsid w:val="00756616"/>
    <w:rsid w:val="00761124"/>
    <w:rsid w:val="00762360"/>
    <w:rsid w:val="00764274"/>
    <w:rsid w:val="00764D12"/>
    <w:rsid w:val="00765AF5"/>
    <w:rsid w:val="00767CEE"/>
    <w:rsid w:val="0077147D"/>
    <w:rsid w:val="007733C0"/>
    <w:rsid w:val="00774B82"/>
    <w:rsid w:val="00776F1F"/>
    <w:rsid w:val="00780009"/>
    <w:rsid w:val="00781954"/>
    <w:rsid w:val="00784535"/>
    <w:rsid w:val="00787592"/>
    <w:rsid w:val="007956D5"/>
    <w:rsid w:val="007A58D9"/>
    <w:rsid w:val="007A6CB7"/>
    <w:rsid w:val="007B1A85"/>
    <w:rsid w:val="007B1FA1"/>
    <w:rsid w:val="007B4122"/>
    <w:rsid w:val="007B7BE9"/>
    <w:rsid w:val="007C0964"/>
    <w:rsid w:val="007C0B53"/>
    <w:rsid w:val="007C3555"/>
    <w:rsid w:val="007C6906"/>
    <w:rsid w:val="007C6D40"/>
    <w:rsid w:val="007C7717"/>
    <w:rsid w:val="007D13A0"/>
    <w:rsid w:val="007D2004"/>
    <w:rsid w:val="007D228F"/>
    <w:rsid w:val="007D316C"/>
    <w:rsid w:val="007D3A8D"/>
    <w:rsid w:val="007E0CB9"/>
    <w:rsid w:val="007E13EF"/>
    <w:rsid w:val="007E2F9C"/>
    <w:rsid w:val="007E3035"/>
    <w:rsid w:val="007E4916"/>
    <w:rsid w:val="007E5106"/>
    <w:rsid w:val="007E5CCA"/>
    <w:rsid w:val="007F0618"/>
    <w:rsid w:val="007F0DE1"/>
    <w:rsid w:val="007F3527"/>
    <w:rsid w:val="007F35E8"/>
    <w:rsid w:val="008001DB"/>
    <w:rsid w:val="008041A8"/>
    <w:rsid w:val="00804E4E"/>
    <w:rsid w:val="00805F0D"/>
    <w:rsid w:val="00810BE4"/>
    <w:rsid w:val="008119FB"/>
    <w:rsid w:val="00813654"/>
    <w:rsid w:val="0081530B"/>
    <w:rsid w:val="00822B0B"/>
    <w:rsid w:val="00822B3A"/>
    <w:rsid w:val="0082689C"/>
    <w:rsid w:val="00834701"/>
    <w:rsid w:val="00835B37"/>
    <w:rsid w:val="008367FF"/>
    <w:rsid w:val="00837A34"/>
    <w:rsid w:val="00842E3F"/>
    <w:rsid w:val="00845A9C"/>
    <w:rsid w:val="00846556"/>
    <w:rsid w:val="00846C90"/>
    <w:rsid w:val="00847A94"/>
    <w:rsid w:val="00847DAC"/>
    <w:rsid w:val="0085180B"/>
    <w:rsid w:val="00852CF6"/>
    <w:rsid w:val="008549BE"/>
    <w:rsid w:val="00856E72"/>
    <w:rsid w:val="00860D79"/>
    <w:rsid w:val="008627AC"/>
    <w:rsid w:val="00862BE7"/>
    <w:rsid w:val="00870D55"/>
    <w:rsid w:val="00872019"/>
    <w:rsid w:val="008722FB"/>
    <w:rsid w:val="00872E6D"/>
    <w:rsid w:val="00874360"/>
    <w:rsid w:val="00875294"/>
    <w:rsid w:val="008764B8"/>
    <w:rsid w:val="00877263"/>
    <w:rsid w:val="00877649"/>
    <w:rsid w:val="008816DE"/>
    <w:rsid w:val="0088221C"/>
    <w:rsid w:val="00883AA1"/>
    <w:rsid w:val="008856E1"/>
    <w:rsid w:val="00885CCA"/>
    <w:rsid w:val="008863ED"/>
    <w:rsid w:val="008877C6"/>
    <w:rsid w:val="0089363A"/>
    <w:rsid w:val="00893C82"/>
    <w:rsid w:val="00895D25"/>
    <w:rsid w:val="00897407"/>
    <w:rsid w:val="008A5D14"/>
    <w:rsid w:val="008A7F32"/>
    <w:rsid w:val="008B1829"/>
    <w:rsid w:val="008B1A6E"/>
    <w:rsid w:val="008B1FC3"/>
    <w:rsid w:val="008B20E7"/>
    <w:rsid w:val="008B243F"/>
    <w:rsid w:val="008B3893"/>
    <w:rsid w:val="008B47DA"/>
    <w:rsid w:val="008B52F8"/>
    <w:rsid w:val="008C11A4"/>
    <w:rsid w:val="008C4489"/>
    <w:rsid w:val="008C61C1"/>
    <w:rsid w:val="008C7468"/>
    <w:rsid w:val="008C7F6F"/>
    <w:rsid w:val="008D24D1"/>
    <w:rsid w:val="008D4850"/>
    <w:rsid w:val="008D4ED1"/>
    <w:rsid w:val="008D6304"/>
    <w:rsid w:val="008E0CD2"/>
    <w:rsid w:val="008E180B"/>
    <w:rsid w:val="008E3BD4"/>
    <w:rsid w:val="008E3F12"/>
    <w:rsid w:val="008E6C84"/>
    <w:rsid w:val="008E73F2"/>
    <w:rsid w:val="008E7D2D"/>
    <w:rsid w:val="008F4224"/>
    <w:rsid w:val="008F7F93"/>
    <w:rsid w:val="0090296A"/>
    <w:rsid w:val="0090510E"/>
    <w:rsid w:val="009059C2"/>
    <w:rsid w:val="0090741A"/>
    <w:rsid w:val="0091010C"/>
    <w:rsid w:val="009128DE"/>
    <w:rsid w:val="00913824"/>
    <w:rsid w:val="0091535E"/>
    <w:rsid w:val="009157C8"/>
    <w:rsid w:val="00915EAC"/>
    <w:rsid w:val="00922133"/>
    <w:rsid w:val="009230B7"/>
    <w:rsid w:val="00925865"/>
    <w:rsid w:val="00927222"/>
    <w:rsid w:val="00930EB4"/>
    <w:rsid w:val="00931A51"/>
    <w:rsid w:val="00937084"/>
    <w:rsid w:val="009379E6"/>
    <w:rsid w:val="0094063B"/>
    <w:rsid w:val="00941B9F"/>
    <w:rsid w:val="00941C42"/>
    <w:rsid w:val="00950055"/>
    <w:rsid w:val="009504CB"/>
    <w:rsid w:val="009512DA"/>
    <w:rsid w:val="00953A85"/>
    <w:rsid w:val="00957206"/>
    <w:rsid w:val="009578B3"/>
    <w:rsid w:val="00962779"/>
    <w:rsid w:val="00970A1F"/>
    <w:rsid w:val="009736F5"/>
    <w:rsid w:val="00974FF7"/>
    <w:rsid w:val="00981E12"/>
    <w:rsid w:val="00982EDD"/>
    <w:rsid w:val="009841CB"/>
    <w:rsid w:val="00984BE5"/>
    <w:rsid w:val="00990581"/>
    <w:rsid w:val="009909D7"/>
    <w:rsid w:val="00991DBF"/>
    <w:rsid w:val="00993878"/>
    <w:rsid w:val="00993AC4"/>
    <w:rsid w:val="00993BC0"/>
    <w:rsid w:val="00996993"/>
    <w:rsid w:val="009A039E"/>
    <w:rsid w:val="009A095B"/>
    <w:rsid w:val="009A2D5C"/>
    <w:rsid w:val="009B4EA4"/>
    <w:rsid w:val="009B6E34"/>
    <w:rsid w:val="009B76C1"/>
    <w:rsid w:val="009C2F03"/>
    <w:rsid w:val="009C6A99"/>
    <w:rsid w:val="009D0FDF"/>
    <w:rsid w:val="009D38C7"/>
    <w:rsid w:val="009D4097"/>
    <w:rsid w:val="009D4395"/>
    <w:rsid w:val="009D4C26"/>
    <w:rsid w:val="009D793C"/>
    <w:rsid w:val="009E075C"/>
    <w:rsid w:val="009E2EC1"/>
    <w:rsid w:val="009F15D3"/>
    <w:rsid w:val="009F196C"/>
    <w:rsid w:val="009F1CD7"/>
    <w:rsid w:val="009F35EB"/>
    <w:rsid w:val="009F3661"/>
    <w:rsid w:val="009F58C9"/>
    <w:rsid w:val="009F6756"/>
    <w:rsid w:val="009F7FBF"/>
    <w:rsid w:val="00A0336D"/>
    <w:rsid w:val="00A052AF"/>
    <w:rsid w:val="00A05911"/>
    <w:rsid w:val="00A063D6"/>
    <w:rsid w:val="00A0696E"/>
    <w:rsid w:val="00A11271"/>
    <w:rsid w:val="00A12057"/>
    <w:rsid w:val="00A17510"/>
    <w:rsid w:val="00A20C45"/>
    <w:rsid w:val="00A248DA"/>
    <w:rsid w:val="00A24F18"/>
    <w:rsid w:val="00A26115"/>
    <w:rsid w:val="00A26B7C"/>
    <w:rsid w:val="00A31359"/>
    <w:rsid w:val="00A32C27"/>
    <w:rsid w:val="00A35607"/>
    <w:rsid w:val="00A35AFD"/>
    <w:rsid w:val="00A40BEB"/>
    <w:rsid w:val="00A45999"/>
    <w:rsid w:val="00A47275"/>
    <w:rsid w:val="00A516EB"/>
    <w:rsid w:val="00A54810"/>
    <w:rsid w:val="00A54C5C"/>
    <w:rsid w:val="00A55487"/>
    <w:rsid w:val="00A6284D"/>
    <w:rsid w:val="00A62863"/>
    <w:rsid w:val="00A62BD5"/>
    <w:rsid w:val="00A63282"/>
    <w:rsid w:val="00A639D1"/>
    <w:rsid w:val="00A65E6B"/>
    <w:rsid w:val="00A71746"/>
    <w:rsid w:val="00A71EB5"/>
    <w:rsid w:val="00A72F83"/>
    <w:rsid w:val="00A76FEB"/>
    <w:rsid w:val="00A83263"/>
    <w:rsid w:val="00A85E9F"/>
    <w:rsid w:val="00A85EF5"/>
    <w:rsid w:val="00A918A5"/>
    <w:rsid w:val="00A937FE"/>
    <w:rsid w:val="00AA247A"/>
    <w:rsid w:val="00AB34D4"/>
    <w:rsid w:val="00AB59A0"/>
    <w:rsid w:val="00AC35B4"/>
    <w:rsid w:val="00AC66EA"/>
    <w:rsid w:val="00AD121F"/>
    <w:rsid w:val="00AD2846"/>
    <w:rsid w:val="00AD3E2D"/>
    <w:rsid w:val="00AD4172"/>
    <w:rsid w:val="00AD4392"/>
    <w:rsid w:val="00AE2803"/>
    <w:rsid w:val="00AE2BD8"/>
    <w:rsid w:val="00AE31CA"/>
    <w:rsid w:val="00AE5326"/>
    <w:rsid w:val="00AE5C48"/>
    <w:rsid w:val="00AE5DA5"/>
    <w:rsid w:val="00AE69F2"/>
    <w:rsid w:val="00AE7D6B"/>
    <w:rsid w:val="00AF0A27"/>
    <w:rsid w:val="00AF3256"/>
    <w:rsid w:val="00AF36B1"/>
    <w:rsid w:val="00AF49B5"/>
    <w:rsid w:val="00B008B1"/>
    <w:rsid w:val="00B0462D"/>
    <w:rsid w:val="00B05093"/>
    <w:rsid w:val="00B06D25"/>
    <w:rsid w:val="00B13048"/>
    <w:rsid w:val="00B151F9"/>
    <w:rsid w:val="00B15BAF"/>
    <w:rsid w:val="00B2075E"/>
    <w:rsid w:val="00B21641"/>
    <w:rsid w:val="00B223D2"/>
    <w:rsid w:val="00B23B5E"/>
    <w:rsid w:val="00B23D19"/>
    <w:rsid w:val="00B307E7"/>
    <w:rsid w:val="00B31099"/>
    <w:rsid w:val="00B32F32"/>
    <w:rsid w:val="00B344DB"/>
    <w:rsid w:val="00B37B79"/>
    <w:rsid w:val="00B419B8"/>
    <w:rsid w:val="00B422BD"/>
    <w:rsid w:val="00B4381B"/>
    <w:rsid w:val="00B45FCF"/>
    <w:rsid w:val="00B47512"/>
    <w:rsid w:val="00B500FE"/>
    <w:rsid w:val="00B505F0"/>
    <w:rsid w:val="00B50C59"/>
    <w:rsid w:val="00B531EA"/>
    <w:rsid w:val="00B6337F"/>
    <w:rsid w:val="00B63C06"/>
    <w:rsid w:val="00B64349"/>
    <w:rsid w:val="00B64C0A"/>
    <w:rsid w:val="00B7089D"/>
    <w:rsid w:val="00B7117F"/>
    <w:rsid w:val="00B71AF3"/>
    <w:rsid w:val="00B71FEE"/>
    <w:rsid w:val="00B72BC0"/>
    <w:rsid w:val="00B751C7"/>
    <w:rsid w:val="00B75D9E"/>
    <w:rsid w:val="00B80395"/>
    <w:rsid w:val="00B816E5"/>
    <w:rsid w:val="00B81972"/>
    <w:rsid w:val="00B825EB"/>
    <w:rsid w:val="00B83A66"/>
    <w:rsid w:val="00B84FC6"/>
    <w:rsid w:val="00B8604F"/>
    <w:rsid w:val="00B87A92"/>
    <w:rsid w:val="00B91922"/>
    <w:rsid w:val="00B94201"/>
    <w:rsid w:val="00B947C0"/>
    <w:rsid w:val="00B96F9E"/>
    <w:rsid w:val="00B97729"/>
    <w:rsid w:val="00B97E7D"/>
    <w:rsid w:val="00BA01FA"/>
    <w:rsid w:val="00BA2691"/>
    <w:rsid w:val="00BA2943"/>
    <w:rsid w:val="00BA315C"/>
    <w:rsid w:val="00BA3AFA"/>
    <w:rsid w:val="00BA4CF4"/>
    <w:rsid w:val="00BA6785"/>
    <w:rsid w:val="00BA6CBB"/>
    <w:rsid w:val="00BB0831"/>
    <w:rsid w:val="00BB15E5"/>
    <w:rsid w:val="00BB56C9"/>
    <w:rsid w:val="00BB5842"/>
    <w:rsid w:val="00BB7C53"/>
    <w:rsid w:val="00BC134E"/>
    <w:rsid w:val="00BC1ED5"/>
    <w:rsid w:val="00BC20B2"/>
    <w:rsid w:val="00BC35D2"/>
    <w:rsid w:val="00BC47CD"/>
    <w:rsid w:val="00BC7974"/>
    <w:rsid w:val="00BC7A5C"/>
    <w:rsid w:val="00BD0B1E"/>
    <w:rsid w:val="00BD2595"/>
    <w:rsid w:val="00BD25DE"/>
    <w:rsid w:val="00BD29B9"/>
    <w:rsid w:val="00BD465C"/>
    <w:rsid w:val="00BD7963"/>
    <w:rsid w:val="00BE3D94"/>
    <w:rsid w:val="00BE5CA9"/>
    <w:rsid w:val="00BE6E58"/>
    <w:rsid w:val="00BF107A"/>
    <w:rsid w:val="00BF19AE"/>
    <w:rsid w:val="00BF1CCF"/>
    <w:rsid w:val="00BF28B3"/>
    <w:rsid w:val="00BF370A"/>
    <w:rsid w:val="00BF71F4"/>
    <w:rsid w:val="00BF7281"/>
    <w:rsid w:val="00BF758B"/>
    <w:rsid w:val="00C02EC1"/>
    <w:rsid w:val="00C02F5C"/>
    <w:rsid w:val="00C06586"/>
    <w:rsid w:val="00C06DD6"/>
    <w:rsid w:val="00C102AD"/>
    <w:rsid w:val="00C1473F"/>
    <w:rsid w:val="00C14A0A"/>
    <w:rsid w:val="00C2027C"/>
    <w:rsid w:val="00C259BF"/>
    <w:rsid w:val="00C266E8"/>
    <w:rsid w:val="00C31644"/>
    <w:rsid w:val="00C36A5A"/>
    <w:rsid w:val="00C40E6C"/>
    <w:rsid w:val="00C41232"/>
    <w:rsid w:val="00C41613"/>
    <w:rsid w:val="00C41A22"/>
    <w:rsid w:val="00C41A24"/>
    <w:rsid w:val="00C50D78"/>
    <w:rsid w:val="00C5202D"/>
    <w:rsid w:val="00C53F2A"/>
    <w:rsid w:val="00C55021"/>
    <w:rsid w:val="00C562BB"/>
    <w:rsid w:val="00C56410"/>
    <w:rsid w:val="00C579C7"/>
    <w:rsid w:val="00C57F3C"/>
    <w:rsid w:val="00C6263F"/>
    <w:rsid w:val="00C62985"/>
    <w:rsid w:val="00C62C5F"/>
    <w:rsid w:val="00C63210"/>
    <w:rsid w:val="00C64254"/>
    <w:rsid w:val="00C65119"/>
    <w:rsid w:val="00C67107"/>
    <w:rsid w:val="00C67CEC"/>
    <w:rsid w:val="00C7046B"/>
    <w:rsid w:val="00C70DCB"/>
    <w:rsid w:val="00C72E73"/>
    <w:rsid w:val="00C7372E"/>
    <w:rsid w:val="00C7499A"/>
    <w:rsid w:val="00C752C8"/>
    <w:rsid w:val="00C80D41"/>
    <w:rsid w:val="00C813D9"/>
    <w:rsid w:val="00C8216B"/>
    <w:rsid w:val="00C82FC0"/>
    <w:rsid w:val="00C83142"/>
    <w:rsid w:val="00C8399E"/>
    <w:rsid w:val="00C83D7F"/>
    <w:rsid w:val="00C86AD4"/>
    <w:rsid w:val="00C909B9"/>
    <w:rsid w:val="00C90B65"/>
    <w:rsid w:val="00C92E22"/>
    <w:rsid w:val="00CA277D"/>
    <w:rsid w:val="00CA4C1A"/>
    <w:rsid w:val="00CA5D48"/>
    <w:rsid w:val="00CA77EF"/>
    <w:rsid w:val="00CB040A"/>
    <w:rsid w:val="00CB04E5"/>
    <w:rsid w:val="00CB107C"/>
    <w:rsid w:val="00CB5D3F"/>
    <w:rsid w:val="00CB71B4"/>
    <w:rsid w:val="00CB726B"/>
    <w:rsid w:val="00CB7A15"/>
    <w:rsid w:val="00CC2266"/>
    <w:rsid w:val="00CC433B"/>
    <w:rsid w:val="00CC56B9"/>
    <w:rsid w:val="00CC65D0"/>
    <w:rsid w:val="00CC7BBC"/>
    <w:rsid w:val="00CD0EFD"/>
    <w:rsid w:val="00CD1BB0"/>
    <w:rsid w:val="00CD2371"/>
    <w:rsid w:val="00CD3534"/>
    <w:rsid w:val="00CD47EA"/>
    <w:rsid w:val="00CD59B7"/>
    <w:rsid w:val="00CD5D64"/>
    <w:rsid w:val="00CE079E"/>
    <w:rsid w:val="00CE3ED1"/>
    <w:rsid w:val="00CE4168"/>
    <w:rsid w:val="00CE4E81"/>
    <w:rsid w:val="00CF1412"/>
    <w:rsid w:val="00CF206B"/>
    <w:rsid w:val="00CF49E0"/>
    <w:rsid w:val="00CF5ADA"/>
    <w:rsid w:val="00CF6116"/>
    <w:rsid w:val="00D0152E"/>
    <w:rsid w:val="00D1074D"/>
    <w:rsid w:val="00D12440"/>
    <w:rsid w:val="00D1350E"/>
    <w:rsid w:val="00D14942"/>
    <w:rsid w:val="00D1662D"/>
    <w:rsid w:val="00D32E15"/>
    <w:rsid w:val="00D33929"/>
    <w:rsid w:val="00D34262"/>
    <w:rsid w:val="00D344F7"/>
    <w:rsid w:val="00D34804"/>
    <w:rsid w:val="00D360B8"/>
    <w:rsid w:val="00D36FBB"/>
    <w:rsid w:val="00D41574"/>
    <w:rsid w:val="00D44219"/>
    <w:rsid w:val="00D44406"/>
    <w:rsid w:val="00D449BE"/>
    <w:rsid w:val="00D44ED4"/>
    <w:rsid w:val="00D47613"/>
    <w:rsid w:val="00D5020F"/>
    <w:rsid w:val="00D52995"/>
    <w:rsid w:val="00D57B99"/>
    <w:rsid w:val="00D607E5"/>
    <w:rsid w:val="00D673FF"/>
    <w:rsid w:val="00D7055A"/>
    <w:rsid w:val="00D70E50"/>
    <w:rsid w:val="00D718FD"/>
    <w:rsid w:val="00D72A63"/>
    <w:rsid w:val="00D805D0"/>
    <w:rsid w:val="00D826D1"/>
    <w:rsid w:val="00D8277C"/>
    <w:rsid w:val="00D86C4A"/>
    <w:rsid w:val="00D9102E"/>
    <w:rsid w:val="00D93E61"/>
    <w:rsid w:val="00D95179"/>
    <w:rsid w:val="00D97529"/>
    <w:rsid w:val="00DA00CC"/>
    <w:rsid w:val="00DA0D7C"/>
    <w:rsid w:val="00DA1B56"/>
    <w:rsid w:val="00DA24D2"/>
    <w:rsid w:val="00DA5781"/>
    <w:rsid w:val="00DA676D"/>
    <w:rsid w:val="00DA71A2"/>
    <w:rsid w:val="00DA7880"/>
    <w:rsid w:val="00DB1BF2"/>
    <w:rsid w:val="00DB3FF6"/>
    <w:rsid w:val="00DB4011"/>
    <w:rsid w:val="00DB5F76"/>
    <w:rsid w:val="00DB7E33"/>
    <w:rsid w:val="00DC0CF8"/>
    <w:rsid w:val="00DC2761"/>
    <w:rsid w:val="00DC2FE6"/>
    <w:rsid w:val="00DC4676"/>
    <w:rsid w:val="00DC7281"/>
    <w:rsid w:val="00DC78EE"/>
    <w:rsid w:val="00DD0CD1"/>
    <w:rsid w:val="00DD49EB"/>
    <w:rsid w:val="00DD4D54"/>
    <w:rsid w:val="00DD6AC6"/>
    <w:rsid w:val="00DD6DA8"/>
    <w:rsid w:val="00DD78ED"/>
    <w:rsid w:val="00DE0651"/>
    <w:rsid w:val="00DE1400"/>
    <w:rsid w:val="00DE229A"/>
    <w:rsid w:val="00DE6084"/>
    <w:rsid w:val="00DE6D2B"/>
    <w:rsid w:val="00DE6F54"/>
    <w:rsid w:val="00DE7CD5"/>
    <w:rsid w:val="00DF2B3D"/>
    <w:rsid w:val="00DF4A42"/>
    <w:rsid w:val="00DF50DE"/>
    <w:rsid w:val="00DF72F3"/>
    <w:rsid w:val="00DF7E64"/>
    <w:rsid w:val="00E0010E"/>
    <w:rsid w:val="00E00F9F"/>
    <w:rsid w:val="00E02E2C"/>
    <w:rsid w:val="00E03384"/>
    <w:rsid w:val="00E03B67"/>
    <w:rsid w:val="00E04469"/>
    <w:rsid w:val="00E05872"/>
    <w:rsid w:val="00E11243"/>
    <w:rsid w:val="00E12B59"/>
    <w:rsid w:val="00E14D6D"/>
    <w:rsid w:val="00E15EF6"/>
    <w:rsid w:val="00E17BF7"/>
    <w:rsid w:val="00E20B12"/>
    <w:rsid w:val="00E21FF2"/>
    <w:rsid w:val="00E26F09"/>
    <w:rsid w:val="00E303AC"/>
    <w:rsid w:val="00E351CC"/>
    <w:rsid w:val="00E36529"/>
    <w:rsid w:val="00E405CF"/>
    <w:rsid w:val="00E4086B"/>
    <w:rsid w:val="00E41841"/>
    <w:rsid w:val="00E5206C"/>
    <w:rsid w:val="00E52164"/>
    <w:rsid w:val="00E521D0"/>
    <w:rsid w:val="00E53599"/>
    <w:rsid w:val="00E546FD"/>
    <w:rsid w:val="00E54BD1"/>
    <w:rsid w:val="00E563ED"/>
    <w:rsid w:val="00E61AE0"/>
    <w:rsid w:val="00E61C21"/>
    <w:rsid w:val="00E63273"/>
    <w:rsid w:val="00E64DCA"/>
    <w:rsid w:val="00E66428"/>
    <w:rsid w:val="00E6753A"/>
    <w:rsid w:val="00E72D07"/>
    <w:rsid w:val="00E744DA"/>
    <w:rsid w:val="00E766B9"/>
    <w:rsid w:val="00E77703"/>
    <w:rsid w:val="00E77F2E"/>
    <w:rsid w:val="00E77F60"/>
    <w:rsid w:val="00E83675"/>
    <w:rsid w:val="00E84D9E"/>
    <w:rsid w:val="00E8554B"/>
    <w:rsid w:val="00E85B47"/>
    <w:rsid w:val="00E86115"/>
    <w:rsid w:val="00E92B38"/>
    <w:rsid w:val="00E930ED"/>
    <w:rsid w:val="00E933C7"/>
    <w:rsid w:val="00EA2F96"/>
    <w:rsid w:val="00EA3DC0"/>
    <w:rsid w:val="00EA55D7"/>
    <w:rsid w:val="00EB2BC9"/>
    <w:rsid w:val="00EB316C"/>
    <w:rsid w:val="00EB3267"/>
    <w:rsid w:val="00EB486B"/>
    <w:rsid w:val="00EB5C31"/>
    <w:rsid w:val="00EB6B15"/>
    <w:rsid w:val="00ED0C94"/>
    <w:rsid w:val="00ED1645"/>
    <w:rsid w:val="00ED1CAD"/>
    <w:rsid w:val="00ED25DC"/>
    <w:rsid w:val="00EE25AE"/>
    <w:rsid w:val="00EE267A"/>
    <w:rsid w:val="00EE3E26"/>
    <w:rsid w:val="00EE57F8"/>
    <w:rsid w:val="00EE7F2C"/>
    <w:rsid w:val="00EF0141"/>
    <w:rsid w:val="00EF1F9C"/>
    <w:rsid w:val="00EF2C56"/>
    <w:rsid w:val="00EF4347"/>
    <w:rsid w:val="00EF5E54"/>
    <w:rsid w:val="00EF694B"/>
    <w:rsid w:val="00EF6C99"/>
    <w:rsid w:val="00F0420D"/>
    <w:rsid w:val="00F11836"/>
    <w:rsid w:val="00F12E3F"/>
    <w:rsid w:val="00F13D2B"/>
    <w:rsid w:val="00F142AA"/>
    <w:rsid w:val="00F1575C"/>
    <w:rsid w:val="00F2057D"/>
    <w:rsid w:val="00F2126B"/>
    <w:rsid w:val="00F220BE"/>
    <w:rsid w:val="00F22111"/>
    <w:rsid w:val="00F221FB"/>
    <w:rsid w:val="00F22B8F"/>
    <w:rsid w:val="00F22EBB"/>
    <w:rsid w:val="00F3177E"/>
    <w:rsid w:val="00F3181E"/>
    <w:rsid w:val="00F322EB"/>
    <w:rsid w:val="00F32E65"/>
    <w:rsid w:val="00F33235"/>
    <w:rsid w:val="00F34A23"/>
    <w:rsid w:val="00F4022B"/>
    <w:rsid w:val="00F42F20"/>
    <w:rsid w:val="00F44866"/>
    <w:rsid w:val="00F44E6D"/>
    <w:rsid w:val="00F45379"/>
    <w:rsid w:val="00F45F77"/>
    <w:rsid w:val="00F464D9"/>
    <w:rsid w:val="00F46A47"/>
    <w:rsid w:val="00F50177"/>
    <w:rsid w:val="00F512DA"/>
    <w:rsid w:val="00F56065"/>
    <w:rsid w:val="00F60E18"/>
    <w:rsid w:val="00F62C4C"/>
    <w:rsid w:val="00F64885"/>
    <w:rsid w:val="00F64C25"/>
    <w:rsid w:val="00F65349"/>
    <w:rsid w:val="00F65FCA"/>
    <w:rsid w:val="00F6620F"/>
    <w:rsid w:val="00F6683D"/>
    <w:rsid w:val="00F67301"/>
    <w:rsid w:val="00F67A18"/>
    <w:rsid w:val="00F67E62"/>
    <w:rsid w:val="00F70123"/>
    <w:rsid w:val="00F7239A"/>
    <w:rsid w:val="00F74CE0"/>
    <w:rsid w:val="00F76A0C"/>
    <w:rsid w:val="00F77B42"/>
    <w:rsid w:val="00F809DF"/>
    <w:rsid w:val="00F82175"/>
    <w:rsid w:val="00F839A3"/>
    <w:rsid w:val="00F91C25"/>
    <w:rsid w:val="00F9234E"/>
    <w:rsid w:val="00F94CE2"/>
    <w:rsid w:val="00F95B6F"/>
    <w:rsid w:val="00F96319"/>
    <w:rsid w:val="00FA0D37"/>
    <w:rsid w:val="00FA123B"/>
    <w:rsid w:val="00FA34BF"/>
    <w:rsid w:val="00FA3547"/>
    <w:rsid w:val="00FA4B0D"/>
    <w:rsid w:val="00FA780C"/>
    <w:rsid w:val="00FB3AF3"/>
    <w:rsid w:val="00FB4400"/>
    <w:rsid w:val="00FB63F1"/>
    <w:rsid w:val="00FB671A"/>
    <w:rsid w:val="00FB6DA4"/>
    <w:rsid w:val="00FC3ADA"/>
    <w:rsid w:val="00FC54CD"/>
    <w:rsid w:val="00FD0A52"/>
    <w:rsid w:val="00FD1F33"/>
    <w:rsid w:val="00FD2928"/>
    <w:rsid w:val="00FD3978"/>
    <w:rsid w:val="00FD6A02"/>
    <w:rsid w:val="00FE1A9C"/>
    <w:rsid w:val="00FE2538"/>
    <w:rsid w:val="00FE2B6B"/>
    <w:rsid w:val="00FE459C"/>
    <w:rsid w:val="00FE7C7D"/>
    <w:rsid w:val="00FF0948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0C6F3"/>
  <w15:chartTrackingRefBased/>
  <w15:docId w15:val="{761E953F-498A-418D-BFC4-B47C2865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057"/>
    <w:pPr>
      <w:jc w:val="both"/>
    </w:pPr>
    <w:rPr>
      <w:rFonts w:ascii="Arial" w:hAnsi="Arial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E4168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323E4F" w:themeColor="text2" w:themeShade="BF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4D43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color w:val="323E4F" w:themeColor="text2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4D43"/>
    <w:pPr>
      <w:keepNext/>
      <w:keepLines/>
      <w:spacing w:before="40" w:after="0"/>
      <w:outlineLvl w:val="2"/>
    </w:pPr>
    <w:rPr>
      <w:rFonts w:ascii="Arial Black" w:eastAsiaTheme="majorEastAsia" w:hAnsi="Arial Black" w:cstheme="majorBidi"/>
      <w:color w:val="323E4F" w:themeColor="text2" w:themeShade="BF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75294"/>
    <w:pPr>
      <w:keepNext/>
      <w:keepLines/>
      <w:spacing w:before="40" w:after="0"/>
      <w:outlineLvl w:val="3"/>
    </w:pPr>
    <w:rPr>
      <w:rFonts w:ascii="Arial Black" w:eastAsiaTheme="majorEastAsia" w:hAnsi="Arial Black" w:cstheme="majorBidi"/>
      <w:iCs/>
      <w:noProof/>
      <w:color w:val="323E4F" w:themeColor="text2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00638E"/>
    <w:pPr>
      <w:spacing w:after="0" w:line="240" w:lineRule="auto"/>
    </w:pPr>
    <w:rPr>
      <w:rFonts w:eastAsiaTheme="minorEastAsia"/>
      <w:lang w:eastAsia="tr-TR"/>
    </w:rPr>
  </w:style>
  <w:style w:type="character" w:customStyle="1" w:styleId="a4">
    <w:name w:val="Без интервала Знак"/>
    <w:basedOn w:val="a0"/>
    <w:link w:val="a3"/>
    <w:uiPriority w:val="1"/>
    <w:rsid w:val="0000638E"/>
    <w:rPr>
      <w:rFonts w:eastAsiaTheme="minorEastAsia"/>
      <w:lang w:eastAsia="tr-TR"/>
    </w:rPr>
  </w:style>
  <w:style w:type="paragraph" w:styleId="a5">
    <w:name w:val="header"/>
    <w:basedOn w:val="a"/>
    <w:link w:val="a6"/>
    <w:uiPriority w:val="99"/>
    <w:unhideWhenUsed/>
    <w:rsid w:val="001621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2151"/>
  </w:style>
  <w:style w:type="paragraph" w:styleId="a7">
    <w:name w:val="footer"/>
    <w:basedOn w:val="a"/>
    <w:link w:val="a8"/>
    <w:uiPriority w:val="99"/>
    <w:unhideWhenUsed/>
    <w:rsid w:val="001621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2151"/>
  </w:style>
  <w:style w:type="paragraph" w:styleId="a9">
    <w:name w:val="List Paragraph"/>
    <w:basedOn w:val="a"/>
    <w:uiPriority w:val="34"/>
    <w:qFormat/>
    <w:rsid w:val="009578B3"/>
    <w:pPr>
      <w:ind w:left="720"/>
      <w:contextualSpacing/>
    </w:pPr>
  </w:style>
  <w:style w:type="paragraph" w:customStyle="1" w:styleId="Default">
    <w:name w:val="Default"/>
    <w:rsid w:val="009F35E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aa">
    <w:name w:val="Table Grid"/>
    <w:basedOn w:val="a1"/>
    <w:uiPriority w:val="39"/>
    <w:rsid w:val="0062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6267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uiPriority w:val="9"/>
    <w:rsid w:val="00CE4168"/>
    <w:rPr>
      <w:rFonts w:ascii="Arial Black" w:eastAsiaTheme="majorEastAsia" w:hAnsi="Arial Black" w:cstheme="majorBidi"/>
      <w:color w:val="323E4F" w:themeColor="text2" w:themeShade="BF"/>
      <w:sz w:val="28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553C75"/>
    <w:pPr>
      <w:outlineLvl w:val="9"/>
    </w:pPr>
    <w:rPr>
      <w:rFonts w:asciiTheme="majorHAnsi" w:hAnsiTheme="majorHAnsi"/>
      <w:lang w:eastAsia="tr-TR"/>
    </w:rPr>
  </w:style>
  <w:style w:type="paragraph" w:styleId="21">
    <w:name w:val="toc 2"/>
    <w:basedOn w:val="a"/>
    <w:next w:val="a"/>
    <w:autoRedefine/>
    <w:uiPriority w:val="39"/>
    <w:unhideWhenUsed/>
    <w:rsid w:val="003622D8"/>
    <w:pPr>
      <w:tabs>
        <w:tab w:val="right" w:leader="dot" w:pos="9060"/>
      </w:tabs>
      <w:spacing w:after="100"/>
      <w:ind w:left="220"/>
    </w:pPr>
    <w:rPr>
      <w:rFonts w:eastAsiaTheme="minorEastAsia" w:cs="Arial"/>
      <w:noProof/>
      <w:lang w:eastAsia="tr-TR"/>
    </w:rPr>
  </w:style>
  <w:style w:type="paragraph" w:styleId="12">
    <w:name w:val="toc 1"/>
    <w:basedOn w:val="a"/>
    <w:next w:val="a"/>
    <w:autoRedefine/>
    <w:uiPriority w:val="39"/>
    <w:unhideWhenUsed/>
    <w:rsid w:val="00630E7C"/>
    <w:pPr>
      <w:tabs>
        <w:tab w:val="right" w:leader="dot" w:pos="9060"/>
      </w:tabs>
      <w:spacing w:after="100"/>
    </w:pPr>
    <w:rPr>
      <w:rFonts w:eastAsiaTheme="minorEastAsia" w:cs="Arial"/>
      <w:b/>
      <w:bCs/>
      <w:noProof/>
      <w:szCs w:val="24"/>
      <w:lang w:eastAsia="tr-TR"/>
    </w:rPr>
  </w:style>
  <w:style w:type="paragraph" w:styleId="31">
    <w:name w:val="toc 3"/>
    <w:basedOn w:val="a"/>
    <w:next w:val="a"/>
    <w:autoRedefine/>
    <w:uiPriority w:val="39"/>
    <w:unhideWhenUsed/>
    <w:rsid w:val="00553C75"/>
    <w:pPr>
      <w:spacing w:after="100"/>
      <w:ind w:left="440"/>
    </w:pPr>
    <w:rPr>
      <w:rFonts w:eastAsiaTheme="minorEastAsia" w:cs="Times New Roman"/>
      <w:lang w:eastAsia="tr-TR"/>
    </w:rPr>
  </w:style>
  <w:style w:type="character" w:styleId="ac">
    <w:name w:val="Hyperlink"/>
    <w:basedOn w:val="a0"/>
    <w:uiPriority w:val="99"/>
    <w:unhideWhenUsed/>
    <w:rsid w:val="00553C7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64D43"/>
    <w:rPr>
      <w:rFonts w:ascii="Arial Black" w:eastAsiaTheme="majorEastAsia" w:hAnsi="Arial Black" w:cstheme="majorBidi"/>
      <w:color w:val="323E4F" w:themeColor="text2" w:themeShade="BF"/>
      <w:sz w:val="28"/>
      <w:szCs w:val="26"/>
    </w:rPr>
  </w:style>
  <w:style w:type="paragraph" w:styleId="ad">
    <w:name w:val="caption"/>
    <w:basedOn w:val="a"/>
    <w:next w:val="a"/>
    <w:uiPriority w:val="35"/>
    <w:unhideWhenUsed/>
    <w:qFormat/>
    <w:rsid w:val="001C37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30144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0144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64D43"/>
    <w:rPr>
      <w:rFonts w:ascii="Arial Black" w:eastAsiaTheme="majorEastAsia" w:hAnsi="Arial Black" w:cstheme="majorBidi"/>
      <w:color w:val="323E4F" w:themeColor="text2" w:themeShade="BF"/>
      <w:sz w:val="28"/>
      <w:szCs w:val="24"/>
    </w:rPr>
  </w:style>
  <w:style w:type="paragraph" w:styleId="af">
    <w:name w:val="table of figures"/>
    <w:basedOn w:val="a"/>
    <w:next w:val="a"/>
    <w:uiPriority w:val="99"/>
    <w:unhideWhenUsed/>
    <w:rsid w:val="005A0C9A"/>
    <w:pPr>
      <w:spacing w:after="0"/>
    </w:pPr>
  </w:style>
  <w:style w:type="character" w:customStyle="1" w:styleId="message-time">
    <w:name w:val="message-time"/>
    <w:basedOn w:val="a0"/>
    <w:rsid w:val="002C44BC"/>
  </w:style>
  <w:style w:type="character" w:customStyle="1" w:styleId="af0">
    <w:name w:val="Основной текст Знак"/>
    <w:basedOn w:val="a0"/>
    <w:link w:val="af1"/>
    <w:uiPriority w:val="1"/>
    <w:qFormat/>
    <w:rsid w:val="00C41A24"/>
    <w:rPr>
      <w:color w:val="000000"/>
      <w:sz w:val="24"/>
      <w:szCs w:val="24"/>
    </w:rPr>
  </w:style>
  <w:style w:type="paragraph" w:styleId="af1">
    <w:name w:val="Body Text"/>
    <w:basedOn w:val="a"/>
    <w:link w:val="af0"/>
    <w:uiPriority w:val="1"/>
    <w:qFormat/>
    <w:rsid w:val="00C41A24"/>
    <w:pPr>
      <w:widowControl w:val="0"/>
      <w:pBdr>
        <w:top w:val="nil"/>
        <w:left w:val="nil"/>
        <w:bottom w:val="nil"/>
        <w:right w:val="nil"/>
        <w:between w:val="nil"/>
      </w:pBdr>
      <w:spacing w:before="23" w:after="0" w:line="240" w:lineRule="auto"/>
    </w:pPr>
    <w:rPr>
      <w:rFonts w:asciiTheme="minorHAnsi" w:hAnsiTheme="minorHAnsi"/>
      <w:color w:val="000000"/>
      <w:szCs w:val="24"/>
    </w:rPr>
  </w:style>
  <w:style w:type="character" w:customStyle="1" w:styleId="GvdeMetniChar1">
    <w:name w:val="Gövde Metni Char1"/>
    <w:basedOn w:val="a0"/>
    <w:uiPriority w:val="99"/>
    <w:semiHidden/>
    <w:rsid w:val="00C41A24"/>
    <w:rPr>
      <w:rFonts w:ascii="Arial" w:hAnsi="Arial"/>
      <w:sz w:val="24"/>
      <w:lang w:val="en-US"/>
    </w:rPr>
  </w:style>
  <w:style w:type="paragraph" w:styleId="af2">
    <w:name w:val="Title"/>
    <w:basedOn w:val="a"/>
    <w:next w:val="a"/>
    <w:link w:val="af3"/>
    <w:uiPriority w:val="10"/>
    <w:qFormat/>
    <w:rsid w:val="00984BE5"/>
    <w:pPr>
      <w:spacing w:after="0" w:line="240" w:lineRule="auto"/>
      <w:contextualSpacing/>
    </w:pPr>
    <w:rPr>
      <w:rFonts w:ascii="Arial Black" w:eastAsiaTheme="majorEastAsia" w:hAnsi="Arial Black" w:cstheme="majorBidi"/>
      <w:color w:val="323E4F" w:themeColor="text2" w:themeShade="BF"/>
      <w:spacing w:val="-10"/>
      <w:kern w:val="28"/>
      <w:szCs w:val="56"/>
    </w:rPr>
  </w:style>
  <w:style w:type="character" w:customStyle="1" w:styleId="af3">
    <w:name w:val="Заголовок Знак"/>
    <w:basedOn w:val="a0"/>
    <w:link w:val="af2"/>
    <w:uiPriority w:val="10"/>
    <w:rsid w:val="00984BE5"/>
    <w:rPr>
      <w:rFonts w:ascii="Arial Black" w:eastAsiaTheme="majorEastAsia" w:hAnsi="Arial Black" w:cstheme="majorBidi"/>
      <w:color w:val="323E4F" w:themeColor="text2" w:themeShade="BF"/>
      <w:spacing w:val="-10"/>
      <w:kern w:val="28"/>
      <w:sz w:val="24"/>
      <w:szCs w:val="56"/>
      <w:lang w:val="en-US"/>
    </w:rPr>
  </w:style>
  <w:style w:type="character" w:customStyle="1" w:styleId="40">
    <w:name w:val="Заголовок 4 Знак"/>
    <w:basedOn w:val="a0"/>
    <w:link w:val="4"/>
    <w:uiPriority w:val="9"/>
    <w:rsid w:val="00875294"/>
    <w:rPr>
      <w:rFonts w:ascii="Arial Black" w:eastAsiaTheme="majorEastAsia" w:hAnsi="Arial Black" w:cstheme="majorBidi"/>
      <w:iCs/>
      <w:noProof/>
      <w:color w:val="323E4F" w:themeColor="text2" w:themeShade="BF"/>
      <w:sz w:val="24"/>
    </w:rPr>
  </w:style>
  <w:style w:type="character" w:styleId="af4">
    <w:name w:val="annotation reference"/>
    <w:basedOn w:val="a0"/>
    <w:uiPriority w:val="99"/>
    <w:semiHidden/>
    <w:unhideWhenUsed/>
    <w:qFormat/>
    <w:rsid w:val="00AD121F"/>
    <w:rPr>
      <w:sz w:val="16"/>
      <w:szCs w:val="16"/>
    </w:rPr>
  </w:style>
  <w:style w:type="character" w:customStyle="1" w:styleId="af5">
    <w:name w:val="Текст примечания Знак"/>
    <w:basedOn w:val="a0"/>
    <w:link w:val="af6"/>
    <w:uiPriority w:val="99"/>
    <w:qFormat/>
    <w:rsid w:val="00AD121F"/>
    <w:rPr>
      <w:rFonts w:ascii="Arial" w:eastAsia="Arial" w:hAnsi="Arial" w:cs="Arial"/>
      <w:sz w:val="20"/>
      <w:szCs w:val="20"/>
    </w:rPr>
  </w:style>
  <w:style w:type="paragraph" w:styleId="af6">
    <w:name w:val="annotation text"/>
    <w:basedOn w:val="a"/>
    <w:link w:val="af5"/>
    <w:uiPriority w:val="99"/>
    <w:unhideWhenUsed/>
    <w:qFormat/>
    <w:rsid w:val="00AD121F"/>
    <w:pPr>
      <w:widowControl w:val="0"/>
      <w:spacing w:after="0" w:line="240" w:lineRule="auto"/>
      <w:jc w:val="left"/>
    </w:pPr>
    <w:rPr>
      <w:rFonts w:eastAsia="Arial" w:cs="Arial"/>
      <w:sz w:val="20"/>
      <w:szCs w:val="20"/>
    </w:rPr>
  </w:style>
  <w:style w:type="character" w:customStyle="1" w:styleId="AklamaMetniChar1">
    <w:name w:val="Açıklama Metni Char1"/>
    <w:basedOn w:val="a0"/>
    <w:uiPriority w:val="99"/>
    <w:semiHidden/>
    <w:rsid w:val="00AD121F"/>
    <w:rPr>
      <w:rFonts w:ascii="Arial" w:hAnsi="Arial"/>
      <w:sz w:val="20"/>
      <w:szCs w:val="20"/>
    </w:rPr>
  </w:style>
  <w:style w:type="paragraph" w:styleId="af7">
    <w:name w:val="annotation subject"/>
    <w:basedOn w:val="af6"/>
    <w:next w:val="af6"/>
    <w:link w:val="af8"/>
    <w:uiPriority w:val="99"/>
    <w:semiHidden/>
    <w:unhideWhenUsed/>
    <w:rsid w:val="005C1BCF"/>
    <w:pPr>
      <w:widowControl/>
      <w:spacing w:after="160"/>
      <w:jc w:val="both"/>
    </w:pPr>
    <w:rPr>
      <w:rFonts w:eastAsiaTheme="minorHAnsi" w:cstheme="minorBidi"/>
      <w:b/>
      <w:bCs/>
    </w:rPr>
  </w:style>
  <w:style w:type="character" w:customStyle="1" w:styleId="af8">
    <w:name w:val="Тема примечания Знак"/>
    <w:basedOn w:val="af5"/>
    <w:link w:val="af7"/>
    <w:uiPriority w:val="99"/>
    <w:semiHidden/>
    <w:rsid w:val="005C1BCF"/>
    <w:rPr>
      <w:rFonts w:ascii="Arial" w:eastAsia="Arial" w:hAnsi="Arial" w:cs="Arial"/>
      <w:b/>
      <w:bCs/>
      <w:sz w:val="20"/>
      <w:szCs w:val="20"/>
    </w:rPr>
  </w:style>
  <w:style w:type="paragraph" w:styleId="af9">
    <w:name w:val="Balloon Text"/>
    <w:basedOn w:val="a"/>
    <w:link w:val="afa"/>
    <w:uiPriority w:val="99"/>
    <w:semiHidden/>
    <w:unhideWhenUsed/>
    <w:rsid w:val="005C1B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5C1BCF"/>
    <w:rPr>
      <w:rFonts w:ascii="Segoe UI" w:hAnsi="Segoe UI" w:cs="Segoe UI"/>
      <w:sz w:val="18"/>
      <w:szCs w:val="18"/>
    </w:rPr>
  </w:style>
  <w:style w:type="paragraph" w:styleId="afb">
    <w:name w:val="Revision"/>
    <w:hidden/>
    <w:uiPriority w:val="99"/>
    <w:semiHidden/>
    <w:rsid w:val="009A095B"/>
    <w:pPr>
      <w:spacing w:after="0" w:line="240" w:lineRule="auto"/>
    </w:pPr>
    <w:rPr>
      <w:rFonts w:ascii="Arial" w:hAnsi="Arial"/>
      <w:sz w:val="24"/>
    </w:rPr>
  </w:style>
  <w:style w:type="character" w:customStyle="1" w:styleId="IndexLink">
    <w:name w:val="Index Link"/>
    <w:qFormat/>
    <w:rsid w:val="00FD1F33"/>
  </w:style>
  <w:style w:type="paragraph" w:customStyle="1" w:styleId="Heading">
    <w:name w:val="Heading"/>
    <w:basedOn w:val="a"/>
    <w:next w:val="af1"/>
    <w:qFormat/>
    <w:rsid w:val="00FD1F33"/>
    <w:pPr>
      <w:keepNext/>
      <w:suppressAutoHyphens/>
      <w:spacing w:before="240" w:after="120"/>
      <w:jc w:val="left"/>
    </w:pPr>
    <w:rPr>
      <w:rFonts w:ascii="Liberation Sans" w:eastAsia="Microsoft YaHei" w:hAnsi="Liberation Sans" w:cs="Lucida Sans"/>
      <w:sz w:val="28"/>
      <w:szCs w:val="28"/>
      <w:lang w:eastAsia="tr-TR"/>
    </w:rPr>
  </w:style>
  <w:style w:type="paragraph" w:customStyle="1" w:styleId="FrameContents">
    <w:name w:val="Frame Contents"/>
    <w:basedOn w:val="a"/>
    <w:qFormat/>
    <w:rsid w:val="001C1B13"/>
    <w:pPr>
      <w:suppressAutoHyphens/>
      <w:jc w:val="left"/>
    </w:pPr>
    <w:rPr>
      <w:rFonts w:ascii="Calibri" w:eastAsia="Calibri" w:hAnsi="Calibri" w:cs="Calibri"/>
      <w:sz w:val="22"/>
      <w:lang w:eastAsia="tr-TR"/>
    </w:rPr>
  </w:style>
  <w:style w:type="paragraph" w:styleId="afc">
    <w:name w:val="Normal (Web)"/>
    <w:basedOn w:val="a"/>
    <w:uiPriority w:val="99"/>
    <w:semiHidden/>
    <w:unhideWhenUsed/>
    <w:rsid w:val="00655533"/>
    <w:rPr>
      <w:rFonts w:ascii="Times New Roman" w:hAnsi="Times New Roman" w:cs="Times New Roman"/>
      <w:szCs w:val="24"/>
    </w:rPr>
  </w:style>
  <w:style w:type="character" w:customStyle="1" w:styleId="whitespace-normal">
    <w:name w:val="whitespace-normal"/>
    <w:basedOn w:val="a0"/>
    <w:rsid w:val="00E26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50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2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6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2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8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859D4-BFFD-49E2-AD6D-58C293B43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4573</Words>
  <Characters>26070</Characters>
  <Application>Microsoft Office Word</Application>
  <DocSecurity>0</DocSecurity>
  <Lines>217</Lines>
  <Paragraphs>61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 Vakfı</dc:creator>
  <cp:keywords/>
  <dc:description/>
  <cp:lastModifiedBy>Laziz Ismailov</cp:lastModifiedBy>
  <cp:revision>2</cp:revision>
  <cp:lastPrinted>2026-03-23T18:12:00Z</cp:lastPrinted>
  <dcterms:created xsi:type="dcterms:W3CDTF">2026-06-11T14:31:00Z</dcterms:created>
  <dcterms:modified xsi:type="dcterms:W3CDTF">2026-06-11T14:31:00Z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policy="06b88be1-581b-4ca2-b20f-13331b601e41" origin="userSelected" xmlns="http://www.boldonj</vt:lpwstr>
  </property>
  <property fmtid="{D5CDD505-2E9C-101B-9397-08002B2CF9AE}" pid="3" name="bjDocumentLabelXML-0">
    <vt:lpwstr>ames.com/2008/01/sie/internal/label"&gt;&lt;element uid="id_classification_unclassified" value="" &gt;&lt;/element&gt;&lt;/sisl&gt;</vt:lpwstr>
  </property>
  <property fmtid="{D5CDD505-2E9C-101B-9397-08002B2CF9AE}" pid="4" name="bjLabelRefreshRequired">
    <vt:lpwstr>FileClassifier</vt:lpwstr>
  </property>
</Properties>
</file>