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15.06.2026)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15.06.2026</w:t>
      </w:r>
    </w:p>
    <w:p>
      <w:r>
        <w:t>Веб-сервер: nginx/1.18.0 → nginx (Bitrix)</w:t>
      </w:r>
    </w:p>
    <w:p>
      <w:r>
        <w:t>CMS: 1C-Bitrix</w:t>
      </w:r>
    </w:p>
    <w:p>
      <w:r>
        <w:t>Хостинг-провайдер: Domain names registrar REG.RU, Ltd</w:t>
      </w:r>
    </w:p>
    <w:p>
      <w:r>
        <w:t>IP-адрес сервера: 176.99.5.187</w:t>
      </w:r>
    </w:p>
    <w:p>
      <w:r>
        <w:t>WAF/DDoS-защита: Не обнаружен</w:t>
      </w:r>
    </w:p>
    <w:p>
      <w:r>
        <w:t>SSL-сертификат: валиден до Aug 13 23:23:55 2026 GMT</w:t>
      </w:r>
    </w:p>
    <w:p>
      <w:r>
        <w:t>SPF: ✅ Настроена</w:t>
      </w:r>
    </w:p>
    <w:p>
      <w:r>
        <w:t>DMARC: ❌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17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15.06.2026.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