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ПОЛИТИКА</w:t>
      </w:r>
    </w:p>
    <w:p>
      <w:pPr>
        <w:jc w:val="center"/>
      </w:pPr>
      <w:r>
        <w:rPr>
          <w:b/>
        </w:rPr>
        <w:t>в отношении обработки персональных данных</w:t>
      </w:r>
    </w:p>
    <w:p>
      <w:pPr>
        <w:jc w:val="center"/>
      </w:pPr>
      <w:r>
        <w:t>ООО «________________»</w:t>
      </w:r>
    </w:p>
    <w:p>
      <w:pPr>
        <w:jc w:val="center"/>
      </w:pPr>
      <w:r>
        <w:t>(ред. от 17.06.2026)</w:t>
      </w:r>
    </w:p>
    <w:p/>
    <w:p>
      <w:r>
        <w:t>Настоящая Политика разработана в соответствии с:</w:t>
      </w:r>
    </w:p>
    <w:p>
      <w:pPr>
        <w:pStyle w:val="ListBullet"/>
      </w:pPr>
      <w:r>
        <w:t>Конституцией РФ (ст. 23, 24)</w:t>
      </w:r>
    </w:p>
    <w:p>
      <w:pPr>
        <w:pStyle w:val="ListBullet"/>
      </w:pPr>
      <w:r>
        <w:t>152-ФЗ «О персональных данных»</w:t>
      </w:r>
    </w:p>
    <w:p>
      <w:pPr>
        <w:pStyle w:val="ListBullet"/>
      </w:pPr>
      <w:r>
        <w:t>149-ФЗ «Об информации...»</w:t>
      </w:r>
    </w:p>
    <w:p>
      <w:pPr>
        <w:pStyle w:val="ListBullet"/>
      </w:pPr>
      <w:r>
        <w:t>ТК РФ (гл.14)</w:t>
      </w:r>
    </w:p>
    <w:p>
      <w:pPr>
        <w:pStyle w:val="ListBullet"/>
      </w:pPr>
      <w:r>
        <w:t>Постановлением №1119</w:t>
      </w:r>
    </w:p>
    <w:p>
      <w:pPr>
        <w:pStyle w:val="ListBullet"/>
      </w:pPr>
      <w:r>
        <w:t>Приказом ФСТЭК №21</w:t>
      </w:r>
    </w:p>
    <w:p>
      <w:r>
        <w:t>Политика публикуется в открытом доступе (ч.2 ст.18.1 152-ФЗ).</w:t>
      </w:r>
    </w:p>
    <w:p/>
    <w:p>
      <w:pPr>
        <w:pStyle w:val="Heading1"/>
      </w:pPr>
      <w:r>
        <w:t>1. Основные термины</w:t>
      </w:r>
    </w:p>
    <w:p>
      <w:r>
        <w:rPr>
          <w:b/>
        </w:rPr>
        <w:t xml:space="preserve">Персональные данные: </w:t>
      </w:r>
      <w:r>
        <w:t>любая информация, относящаяся к физическому лицу</w:t>
      </w:r>
    </w:p>
    <w:p>
      <w:r>
        <w:rPr>
          <w:b/>
        </w:rPr>
        <w:t xml:space="preserve">Оператор: </w:t>
      </w:r>
      <w:r>
        <w:t>ООО «________________»</w:t>
      </w:r>
    </w:p>
    <w:p>
      <w:r>
        <w:rPr>
          <w:b/>
        </w:rPr>
        <w:t xml:space="preserve">Обработка ПДн: </w:t>
      </w:r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</w:t>
      </w:r>
    </w:p>
    <w:p>
      <w:pPr>
        <w:pStyle w:val="Heading1"/>
      </w:pPr>
      <w:r>
        <w:t>2. Правовые основания (ст.6 152-ФЗ)</w:t>
      </w:r>
    </w:p>
    <w:p>
      <w:pPr>
        <w:pStyle w:val="ListBullet"/>
      </w:pPr>
      <w:r>
        <w:t>п.1 ч.1 ст.6: согласие субъекта</w:t>
      </w:r>
    </w:p>
    <w:p>
      <w:pPr>
        <w:pStyle w:val="ListBullet"/>
      </w:pPr>
      <w:r>
        <w:t>п.2 ч.1 ст.6: исполнение договора</w:t>
      </w:r>
    </w:p>
    <w:p>
      <w:pPr>
        <w:pStyle w:val="ListBullet"/>
      </w:pPr>
      <w:r>
        <w:t>п.5 ч.1 ст.6: требования законодательства</w:t>
      </w:r>
    </w:p>
    <w:p>
      <w:pPr>
        <w:pStyle w:val="Heading1"/>
      </w:pPr>
      <w:r>
        <w:t>3. Категории субъектов и перечень ПДн</w:t>
      </w:r>
    </w:p>
    <w:p>
      <w:pPr>
        <w:pStyle w:val="Heading2"/>
      </w:pPr>
      <w:r>
        <w:t>3.1. Работники</w:t>
      </w:r>
    </w:p>
    <w:p>
      <w:pPr>
        <w:pStyle w:val="ListBullet"/>
      </w:pPr>
      <w:r>
        <w:t>ФИО, дата рождения</w:t>
      </w:r>
    </w:p>
    <w:p>
      <w:pPr>
        <w:pStyle w:val="ListBullet"/>
      </w:pPr>
      <w:r>
        <w:t>Паспортные данные</w:t>
      </w:r>
    </w:p>
    <w:p>
      <w:pPr>
        <w:pStyle w:val="ListBullet"/>
      </w:pPr>
      <w:r>
        <w:t>ИНН, СНИЛС</w:t>
      </w:r>
    </w:p>
    <w:p>
      <w:pPr>
        <w:pStyle w:val="ListBullet"/>
      </w:pPr>
      <w:r>
        <w:t>Банковские реквизиты</w:t>
      </w:r>
    </w:p>
    <w:p>
      <w:pPr>
        <w:pStyle w:val="ListBullet"/>
      </w:pPr>
      <w:r>
        <w:t>Контактный телефон, email</w:t>
      </w:r>
    </w:p>
    <w:p>
      <w:r>
        <w:t>Срок хранения: 50/75 лет (личный состав), 5 лет (прочие).</w:t>
      </w:r>
    </w:p>
    <w:p>
      <w:pPr>
        <w:pStyle w:val="Heading2"/>
      </w:pPr>
      <w:r>
        <w:t>3.2. Клиенты и контрагенты</w:t>
      </w:r>
    </w:p>
    <w:p>
      <w:pPr>
        <w:pStyle w:val="ListBullet"/>
      </w:pPr>
      <w:r>
        <w:t>ФИО</w:t>
      </w:r>
    </w:p>
    <w:p>
      <w:pPr>
        <w:pStyle w:val="ListBullet"/>
      </w:pPr>
      <w:r>
        <w:t>Контактный телефон, email</w:t>
      </w:r>
    </w:p>
    <w:p>
      <w:pPr>
        <w:pStyle w:val="ListBullet"/>
      </w:pPr>
      <w:r>
        <w:t>Банковские реквизиты</w:t>
      </w:r>
    </w:p>
    <w:p>
      <w:r>
        <w:t>Срок хранения: 5 лет после договора (пп.8 п.1 ст.23 НК РФ).</w:t>
      </w:r>
    </w:p>
    <w:p>
      <w:pPr>
        <w:pStyle w:val="Heading2"/>
      </w:pPr>
      <w:r>
        <w:t>3.3. Посетители сайта</w:t>
      </w:r>
    </w:p>
    <w:p>
      <w:pPr>
        <w:pStyle w:val="ListBullet"/>
      </w:pPr>
      <w:r>
        <w:t>IP-адрес, cookie</w:t>
      </w:r>
    </w:p>
    <w:p>
      <w:pPr>
        <w:pStyle w:val="ListBullet"/>
      </w:pPr>
      <w:r>
        <w:t>Данные браузера</w:t>
      </w:r>
    </w:p>
    <w:p>
      <w:pPr>
        <w:pStyle w:val="ListBullet"/>
      </w:pPr>
      <w:r>
        <w:t>Данные форм (с согласия)</w:t>
      </w:r>
    </w:p>
    <w:p>
      <w:pPr>
        <w:pStyle w:val="Heading1"/>
      </w:pPr>
      <w:r>
        <w:t>4. Цели обработки (ч.2 ст.5 152-ФЗ)</w:t>
      </w:r>
    </w:p>
    <w:p>
      <w:pPr>
        <w:pStyle w:val="ListBullet"/>
      </w:pPr>
      <w:r>
        <w:t>Исполнение трудового договора (п.2,5 ч.1 ст.6)</w:t>
      </w:r>
    </w:p>
    <w:p>
      <w:pPr>
        <w:pStyle w:val="ListBullet"/>
      </w:pPr>
      <w:r>
        <w:t>Гражданско-правовые договоры (п.2 ч.1 ст.6)</w:t>
      </w:r>
    </w:p>
    <w:p>
      <w:pPr>
        <w:pStyle w:val="ListBullet"/>
      </w:pPr>
      <w:r>
        <w:t>Обработка обращений с сайта (п.1 ч.1 ст.6, ст.9)</w:t>
      </w:r>
    </w:p>
    <w:p>
      <w:pPr>
        <w:pStyle w:val="ListBullet"/>
      </w:pPr>
      <w:r>
        <w:t>Безопасность сайта (п.7 ч.1 ст.6)</w:t>
      </w:r>
    </w:p>
    <w:p>
      <w:pPr>
        <w:pStyle w:val="Heading1"/>
      </w:pPr>
      <w:r>
        <w:t>5. Принципы обработки (ст.5 152-ФЗ)</w:t>
      </w:r>
    </w:p>
    <w:p>
      <w:r>
        <w:t>1. Законность и справедливость.</w:t>
      </w:r>
    </w:p>
    <w:p>
      <w:r>
        <w:t>2. Целевое ограничение.</w:t>
      </w:r>
    </w:p>
    <w:p>
      <w:r>
        <w:t>3. Минимизация данных.</w:t>
      </w:r>
    </w:p>
    <w:p>
      <w:r>
        <w:t>4. Достоверность.</w:t>
      </w:r>
    </w:p>
    <w:p>
      <w:r>
        <w:t>5. Ограничение хранения.</w:t>
      </w:r>
    </w:p>
    <w:p>
      <w:pPr>
        <w:pStyle w:val="Heading1"/>
      </w:pPr>
      <w:r>
        <w:t>6. Действия с ПДн</w:t>
      </w:r>
    </w:p>
    <w:p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уничтожение.</w:t>
      </w:r>
    </w:p>
    <w:p>
      <w:r>
        <w:t>Трансграничная передача НЕ ОСУЩЕСТВЛЯЕТСЯ (ст.12 152-ФЗ).</w:t>
      </w:r>
    </w:p>
    <w:p>
      <w:pPr>
        <w:pStyle w:val="Heading1"/>
      </w:pPr>
      <w:r>
        <w:t>7. Прекращение обработки (ст.21 152-ФЗ)</w:t>
      </w:r>
    </w:p>
    <w:p>
      <w:pPr>
        <w:pStyle w:val="ListBullet"/>
      </w:pPr>
      <w:r>
        <w:t>Достижение цели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Неправомерная обработка</w:t>
      </w:r>
    </w:p>
    <w:p>
      <w:pPr>
        <w:pStyle w:val="ListBullet"/>
      </w:pPr>
      <w:r>
        <w:t>Ликвидация Оператора</w:t>
      </w:r>
    </w:p>
    <w:p>
      <w:r>
        <w:t>Срок уничтожения: не более 30 рабочих дней.</w:t>
      </w:r>
    </w:p>
    <w:p>
      <w:pPr>
        <w:pStyle w:val="Heading1"/>
      </w:pPr>
      <w:r>
        <w:t>8. Права субъектов (ст.14,17,20,24 152-ФЗ)</w:t>
      </w:r>
    </w:p>
    <w:p>
      <w:pPr>
        <w:pStyle w:val="ListBullet"/>
      </w:pPr>
      <w:r>
        <w:t>Получение сведений об обработке</w:t>
      </w:r>
    </w:p>
    <w:p>
      <w:pPr>
        <w:pStyle w:val="ListBullet"/>
      </w:pPr>
      <w:r>
        <w:t>Уточнение/блокирование/уничтожение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Обжалование в РКН/суд</w:t>
      </w:r>
    </w:p>
    <w:p>
      <w:pPr>
        <w:pStyle w:val="ListBullet"/>
      </w:pPr>
      <w:r>
        <w:t>Возмещение убытков</w:t>
      </w:r>
    </w:p>
    <w:p>
      <w:r>
        <w:t>Срок ответа: 10 рабочих дней.</w:t>
      </w:r>
    </w:p>
    <w:p>
      <w:pPr>
        <w:pStyle w:val="Heading1"/>
      </w:pPr>
      <w:r>
        <w:t>9. Меры безопасности (ст.19 152-ФЗ, ПП№1119)</w:t>
      </w:r>
    </w:p>
    <w:p>
      <w:pPr>
        <w:pStyle w:val="ListBullet"/>
      </w:pPr>
      <w:r>
        <w:t>Назначен ответственный (ст.22.1)</w:t>
      </w:r>
    </w:p>
    <w:p>
      <w:pPr>
        <w:pStyle w:val="ListBullet"/>
      </w:pPr>
      <w:r>
        <w:t>Ролевая модель доступа</w:t>
      </w:r>
    </w:p>
    <w:p>
      <w:pPr>
        <w:pStyle w:val="ListBullet"/>
      </w:pPr>
      <w:r>
        <w:t>Логирование</w:t>
      </w:r>
    </w:p>
    <w:p>
      <w:pPr>
        <w:pStyle w:val="ListBullet"/>
      </w:pPr>
      <w:r>
        <w:t>Антивирус, межсетевой экран</w:t>
      </w:r>
    </w:p>
    <w:p>
      <w:pPr>
        <w:pStyle w:val="ListBullet"/>
      </w:pPr>
      <w:r>
        <w:t>Шифрование (TLS 1.2+)</w:t>
      </w:r>
    </w:p>
    <w:p>
      <w:pPr>
        <w:pStyle w:val="ListBullet"/>
      </w:pPr>
      <w:r>
        <w:t>Резервное копирование</w:t>
      </w:r>
    </w:p>
    <w:p>
      <w:pPr>
        <w:pStyle w:val="ListBullet"/>
      </w:pPr>
      <w:r>
        <w:t>Парольная политика</w:t>
      </w:r>
    </w:p>
    <w:p>
      <w:pPr>
        <w:pStyle w:val="Heading2"/>
      </w:pPr>
      <w:r>
        <w:t>9.5. Технические сведения по результатам аудита</w:t>
      </w:r>
    </w:p>
    <w:p>
      <w:r>
        <w:t>Дата аудита: 17.06.2026</w:t>
      </w:r>
    </w:p>
    <w:p>
      <w:r>
        <w:t>Веб-сервер: nginx/1.18.0 → nginx (Bitrix)</w:t>
      </w:r>
    </w:p>
    <w:p>
      <w:r>
        <w:t>CMS: 1C-Bitrix</w:t>
      </w:r>
    </w:p>
    <w:p>
      <w:r>
        <w:t>Хостинг-провайдер: Domain names registrar REG.RU, Ltd</w:t>
      </w:r>
    </w:p>
    <w:p>
      <w:r>
        <w:t>IP-адрес сервера: 176.99.5.187</w:t>
      </w:r>
    </w:p>
    <w:p>
      <w:r>
        <w:t>WAF/DDoS-защита: Не обнаружен</w:t>
      </w:r>
    </w:p>
    <w:p>
      <w:r>
        <w:t>SSL-сертификат: валиден до Aug 13 23:23:55 2026 GMT</w:t>
      </w:r>
    </w:p>
    <w:p>
      <w:r>
        <w:t>SPF: ✅ Настроена</w:t>
      </w:r>
    </w:p>
    <w:p>
      <w:r>
        <w:t>DMARC: ❌ Требуется внедрение</w:t>
      </w:r>
    </w:p>
    <w:p>
      <w:r>
        <w:t>DNSSEC: Выключен</w:t>
      </w:r>
    </w:p>
    <w:p>
      <w:r>
        <w:t>Поддоменов: 0</w:t>
      </w:r>
    </w:p>
    <w:p>
      <w:r>
        <w:t>Технологический стек: —</w:t>
      </w:r>
    </w:p>
    <w:p>
      <w:r>
        <w:t>Возраст домена: 17 лет</w:t>
      </w:r>
    </w:p>
    <w:p/>
    <w:p>
      <w:pPr>
        <w:pStyle w:val="Heading1"/>
      </w:pPr>
      <w:r>
        <w:t>10. Третьи лица</w:t>
      </w:r>
    </w:p>
    <w:p>
      <w:r>
        <w:t>Поручение обработки — с согласия и по договору (ч.3 ст.6 152-ФЗ).</w:t>
      </w:r>
    </w:p>
    <w:p>
      <w:pPr>
        <w:pStyle w:val="Heading1"/>
      </w:pPr>
      <w:r>
        <w:t>11. Уведомление РКН (ст.22 152-ФЗ)</w:t>
      </w:r>
    </w:p>
    <w:p>
      <w:r>
        <w:t>Уведомление направляется до начала обработки. Изменения — 10 рабочих дней.</w:t>
      </w:r>
    </w:p>
    <w:p>
      <w:pPr>
        <w:pStyle w:val="Heading1"/>
      </w:pPr>
      <w:r>
        <w:t>12. Актуализация (ст.21 152-ФЗ)</w:t>
      </w:r>
    </w:p>
    <w:p>
      <w:r>
        <w:t>Неточные ПДн — актуализация/уничтожение до 7 рабочих дней. Комиссионно, с Актом.</w:t>
      </w:r>
    </w:p>
    <w:p>
      <w:pPr>
        <w:pStyle w:val="Heading1"/>
      </w:pPr>
      <w:r>
        <w:t>13. Ответственность</w:t>
      </w:r>
    </w:p>
    <w:p>
      <w:pPr>
        <w:pStyle w:val="ListBullet"/>
      </w:pPr>
      <w:r>
        <w:t>Дисциплинарная (ст.81,192 ТК РФ)</w:t>
      </w:r>
    </w:p>
    <w:p>
      <w:pPr>
        <w:pStyle w:val="ListBullet"/>
      </w:pPr>
      <w:r>
        <w:t>Административная (ст.13.11 КоАП: до 500 000₽)</w:t>
      </w:r>
    </w:p>
    <w:p>
      <w:pPr>
        <w:pStyle w:val="ListBullet"/>
      </w:pPr>
      <w:r>
        <w:t>Уголовная (ст.137,272 УК РФ)</w:t>
      </w:r>
    </w:p>
    <w:p>
      <w:pPr>
        <w:pStyle w:val="ListBullet"/>
      </w:pPr>
      <w:r>
        <w:t>Гражданско-правовая (ст.15,151 ГК РФ)</w:t>
      </w:r>
    </w:p>
    <w:p>
      <w:pPr>
        <w:pStyle w:val="Heading1"/>
      </w:pPr>
      <w:r>
        <w:t>14. Заключительные положения</w:t>
      </w:r>
    </w:p>
    <w:p>
      <w:r>
        <w:t>Политика утверждается Приказом Генерального директора. Пересмотр — раз в 3 года.</w:t>
      </w:r>
    </w:p>
    <w:p>
      <w:r>
        <w:t>Дата утверждения: 17.06.2026.</w:t>
      </w:r>
    </w:p>
    <w:p/>
    <w:p>
      <w:r>
        <w:t>Генеральный директор</w:t>
      </w:r>
    </w:p>
    <w:p>
      <w:r>
        <w:t>ООО «________________»</w:t>
      </w:r>
    </w:p>
    <w:p/>
    <w:p>
      <w:r>
        <w:t>________________ / ____________________ /</w:t>
      </w:r>
    </w:p>
    <w:p>
      <w:r>
        <w:t xml:space="preserve">    (подпись)         (расшифровка)</w:t>
      </w:r>
    </w:p>
    <w:p/>
    <w:p>
      <w:r>
        <w:t>М.П.</w:t>
      </w:r>
    </w:p>
    <w:p>
      <w:r>
        <w:t>«___» ________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