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ОЦЕНКА ВРЕДА</w:t>
      </w:r>
    </w:p>
    <w:p>
      <w:pPr>
        <w:jc w:val="center"/>
      </w:pPr>
      <w:r>
        <w:rPr>
          <w:b/>
        </w:rPr>
        <w:t>который может быть причинён субъектам персональных данных в случае нарушения 152-ФЗ</w:t>
      </w:r>
    </w:p>
    <w:p/>
    <w:p>
      <w:pPr>
        <w:jc w:val="center"/>
      </w:pPr>
      <w:r>
        <w:t>ООО «________________»</w:t>
      </w:r>
    </w:p>
    <w:p>
      <w:r>
        <w:t>Основание: ч. 5 ст. 19 Федерального закона от 27.07.2006 № 152-ФЗ</w:t>
      </w:r>
    </w:p>
    <w:p/>
    <w:p>
      <w:pPr>
        <w:pStyle w:val="Heading1"/>
      </w:pPr>
      <w:r>
        <w:t>1. Общие положения</w:t>
      </w:r>
    </w:p>
    <w:p>
      <w:r>
        <w:t>1. Документ разработан во исполнение ч. 5 ст. 19 152-ФЗ и определяет возможный вред субъектам ПДн.</w:t>
      </w:r>
    </w:p>
    <w:p>
      <w:r>
        <w:t>2. Оценка вреда обязательна для всех операторов ПДн без исключений.</w:t>
      </w:r>
    </w:p>
    <w:p>
      <w:r>
        <w:t>3. Результаты используются для определения уровня защищённости ИСПДн (Постановление №1119), выбора мер защиты (Приказ ФСТЭК №21), информирования субъектов (ст. 18.1 152-ФЗ).</w:t>
      </w:r>
    </w:p>
    <w:p>
      <w:pPr>
        <w:pStyle w:val="Heading1"/>
      </w:pPr>
      <w:r>
        <w:t>2. Категории субъектов и обрабатываемые ПДн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ПДн</w:t>
            </w:r>
          </w:p>
        </w:tc>
        <w:tc>
          <w:tcPr>
            <w:tcW w:type="dxa" w:w="2160"/>
          </w:tcPr>
          <w:p>
            <w:r>
              <w:t>Кол-во</w:t>
            </w:r>
          </w:p>
        </w:tc>
        <w:tc>
          <w:tcPr>
            <w:tcW w:type="dxa" w:w="2160"/>
          </w:tcPr>
          <w:p>
            <w:r>
              <w:t>Особая категория?</w:t>
            </w:r>
          </w:p>
        </w:tc>
      </w:tr>
      <w:tr>
        <w:tc>
          <w:tcPr>
            <w:tcW w:type="dxa" w:w="2160"/>
          </w:tcPr>
          <w:p>
            <w:r>
              <w:t>Работники</w:t>
            </w:r>
          </w:p>
        </w:tc>
        <w:tc>
          <w:tcPr>
            <w:tcW w:type="dxa" w:w="2160"/>
          </w:tcPr>
          <w:p>
            <w:r>
              <w:t>ФИО, паспорт, ИНН, СНИЛС, зарплата</w:t>
            </w:r>
          </w:p>
        </w:tc>
        <w:tc>
          <w:tcPr>
            <w:tcW w:type="dxa" w:w="2160"/>
          </w:tcPr>
          <w:p>
            <w:r>
              <w:t>[до 50]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Клиенты (физлица)</w:t>
            </w:r>
          </w:p>
        </w:tc>
        <w:tc>
          <w:tcPr>
            <w:tcW w:type="dxa" w:w="2160"/>
          </w:tcPr>
          <w:p>
            <w:r>
              <w:t>ФИО, телефон, email, адрес, банк. реквизиты</w:t>
            </w:r>
          </w:p>
        </w:tc>
        <w:tc>
          <w:tcPr>
            <w:tcW w:type="dxa" w:w="2160"/>
          </w:tcPr>
          <w:p>
            <w:r>
              <w:t>[до 500]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Посетители сайта</w:t>
            </w:r>
          </w:p>
        </w:tc>
        <w:tc>
          <w:tcPr>
            <w:tcW w:type="dxa" w:w="2160"/>
          </w:tcPr>
          <w:p>
            <w:r>
              <w:t>IP, cookie, данные браузера</w:t>
            </w:r>
          </w:p>
        </w:tc>
        <w:tc>
          <w:tcPr>
            <w:tcW w:type="dxa" w:w="2160"/>
          </w:tcPr>
          <w:p>
            <w:r>
              <w:t>[неограниченно]</w:t>
            </w:r>
          </w:p>
        </w:tc>
        <w:tc>
          <w:tcPr>
            <w:tcW w:type="dxa" w:w="2160"/>
          </w:tcPr>
          <w:p>
            <w:r>
              <w:t>Нет (обезличенные)</w:t>
            </w:r>
          </w:p>
        </w:tc>
      </w:tr>
    </w:tbl>
    <w:p>
      <w:pPr>
        <w:pStyle w:val="Heading1"/>
      </w:pPr>
      <w:r>
        <w:t>3. Виды возможного вреда и оценка тяжести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Вид вреда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Вероятность</w:t>
            </w:r>
          </w:p>
        </w:tc>
        <w:tc>
          <w:tcPr>
            <w:tcW w:type="dxa" w:w="2160"/>
          </w:tcPr>
          <w:p>
            <w:r>
              <w:t>Тяжесть</w:t>
            </w:r>
          </w:p>
        </w:tc>
      </w:tr>
      <w:tr>
        <w:tc>
          <w:tcPr>
            <w:tcW w:type="dxa" w:w="2160"/>
          </w:tcPr>
          <w:p>
            <w:r>
              <w:t>Моральный вред</w:t>
            </w:r>
          </w:p>
        </w:tc>
        <w:tc>
          <w:tcPr>
            <w:tcW w:type="dxa" w:w="2160"/>
          </w:tcPr>
          <w:p>
            <w:r>
              <w:t>Раскрытие личной информации, нарушение частной жизни (ст. 23, 24 Конституции, ст. 151 ГК)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СРЕДНЯЯ (до 50 000 ₽)</w:t>
            </w:r>
          </w:p>
        </w:tc>
      </w:tr>
      <w:tr>
        <w:tc>
          <w:tcPr>
            <w:tcW w:type="dxa" w:w="2160"/>
          </w:tcPr>
          <w:p>
            <w:r>
              <w:t>Имущественный вред</w:t>
            </w:r>
          </w:p>
        </w:tc>
        <w:tc>
          <w:tcPr>
            <w:tcW w:type="dxa" w:w="2160"/>
          </w:tcPr>
          <w:p>
            <w:r>
              <w:t>Мошенничество с ПДн (кредиты, хищения)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ВЫСОКАЯ (реальный ущерб + упущенная выгода)</w:t>
            </w:r>
          </w:p>
        </w:tc>
      </w:tr>
      <w:tr>
        <w:tc>
          <w:tcPr>
            <w:tcW w:type="dxa" w:w="2160"/>
          </w:tcPr>
          <w:p>
            <w:r>
              <w:t>Вред репутации</w:t>
            </w:r>
          </w:p>
        </w:tc>
        <w:tc>
          <w:tcPr>
            <w:tcW w:type="dxa" w:w="2160"/>
          </w:tcPr>
          <w:p>
            <w:r>
              <w:t>Раскрытие порочащих сведений (ст. 152 ГК)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</w:tr>
      <w:tr>
        <w:tc>
          <w:tcPr>
            <w:tcW w:type="dxa" w:w="2160"/>
          </w:tcPr>
          <w:p>
            <w:r>
              <w:t>Вред здоровью</w:t>
            </w:r>
          </w:p>
        </w:tc>
        <w:tc>
          <w:tcPr>
            <w:tcW w:type="dxa" w:w="2160"/>
          </w:tcPr>
          <w:p>
            <w:r>
              <w:t>Стресс от утечки чувствительных данных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Дискриминация</w:t>
            </w:r>
          </w:p>
        </w:tc>
        <w:tc>
          <w:tcPr>
            <w:tcW w:type="dxa" w:w="2160"/>
          </w:tcPr>
          <w:p>
            <w:r>
              <w:t>Использование ПДн при приёме на работу, в услугах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</w:tbl>
    <w:p>
      <w:pPr>
        <w:pStyle w:val="Heading1"/>
      </w:pPr>
      <w:r>
        <w:t>4. Степень вреда по категориям субъектов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Чувствительные ПДн</w:t>
            </w:r>
          </w:p>
        </w:tc>
        <w:tc>
          <w:tcPr>
            <w:tcW w:type="dxa" w:w="2160"/>
          </w:tcPr>
          <w:p>
            <w:r>
              <w:t>Возможный вред</w:t>
            </w:r>
          </w:p>
        </w:tc>
        <w:tc>
          <w:tcPr>
            <w:tcW w:type="dxa" w:w="2160"/>
          </w:tcPr>
          <w:p>
            <w:r>
              <w:t>Степень</w:t>
            </w:r>
          </w:p>
        </w:tc>
      </w:tr>
      <w:tr>
        <w:tc>
          <w:tcPr>
            <w:tcW w:type="dxa" w:w="2160"/>
          </w:tcPr>
          <w:p>
            <w:r>
              <w:t>Работники</w:t>
            </w:r>
          </w:p>
        </w:tc>
        <w:tc>
          <w:tcPr>
            <w:tcW w:type="dxa" w:w="2160"/>
          </w:tcPr>
          <w:p>
            <w:r>
              <w:t>Паспорт, ИНН, СНИЛС, зарплата</w:t>
            </w:r>
          </w:p>
        </w:tc>
        <w:tc>
          <w:tcPr>
            <w:tcW w:type="dxa" w:w="2160"/>
          </w:tcPr>
          <w:p>
            <w:r>
              <w:t>Мошенничество, раскрытие дохода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Клиенты (физлица)</w:t>
            </w:r>
          </w:p>
        </w:tc>
        <w:tc>
          <w:tcPr>
            <w:tcW w:type="dxa" w:w="2160"/>
          </w:tcPr>
          <w:p>
            <w:r>
              <w:t>Банк. реквизиты, адрес, телефон</w:t>
            </w:r>
          </w:p>
        </w:tc>
        <w:tc>
          <w:tcPr>
            <w:tcW w:type="dxa" w:w="2160"/>
          </w:tcPr>
          <w:p>
            <w:r>
              <w:t>Финансовое мошенничество, спам, фишинг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Посетители сайта</w:t>
            </w:r>
          </w:p>
        </w:tc>
        <w:tc>
          <w:tcPr>
            <w:tcW w:type="dxa" w:w="2160"/>
          </w:tcPr>
          <w:p>
            <w:r>
              <w:t>IP, cookie</w:t>
            </w:r>
          </w:p>
        </w:tc>
        <w:tc>
          <w:tcPr>
            <w:tcW w:type="dxa" w:w="2160"/>
          </w:tcPr>
          <w:p>
            <w:r>
              <w:t>Таргетирование рекламы, отслеживание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</w:tr>
    </w:tbl>
    <w:p>
      <w:pPr>
        <w:pStyle w:val="Heading1"/>
      </w:pPr>
      <w:r>
        <w:t>5. Оценка вреда по Постановлению №1119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Тип угроз</w:t>
            </w:r>
          </w:p>
        </w:tc>
        <w:tc>
          <w:tcPr>
            <w:tcW w:type="dxa" w:w="2880"/>
          </w:tcPr>
          <w:p>
            <w:r>
              <w:t>Актуальность</w:t>
            </w:r>
          </w:p>
        </w:tc>
        <w:tc>
          <w:tcPr>
            <w:tcW w:type="dxa" w:w="2880"/>
          </w:tcPr>
          <w:p>
            <w:r>
              <w:t>Категория нарушителя</w:t>
            </w:r>
          </w:p>
        </w:tc>
      </w:tr>
      <w:tr>
        <w:tc>
          <w:tcPr>
            <w:tcW w:type="dxa" w:w="2880"/>
          </w:tcPr>
          <w:p>
            <w:r>
              <w:t>Угрозы 1-го типа (НДВ в системном ПО)</w:t>
            </w:r>
          </w:p>
        </w:tc>
        <w:tc>
          <w:tcPr>
            <w:tcW w:type="dxa" w:w="2880"/>
          </w:tcPr>
          <w:p>
            <w:r>
              <w:t>Низкая (лицензионное ПО)</w:t>
            </w:r>
          </w:p>
        </w:tc>
        <w:tc>
          <w:tcPr>
            <w:tcW w:type="dxa" w:w="2880"/>
          </w:tcPr>
          <w:p>
            <w:r>
              <w:t>Разработчики, поставщики</w:t>
            </w:r>
          </w:p>
        </w:tc>
      </w:tr>
      <w:tr>
        <w:tc>
          <w:tcPr>
            <w:tcW w:type="dxa" w:w="2880"/>
          </w:tcPr>
          <w:p>
            <w:r>
              <w:t>Угрозы 2-го типа (НДВ в прикладном ПО)</w:t>
            </w:r>
          </w:p>
        </w:tc>
        <w:tc>
          <w:tcPr>
            <w:tcW w:type="dxa" w:w="2880"/>
          </w:tcPr>
          <w:p>
            <w:r>
              <w:t>Средняя (1С, CRM)</w:t>
            </w:r>
          </w:p>
        </w:tc>
        <w:tc>
          <w:tcPr>
            <w:tcW w:type="dxa" w:w="2880"/>
          </w:tcPr>
          <w:p>
            <w:r>
              <w:t>Разработчики, интеграторы</w:t>
            </w:r>
          </w:p>
        </w:tc>
      </w:tr>
      <w:tr>
        <w:tc>
          <w:tcPr>
            <w:tcW w:type="dxa" w:w="2880"/>
          </w:tcPr>
          <w:p>
            <w:r>
              <w:t>Угрозы 3-го типа (действия нарушителей)</w:t>
            </w:r>
          </w:p>
        </w:tc>
        <w:tc>
          <w:tcPr>
            <w:tcW w:type="dxa" w:w="2880"/>
          </w:tcPr>
          <w:p>
            <w:r>
              <w:t>ВЫСОКАЯ (фишинг, атаки)</w:t>
            </w:r>
          </w:p>
        </w:tc>
        <w:tc>
          <w:tcPr>
            <w:tcW w:type="dxa" w:w="2880"/>
          </w:tcPr>
          <w:p>
            <w:r>
              <w:t>Хакеры, сотрудники</w:t>
            </w:r>
          </w:p>
        </w:tc>
      </w:tr>
    </w:tbl>
    <w:p/>
    <w:p>
      <w:r>
        <w:t>Вывод: ИСПДн Оператора относится к УЗ-3 (третий уровень защищённости) согласно п. 14 Постановления №1119.</w:t>
      </w:r>
    </w:p>
    <w:p>
      <w:pPr>
        <w:pStyle w:val="Heading1"/>
      </w:pPr>
      <w:r>
        <w:t>6. Меры по минимизации вреда</w:t>
      </w:r>
    </w:p>
    <w:p>
      <w:pPr>
        <w:pStyle w:val="ListBullet"/>
      </w:pPr>
      <w:r>
        <w:t>Реализованы меры по Приказу ФСТЭК №21.</w:t>
      </w:r>
    </w:p>
    <w:p>
      <w:pPr>
        <w:pStyle w:val="ListBullet"/>
      </w:pPr>
      <w:r>
        <w:t>Назначен ответственный за обработку ПДн (ст. 22.1 152-ФЗ).</w:t>
      </w:r>
    </w:p>
    <w:p>
      <w:pPr>
        <w:pStyle w:val="ListBullet"/>
      </w:pPr>
      <w:r>
        <w:t>Заключены договоры поручения с провайдерами (NIC.ru, No WAF).</w:t>
      </w:r>
    </w:p>
    <w:p>
      <w:pPr>
        <w:pStyle w:val="ListBullet"/>
      </w:pPr>
      <w:r>
        <w:t>Разработан План реагирования на инциденты.</w:t>
      </w:r>
    </w:p>
    <w:p>
      <w:pPr>
        <w:pStyle w:val="ListBullet"/>
      </w:pPr>
      <w:r>
        <w:t>Проводится периодическое обучение работников.</w:t>
      </w:r>
    </w:p>
    <w:p>
      <w:pPr>
        <w:pStyle w:val="Heading1"/>
      </w:pPr>
      <w:r>
        <w:t>7. Информирование субъектов ПДн</w:t>
      </w:r>
    </w:p>
    <w:p>
      <w:r>
        <w:t>Настоящая Оценка вреда доступна субъектам ПДн в составе Политики обработки ПДн на сайте Оператора.</w:t>
      </w:r>
    </w:p>
    <w:p/>
    <w:p>
      <w:r>
        <w:rPr>
          <w:b/>
        </w:rPr>
        <w:t xml:space="preserve">Юридическое примечание: </w:t>
      </w:r>
      <w:r>
        <w:t>Оценка вреда — обязательный документ (ч. 5 ст. 19 152-ФЗ). Отсутствие — штраф до 100 000 ₽ (ч. 1 ст. 13.11 КоАП). Пересмотр — не реже 1 раза в 3 года.</w:t>
      </w:r>
    </w:p>
    <w:p/>
    <w:p>
      <w:r>
        <w:t>УТВЕРЖДАЮ:</w:t>
      </w:r>
    </w:p>
    <w:p>
      <w:r>
        <w:t>Генеральный директор ООО «________________»</w:t>
      </w:r>
    </w:p>
    <w:p>
      <w:r>
        <w:t>_____________ / [ФИО]</w:t>
      </w:r>
    </w:p>
    <w:p>
      <w:r>
        <w:t>«___» __________ 20__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