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E5C4F"/>
          <w:sz w:val="22"/>
          <w:szCs w:val="22"/>
        </w:rPr>
        <w:t xml:space="preserve">VENTURA SOFTWARE SOLUTIONS</w:t>
      </w:r>
    </w:p>
    <w:p>
      <w:pPr>
        <w:spacing w:after="600"/>
        <w:jc w:val="center"/>
      </w:pPr>
      <w:r>
        <w:rPr>
          <w:rFonts w:ascii="Cambria" w:cs="Cambria" w:eastAsia="Cambria" w:hAnsi="Cambria"/>
          <w:b/>
          <w:bCs/>
          <w:color w:val="1B2321"/>
          <w:sz w:val="64"/>
          <w:szCs w:val="64"/>
        </w:rPr>
        <w:t xml:space="preserve">VSS</w:t>
      </w:r>
    </w:p>
    <w:p>
      <w:pPr>
        <w:spacing w:after="200" w:before="800"/>
        <w:jc w:val="center"/>
      </w:pPr>
      <w:r>
        <w:rPr>
          <w:rFonts w:ascii="Cambria" w:cs="Cambria" w:eastAsia="Cambria" w:hAnsi="Cambria"/>
          <w:b/>
          <w:bCs/>
          <w:color w:val="1B2321"/>
          <w:sz w:val="40"/>
          <w:szCs w:val="40"/>
        </w:rPr>
        <w:t xml:space="preserve">Aspectos Técnicos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4D5750"/>
          <w:sz w:val="26"/>
          <w:szCs w:val="26"/>
        </w:rPr>
        <w:t xml:space="preserve">Lenguaje, Metodología y Arquitectura — Plataforma de Autómatas y Lenguajes Formales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Universidad Mariano Gálvez de Guatemala</w:t>
      </w:r>
    </w:p>
    <w:p>
      <w:pPr>
        <w:jc w:val="center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Facultad de Ingeniería en Sistemas</w:t>
      </w:r>
    </w:p>
    <w:p>
      <w:pPr>
        <w:jc w:val="center"/>
      </w:pPr>
      <w:r>
        <w:rPr>
          <w:rFonts w:ascii="Calibri" w:cs="Calibri" w:eastAsia="Calibri" w:hAnsi="Calibri"/>
          <w:color w:val="4D5750"/>
          <w:sz w:val="20"/>
          <w:szCs w:val="20"/>
        </w:rPr>
        <w:t xml:space="preserve">Curso: Autómatas y Lenguajes Formales — Catedrático: Ing. Eddy Hernández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4D5750"/>
          <w:sz w:val="18"/>
          <w:szCs w:val="18"/>
        </w:rPr>
        <w:t xml:space="preserve">Código: VSS-TEC-001   ·   Fecha: 22 de septiembre de 2026</w:t>
      </w:r>
    </w:p>
    <w:p>
      <w:r>
        <w:br w:type="page"/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1. Objetivo del Documento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Especificar y justificar las decisiones técnicas del proyecto: el lenguaje y las tecnologías elegidas por el Team Leader, la metodología de trabajo del equipo, la arquitectura de la plataforma, el método de solución empleado para cada problema (con sus ventajas y desventajas), y la forma en que la aplicación solicita los cuatro parámetros obligatorios definidos por la cátedra.</w:t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2. Lenguaje y Stack Tecnológico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Por decisión del Team Leader, el proyecto se desarrolla con un stack separado en dos capas: backend en Python y frontend en TypeScript/React. La justificación de cada elección se resume a continuación.</w:t>
      </w:r>
    </w:p>
    <w:tbl>
      <w:tblPr>
        <w:tblW w:type="dxa" w:w="9000"/>
        <w:tblBorders>
          <w:top w:val="single" w:color="D8DCD3" w:sz="4"/>
          <w:left w:val="single" w:color="D8DCD3" w:sz="4"/>
          <w:bottom w:val="single" w:color="D8DCD3" w:sz="4"/>
          <w:right w:val="single" w:color="D8DCD3" w:sz="4"/>
          <w:insideH w:val="single" w:color="D8DCD3" w:sz="2"/>
          <w:insideV w:val="single" w:color="D8DCD3" w:sz="2"/>
        </w:tblBorders>
      </w:tblPr>
      <w:tblGrid>
        <w:gridCol w:w="1700"/>
        <w:gridCol w:w="2400"/>
        <w:gridCol w:w="4900"/>
      </w:tblGrid>
      <w:tr>
        <w:trPr>
          <w:tblHeader/>
        </w:trPr>
        <w:tc>
          <w:tcPr>
            <w:tcW w:type="dxa" w:w="17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9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Python 3.12 + FastAPI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Sintaxis clara para expresar teoría de autómatas (conjuntos, tuplas, funciones de transición); FastAPI valida automáticamente los esquemas de entrada con Pydantic y genera documentación interactiva (/docs), lo que agiliza el desarrollo en un plazo de 4 semanas.</w:t>
            </w:r>
          </w:p>
        </w:tc>
      </w:tr>
      <w:tr>
        <w:tc>
          <w:tcPr>
            <w:tcW w:type="dxa" w:w="17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TypeScript + React</w:t>
            </w:r>
          </w:p>
        </w:tc>
        <w:tc>
          <w:tcPr>
            <w:tcW w:type="dxa" w:w="49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Tipado estático que reduce errores al mapear las estructuras del autómata (estados, transiciones, pila) entre el backend y la interfaz; el modelo de componentes de React encaja naturalmente con paneles independientes (parámetros, grafo, pila, traza).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Visualización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Cytoscape.js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Librería especializada en grafos, con soporte nativo de nodos, aristas dirigidas y clases de estilo dinámicas — necesario para resaltar el estado activo y la transición usada en cada paso del recorrido.</w:t>
            </w:r>
          </w:p>
        </w:tc>
      </w:tr>
      <w:tr>
        <w:tc>
          <w:tcPr>
            <w:tcW w:type="dxa" w:w="17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Pruebas</w:t>
            </w:r>
          </w:p>
        </w:tc>
        <w:tc>
          <w:tcPr>
            <w:tcW w:type="dxa" w:w="24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pytest (backend)</w:t>
            </w:r>
          </w:p>
        </w:tc>
        <w:tc>
          <w:tcPr>
            <w:tcW w:type="dxa" w:w="49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Framework estándar de Python; permite verificar cada autómata de forma aislada (unitaria) y la API de forma integral, antes de conectar el frontend.</w:t>
            </w:r>
          </w:p>
        </w:tc>
      </w:tr>
    </w:tbl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3. Metodología de Trabajo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Dado un equipo de 3 personas y un plazo de 4 semanas, se adoptó una metodología ágil ligera, tipo Kanban con iteraciones semanales alineadas a las fases del cronograma (ver documento “Cronograma de Actividades”). Cada semana equivale a una iteración con un objetivo entregable verificable.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Planificación semanal: el Team Leader define el objetivo de la semana y distribuye tareas entre el Project Manager/QA y el Desarrollador Senior.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Tablero Kanban de 3 columnas (Por hacer / En progreso / Verificado) para dar seguimiento a las tareas del WBS.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Revisión de avance al cierre de cada semana, con el Project Manager/QA validando que las pruebas automatizadas pasen antes de dar por cerrada una tarea.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Supervisión general del catedrático (Ing. Eddy Hernández) como punto de control externo del proyecto.</w:t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4. Arquitectura de la Plataforma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La plataforma se organiza en tres capas desacopladas, comunicadas por HTTP/JSON, lo que permite desarrollar y probar el backend de forma independiente del frontend (ver Fase 2 y Fase 3 del cronograma).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2321"/>
          <w:sz w:val="24"/>
          <w:szCs w:val="24"/>
        </w:rPr>
        <w:t xml:space="preserve">4.1 Cliente (SPA)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Aplicación de página única en React, responsable de solicitar los cuatro parámetros obligatorios, enviar la solicitud de simulación a la API y renderizar el grafo del autómata junto con la pila y la traza paso a paso devueltas por el backend.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2321"/>
          <w:sz w:val="24"/>
          <w:szCs w:val="24"/>
        </w:rPr>
        <w:t xml:space="preserve">4.2 API REST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Servicio FastAPI sin estado (stateless): cada solicitud contiene la definición completa del autómata y la cadena a analizar; la API valida la definición (estados, alfabeto, determinismo) antes de invocar el motor correspondiente, y traduce los errores de modelado en respuestas HTTP 422 con el detalle del problema.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2321"/>
          <w:sz w:val="24"/>
          <w:szCs w:val="24"/>
        </w:rPr>
        <w:t xml:space="preserve">4.3 Motores de Autómatas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Módulos de Python puro, independientes de la API, que implementan la simulación formal de cada tipo de autómata y devuelven una traza (lista de pasos) con el estado activo, la arista usada y — en el caso del Autómata de Pila — el contenido de la pila en cada paso.</w:t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5. Método de Solución por Módulo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Cada problema del entorno real se modeló según la clase de lenguaje formal a la que pertenece, siguiendo la jerarquía de Chomsky: los problemas de sintaxis simple y sin anidamiento se resuelven con autómatas de estados finitos (regulares); el problema de balanceo de etiquetas del XML, al requerir memoria de anidamiento, no es regular y exige un autómata de pila (libre de contexto).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B5651D"/>
          <w:sz w:val="22"/>
          <w:szCs w:val="22"/>
        </w:rPr>
        <w:t xml:space="preserve">5.1 AFD — Validación de NIT y CUI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Lenguaje regular: dígitos, seguidos de un guion y un dígito verificador (NIT) o una secuencia fija de 13 dígitos con reglas de departamento (CUI).</w:t>
      </w:r>
    </w:p>
    <w:tbl>
      <w:tblPr>
        <w:tblW w:type="dxa" w:w="9000"/>
        <w:tblBorders>
          <w:top w:val="single" w:color="D8DCD3" w:sz="4"/>
          <w:left w:val="single" w:color="D8DCD3" w:sz="4"/>
          <w:bottom w:val="single" w:color="D8DCD3" w:sz="4"/>
          <w:right w:val="single" w:color="D8DCD3" w:sz="4"/>
          <w:insideH w:val="single" w:color="D8DCD3" w:sz="2"/>
          <w:insideV w:val="single" w:color="D8DCD3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Ventajas</w:t>
            </w:r>
          </w:p>
        </w:tc>
        <w:tc>
          <w:tcPr>
            <w:tcW w:type="dxa" w:w="45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Desventajas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Determinismo: exactamente una transición por (estado, símbolo); ejecución en tiempo O(n) y sin ambigüedad. Fácil de depurar y de representar en un grafo simple.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No puede validar dependencias de largo alcance (por ejemplo, el dígito verificador real del NIT según su algoritmo módulo 11) sin aumentar artificialmente el número de estados; solo valida forma sintáctica.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B5651D"/>
          <w:sz w:val="22"/>
          <w:szCs w:val="22"/>
        </w:rPr>
        <w:t xml:space="preserve">5.2 AFND — Búsqueda de palabras clave en textos normativos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Lenguaje regular con alternancia: unión de varios patrones (palabras clave) que pueden iniciar en cualquier posición del texto.</w:t>
      </w:r>
    </w:p>
    <w:tbl>
      <w:tblPr>
        <w:tblW w:type="dxa" w:w="9000"/>
        <w:tblBorders>
          <w:top w:val="single" w:color="D8DCD3" w:sz="4"/>
          <w:left w:val="single" w:color="D8DCD3" w:sz="4"/>
          <w:bottom w:val="single" w:color="D8DCD3" w:sz="4"/>
          <w:right w:val="single" w:color="D8DCD3" w:sz="4"/>
          <w:insideH w:val="single" w:color="D8DCD3" w:sz="2"/>
          <w:insideV w:val="single" w:color="D8DCD3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Ventajas</w:t>
            </w:r>
          </w:p>
        </w:tc>
        <w:tc>
          <w:tcPr>
            <w:tcW w:type="dxa" w:w="45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Desventajas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Expresa de forma natural la búsqueda simultánea de varios patrones sin construir una unión explícita de autómatas; el estado inicial con transición comodín permite buscar en cualquier posición del texto en una sola pasada.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La simulación requiere seguir un conjunto de estados activos en lugar de uno solo, lo que incrementa el costo de memoria frente al AFD; en el peor caso el conjunto de estados activos crece con el número de patrones.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B5651D"/>
          <w:sz w:val="22"/>
          <w:szCs w:val="22"/>
        </w:rPr>
        <w:t xml:space="preserve">5.3 Autómata de Pila — Validación de XML FEL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Lenguaje libre de contexto: el balanceo de etiquetas anidadas (aⁿbⁿ generalizado a etiquetas con nombre) no puede reconocerse con un autómata de estados finitos, porque no existe una cota fija de anidamiento.</w:t>
      </w:r>
    </w:p>
    <w:tbl>
      <w:tblPr>
        <w:tblW w:type="dxa" w:w="9000"/>
        <w:tblBorders>
          <w:top w:val="single" w:color="D8DCD3" w:sz="4"/>
          <w:left w:val="single" w:color="D8DCD3" w:sz="4"/>
          <w:bottom w:val="single" w:color="D8DCD3" w:sz="4"/>
          <w:right w:val="single" w:color="D8DCD3" w:sz="4"/>
          <w:insideH w:val="single" w:color="D8DCD3" w:sz="2"/>
          <w:insideV w:val="single" w:color="D8DCD3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Ventajas</w:t>
            </w:r>
          </w:p>
        </w:tc>
        <w:tc>
          <w:tcPr>
            <w:tcW w:type="dxa" w:w="45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Desventajas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La pila añade memoria no acotada: permite verificar anidamiento arbitrario (apertura/cierre de etiquetas) y reportar exactamente dónde se rompe el balance, algo que un AFD o AFND no pueden garantizar en general.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Mayor complejidad de implementación y de simulación (especialmente con no determinismo); el espacio de configuraciones (estado, posición, pila) puede crecer más que en un AFD, por lo que se acota la exploración con límites de configuración.</w:t>
            </w:r>
          </w:p>
        </w:tc>
      </w:tr>
    </w:tbl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6. Parámetros Obligatorios de la Aplicación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Conforme a los lineamientos de la cátedra, la interfaz solicita explícitamente los siguientes cuatro parámetros antes de ejecutar cualquier simulación:</w:t>
      </w:r>
    </w:p>
    <w:tbl>
      <w:tblPr>
        <w:tblW w:type="dxa" w:w="9000"/>
        <w:tblBorders>
          <w:top w:val="single" w:color="D8DCD3" w:sz="4"/>
          <w:left w:val="single" w:color="D8DCD3" w:sz="4"/>
          <w:bottom w:val="single" w:color="D8DCD3" w:sz="4"/>
          <w:right w:val="single" w:color="D8DCD3" w:sz="4"/>
          <w:insideH w:val="single" w:color="D8DCD3" w:sz="2"/>
          <w:insideV w:val="single" w:color="D8DCD3" w:sz="2"/>
        </w:tblBorders>
      </w:tblPr>
      <w:tblGrid>
        <w:gridCol w:w="500"/>
        <w:gridCol w:w="2600"/>
        <w:gridCol w:w="5900"/>
      </w:tblGrid>
      <w:tr>
        <w:trPr>
          <w:tblHeader/>
        </w:trPr>
        <w:tc>
          <w:tcPr>
            <w:tcW w:type="dxa" w:w="5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59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lo solicita la plataforma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¿Número de nodos?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Se muestra como |Q|, derivado del autómata seleccionado o construido (por ejemplo, el AFD del NIT usa 4 estados).</w:t>
            </w:r>
          </w:p>
        </w:tc>
      </w:tr>
      <w:tr>
        <w:tc>
          <w:tcPr>
            <w:tcW w:type="dxa" w:w="5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¿Alfabeto a utilizar?</w:t>
            </w:r>
          </w:p>
        </w:tc>
        <w:tc>
          <w:tcPr>
            <w:tcW w:type="dxa" w:w="59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Se muestra como Σ, en chips individuales por símbolo (dígitos, guion, letras, etc.), validado contra las transiciones definidas.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¿Cadena a analizar?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Campo de texto w, editable, precargado con un caso de ejemplo válido por cada módulo.</w:t>
            </w:r>
          </w:p>
        </w:tc>
      </w:tr>
      <w:tr>
        <w:tc>
          <w:tcPr>
            <w:tcW w:type="dxa" w:w="5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¿Método de solución?</w:t>
            </w:r>
          </w:p>
        </w:tc>
        <w:tc>
          <w:tcPr>
            <w:tcW w:type="dxa" w:w="59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Selector visual entre AFD, AFND y AP; cada preset fija el método adecuado al problema que resuelve.</w:t>
            </w:r>
          </w:p>
        </w:tc>
      </w:tr>
    </w:tbl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Adicionalmente, la plataforma cumple la recomendación de presentar una solución gráfica: el grafo del autómata se dibuja con Cytoscape.js y se resalta paso a paso durante el recorrido de la cadena, y para el Autómata de Pila se muestra además el contenido de la pila en cada paso.</w:t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7. Rol del Team Leader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El Team Leader es la persona responsable de la arquitectura de software, de las decisiones técnicas (lenguaje, framework, librerías) y de delegar las responsabilidades de cada entregable al Project Manager/QA y al Desarrollador Senior, bajo la supervisión general del catedrático del curso. El Team Leader además dirige la exposición final del proyecto ante el catedrático.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60"/>
      </w:pPr>
    </w:lvl>
    <w:lvl w:ilvl="1" w15:tentative="1">
      <w:start w:val="1"/>
      <w:numFmt w:val="bullet"/>
      <w:lvlText w:val="·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1321aae695246572279facd043ca594b62ad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2026-09-22T21:54:47.461Z</dcterms:created>
  <dcterms:modified xsi:type="dcterms:W3CDTF">2026-09-22T21:54:47.461Z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