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0AFE" w14:textId="21A2A45A" w:rsidR="00094DAD" w:rsidRDefault="003A0215">
      <w:pPr>
        <w:rPr>
          <w:b/>
          <w:bCs/>
        </w:rPr>
      </w:pPr>
      <w:r>
        <w:rPr>
          <w:b/>
          <w:bCs/>
        </w:rPr>
        <w:t xml:space="preserve">Supplementary information, methods, and figures accompanying Goltz and Krawczynski (2026) </w:t>
      </w:r>
      <w:proofErr w:type="spellStart"/>
      <w:r>
        <w:rPr>
          <w:b/>
          <w:bCs/>
          <w:i/>
          <w:iCs/>
        </w:rPr>
        <w:t>Volcanica</w:t>
      </w:r>
      <w:proofErr w:type="spellEnd"/>
    </w:p>
    <w:p w14:paraId="5E16179B" w14:textId="0CDA4081" w:rsidR="003A0215" w:rsidRDefault="003A0215">
      <w:r>
        <w:rPr>
          <w:b/>
          <w:bCs/>
        </w:rPr>
        <w:t>Supplementary information: calibration of piston cylinder apparatus</w:t>
      </w:r>
    </w:p>
    <w:p w14:paraId="6EAEC702" w14:textId="5FC3CC78" w:rsidR="003A0215" w:rsidRDefault="003A0215" w:rsidP="003A0215">
      <w:r>
        <w:t>Pressure and temperature calibrations of both piston cylinder apparatuses were performed using identical ½” cell assemblies. First, the pressure was calibrated at room temperature using the resistivity transition of bismuth (</w:t>
      </w:r>
      <w:r w:rsidRPr="00520A23">
        <w:rPr>
          <w:vertAlign w:val="superscript"/>
        </w:rPr>
        <w:t>1, 2</w:t>
      </w:r>
      <w:r>
        <w:t xml:space="preserve">). At high temperature, the pressure calibration was investigated using the </w:t>
      </w:r>
      <w:proofErr w:type="spellStart"/>
      <w:r>
        <w:t>kushiroite</w:t>
      </w:r>
      <w:proofErr w:type="spellEnd"/>
      <w:r>
        <w:t xml:space="preserve"> (CaAlAlSiO</w:t>
      </w:r>
      <w:r w:rsidRPr="00E117EB">
        <w:rPr>
          <w:vertAlign w:val="subscript"/>
        </w:rPr>
        <w:t>6</w:t>
      </w:r>
      <w:r w:rsidRPr="00E117EB">
        <w:t>)</w:t>
      </w:r>
      <w:r>
        <w:t xml:space="preserve"> breakdown at low pressure into a mixture of anorthite, gehlenite and corundum and its high-pressure phase transition into grossular and corundum </w:t>
      </w:r>
      <w:r w:rsidRPr="00520A23">
        <w:t>(</w:t>
      </w:r>
      <w:r w:rsidRPr="00520A23">
        <w:rPr>
          <w:vertAlign w:val="superscript"/>
        </w:rPr>
        <w:t>3</w:t>
      </w:r>
      <w:r w:rsidRPr="00520A23">
        <w:t>)</w:t>
      </w:r>
      <w:r>
        <w:t>. Results show that no pressure correction is needed from the calculated values due to factors like internal friction or assembly strength. Temperature calibration and thermal gradients inside the capsule were extensively studied using 2 different methods. The first method uses two thermocouples with one sitting centered axially at the position of a would-be sample in the assembly, and the other sitting at its standard reading position. The temperature difference gives an offset of +40ºC between the reading thermocouple and the capsule center. A spinel growth thermometer was used as the secondary method (</w:t>
      </w:r>
      <w:r w:rsidRPr="003A32B3">
        <w:rPr>
          <w:vertAlign w:val="superscript"/>
        </w:rPr>
        <w:t>4</w:t>
      </w:r>
      <w:r>
        <w:t xml:space="preserve">). It confirms the 40ºC offset between thermocouple and capsule center and maps out the temperature gradient across the capsule. </w:t>
      </w:r>
    </w:p>
    <w:p w14:paraId="42158A5E" w14:textId="77777777" w:rsidR="003A0215" w:rsidRDefault="003A0215" w:rsidP="003A0215"/>
    <w:p w14:paraId="4F6A0E8A" w14:textId="77777777" w:rsidR="003A0215" w:rsidRDefault="003A0215" w:rsidP="003A0215">
      <w:r>
        <w:t xml:space="preserve">As for the ¾” cell assembly, the pressure was also calibrated using the breakdown of </w:t>
      </w:r>
      <w:proofErr w:type="spellStart"/>
      <w:r>
        <w:t>kushiroite</w:t>
      </w:r>
      <w:proofErr w:type="spellEnd"/>
      <w:r>
        <w:t xml:space="preserve"> phase transition. It shows that no pressure correction is necessary. Temperature calibration using the 2-thermocouple technique shows that the temperature offset is pressure dependent and varies linearly from 31º</w:t>
      </w:r>
      <w:proofErr w:type="spellStart"/>
      <w:r>
        <w:t>C at</w:t>
      </w:r>
      <w:proofErr w:type="spellEnd"/>
      <w:r>
        <w:t xml:space="preserve"> 0.5 </w:t>
      </w:r>
      <w:proofErr w:type="spellStart"/>
      <w:r>
        <w:t>GPa</w:t>
      </w:r>
      <w:proofErr w:type="spellEnd"/>
      <w:r>
        <w:t xml:space="preserve"> to 21º</w:t>
      </w:r>
      <w:proofErr w:type="spellStart"/>
      <w:r>
        <w:t>C at</w:t>
      </w:r>
      <w:proofErr w:type="spellEnd"/>
      <w:r>
        <w:t xml:space="preserve"> 1 </w:t>
      </w:r>
      <w:proofErr w:type="spellStart"/>
      <w:r>
        <w:t>GPa</w:t>
      </w:r>
      <w:proofErr w:type="spellEnd"/>
      <w:r>
        <w:t xml:space="preserve">. Temperature was controlled using a </w:t>
      </w:r>
      <w:proofErr w:type="spellStart"/>
      <w:r>
        <w:t>Eurotherm</w:t>
      </w:r>
      <w:proofErr w:type="spellEnd"/>
      <w:r>
        <w:t xml:space="preserve"> PID controller and type C thermocouple.</w:t>
      </w:r>
    </w:p>
    <w:p w14:paraId="32BCAE88" w14:textId="77777777" w:rsidR="003A0215" w:rsidRDefault="003A0215" w:rsidP="003A0215"/>
    <w:p w14:paraId="758803B6" w14:textId="175DE12D" w:rsidR="003A0215" w:rsidRDefault="003A0215" w:rsidP="003A0215">
      <w:r>
        <w:t>We estimate a 15°C temperature uncertainty for both assemblies.</w:t>
      </w:r>
    </w:p>
    <w:p w14:paraId="0B806E8D" w14:textId="77777777" w:rsidR="003A0215" w:rsidRDefault="003A0215" w:rsidP="003A0215"/>
    <w:p w14:paraId="591DD437" w14:textId="77777777" w:rsidR="003A0215" w:rsidRDefault="003A0215" w:rsidP="003A0215"/>
    <w:p w14:paraId="68631646" w14:textId="77777777" w:rsidR="003A0215" w:rsidRPr="00520A23" w:rsidRDefault="003A0215" w:rsidP="003A0215">
      <w:r w:rsidRPr="00520A23">
        <w:rPr>
          <w:vertAlign w:val="superscript"/>
        </w:rPr>
        <w:t>1)</w:t>
      </w:r>
      <w:r w:rsidRPr="00520A23">
        <w:t xml:space="preserve"> </w:t>
      </w:r>
      <w:r>
        <w:t>E</w:t>
      </w:r>
      <w:r w:rsidRPr="00520A23">
        <w:t>. C. Lloyd, C. W. Beckett, and F. R. Boyd, “Measurements in the high-pressure</w:t>
      </w:r>
      <w:r>
        <w:t xml:space="preserve"> </w:t>
      </w:r>
      <w:r w:rsidRPr="00520A23">
        <w:t>environment,” Science 164(3881), 860–862 (1969).</w:t>
      </w:r>
    </w:p>
    <w:p w14:paraId="3C5A6288" w14:textId="77777777" w:rsidR="003A0215" w:rsidRPr="00520A23" w:rsidRDefault="003A0215" w:rsidP="003A0215">
      <w:r w:rsidRPr="00520A23">
        <w:rPr>
          <w:vertAlign w:val="superscript"/>
        </w:rPr>
        <w:t>2)</w:t>
      </w:r>
      <w:r w:rsidRPr="00520A23">
        <w:t xml:space="preserve">G. Andersson, B. Sundqvist, and G. Bäckström, “A high-pressure cell for electrical resistance measurements at hydrostatic pressures up to 8 </w:t>
      </w:r>
      <w:proofErr w:type="spellStart"/>
      <w:r w:rsidRPr="00520A23">
        <w:t>GPa</w:t>
      </w:r>
      <w:proofErr w:type="spellEnd"/>
      <w:r w:rsidRPr="00520A23">
        <w:t>: Results for Bi,</w:t>
      </w:r>
      <w:r>
        <w:t xml:space="preserve"> </w:t>
      </w:r>
      <w:r w:rsidRPr="00520A23">
        <w:t>Ba, Ni, and Si,” J. Appl. Phys. 65(10), 3943–3950 (1989).</w:t>
      </w:r>
    </w:p>
    <w:p w14:paraId="7282D2D8" w14:textId="77777777" w:rsidR="003A0215" w:rsidRDefault="003A0215" w:rsidP="003A0215">
      <w:r>
        <w:rPr>
          <w:vertAlign w:val="superscript"/>
        </w:rPr>
        <w:t>3</w:t>
      </w:r>
      <w:r w:rsidRPr="00520A23">
        <w:rPr>
          <w:vertAlign w:val="superscript"/>
        </w:rPr>
        <w:t>)</w:t>
      </w:r>
      <w:r>
        <w:t xml:space="preserve"> J.F. Hays, “Lime-alumina-silica” Carnegie Inst. Washington Yearbook 65, p 234-239 (1966)</w:t>
      </w:r>
    </w:p>
    <w:p w14:paraId="1FDFA7B3" w14:textId="77777777" w:rsidR="003A0215" w:rsidRDefault="003A0215" w:rsidP="003A0215">
      <w:r w:rsidRPr="006D13B6">
        <w:rPr>
          <w:vertAlign w:val="superscript"/>
        </w:rPr>
        <w:lastRenderedPageBreak/>
        <w:t xml:space="preserve">4) </w:t>
      </w:r>
      <w:r>
        <w:t>E.B. Watson, D. A. Wark, J.D. Price, J.A. Van Orman, “Mapping the thermal structure of solid-media pressure assemblies” Contributions 142: 640-652 (2002)</w:t>
      </w:r>
    </w:p>
    <w:p w14:paraId="623141D6" w14:textId="77777777" w:rsidR="003A0215" w:rsidRDefault="003A0215" w:rsidP="003A0215">
      <w:r w:rsidRPr="00222C62">
        <w:rPr>
          <w:vertAlign w:val="superscript"/>
        </w:rPr>
        <w:t>5)</w:t>
      </w:r>
      <w:r>
        <w:t xml:space="preserve"> F. Birch, P. </w:t>
      </w:r>
      <w:proofErr w:type="spellStart"/>
      <w:r>
        <w:t>LeComte</w:t>
      </w:r>
      <w:proofErr w:type="spellEnd"/>
      <w:r>
        <w:t>, “Temperature-pressure plane for albite composition” American Journal of science, 258:209-217 (1960)</w:t>
      </w:r>
    </w:p>
    <w:p w14:paraId="328880C0" w14:textId="77777777" w:rsidR="003A0215" w:rsidRDefault="003A0215"/>
    <w:p w14:paraId="5E19A0B0" w14:textId="5E266A53" w:rsidR="003A0215" w:rsidRDefault="003A0215">
      <w:r>
        <w:rPr>
          <w:b/>
          <w:bCs/>
        </w:rPr>
        <w:t>Supplementary methods: Analysis of natural amphibole crystals at Carnegie Science via EPMA</w:t>
      </w:r>
    </w:p>
    <w:p w14:paraId="1B21C997" w14:textId="77777777" w:rsidR="003A0215" w:rsidRDefault="003A0215"/>
    <w:p w14:paraId="6E9D34A9" w14:textId="48205E3D" w:rsidR="003A0215" w:rsidRPr="003A0215" w:rsidRDefault="00514454">
      <w:r>
        <w:rPr>
          <w:rFonts w:ascii="Arial" w:hAnsi="Arial" w:cs="Arial"/>
          <w:color w:val="222222"/>
          <w:shd w:val="clear" w:color="auto" w:fill="FFFFFF"/>
        </w:rPr>
        <w:t xml:space="preserve">Data was collected on a JEOL 8530F electron microprobe equipped with 5 wavelength-dispersive spectrometers. Operating conditions were an accelerating voltage of 15kV, a beam current of 20nA, and a beam diameter of 3 microns. Data was collected using the Probe for EPMA software package. Count times were 20 seconds (on peak) and 10 seconds (upper and lower background), </w:t>
      </w:r>
      <w:proofErr w:type="gramStart"/>
      <w:r>
        <w:rPr>
          <w:rFonts w:ascii="Arial" w:hAnsi="Arial" w:cs="Arial"/>
          <w:color w:val="222222"/>
          <w:shd w:val="clear" w:color="auto" w:fill="FFFFFF"/>
        </w:rPr>
        <w:t>with the exception of</w:t>
      </w:r>
      <w:proofErr w:type="gramEnd"/>
      <w:r>
        <w:rPr>
          <w:rFonts w:ascii="Arial" w:hAnsi="Arial" w:cs="Arial"/>
          <w:color w:val="222222"/>
          <w:shd w:val="clear" w:color="auto" w:fill="FFFFFF"/>
        </w:rPr>
        <w:t xml:space="preserve"> the volatile elements Na and K (10 seconds on peak and 5 seconds per background measurement). The standards used were Ilmenite for Ti ka, Mn ka; Anorthite for Al ka; Ca ka; Albite for Na ka; MgCr2O4 for Cr ka; Orthoclase for K ka; Springwater Olivine for Mg ka, Si ka; and Rockport Fayalite - for Fe ka. Na, Mg, Si, and Al were analyzed using a TAPL crystal, Ti and Cr using a PETL crystal, Fe and Mn on a LIFL crystal, and K and Ca on a PETH crystal.</w:t>
      </w:r>
    </w:p>
    <w:p w14:paraId="5404A455" w14:textId="77777777" w:rsidR="003A0215" w:rsidRDefault="003A0215">
      <w:pPr>
        <w:rPr>
          <w:b/>
          <w:bCs/>
        </w:rPr>
      </w:pPr>
    </w:p>
    <w:p w14:paraId="4A7027D0" w14:textId="5A921283" w:rsidR="003A0215" w:rsidRDefault="003A0215">
      <w:pPr>
        <w:rPr>
          <w:b/>
          <w:bCs/>
        </w:rPr>
      </w:pPr>
      <w:r>
        <w:rPr>
          <w:b/>
          <w:bCs/>
          <w:noProof/>
        </w:rPr>
        <w:lastRenderedPageBreak/>
        <w:drawing>
          <wp:inline distT="0" distB="0" distL="0" distR="0" wp14:anchorId="30DD0BF3" wp14:editId="0D6002BB">
            <wp:extent cx="4318000" cy="3454400"/>
            <wp:effectExtent l="0" t="0" r="0" b="0"/>
            <wp:docPr id="37915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52474" name="Picture 379152474"/>
                    <pic:cNvPicPr/>
                  </pic:nvPicPr>
                  <pic:blipFill>
                    <a:blip r:embed="rId4"/>
                    <a:stretch>
                      <a:fillRect/>
                    </a:stretch>
                  </pic:blipFill>
                  <pic:spPr>
                    <a:xfrm>
                      <a:off x="0" y="0"/>
                      <a:ext cx="4318000" cy="3454400"/>
                    </a:xfrm>
                    <a:prstGeom prst="rect">
                      <a:avLst/>
                    </a:prstGeom>
                  </pic:spPr>
                </pic:pic>
              </a:graphicData>
            </a:graphic>
          </wp:inline>
        </w:drawing>
      </w:r>
    </w:p>
    <w:p w14:paraId="02DD8A96" w14:textId="4D40CFC9" w:rsidR="003A0215" w:rsidRDefault="003A0215">
      <w:r>
        <w:rPr>
          <w:b/>
          <w:bCs/>
        </w:rPr>
        <w:t xml:space="preserve">Supplementary Figure 1. </w:t>
      </w:r>
      <w:r>
        <w:t>Image of OD102 demonstrating core-rim zoning in Fe-Mg of olivine crystals.</w:t>
      </w:r>
    </w:p>
    <w:p w14:paraId="675E309A" w14:textId="7E928A95" w:rsidR="003A0215" w:rsidRDefault="0055407E">
      <w:r>
        <w:rPr>
          <w:noProof/>
        </w:rPr>
        <w:drawing>
          <wp:inline distT="0" distB="0" distL="0" distR="0" wp14:anchorId="56DB77E7" wp14:editId="0CB2E652">
            <wp:extent cx="5778500" cy="2628900"/>
            <wp:effectExtent l="0" t="0" r="0" b="0"/>
            <wp:docPr id="43780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0397" name="Picture 437800397"/>
                    <pic:cNvPicPr/>
                  </pic:nvPicPr>
                  <pic:blipFill>
                    <a:blip r:embed="rId5"/>
                    <a:stretch>
                      <a:fillRect/>
                    </a:stretch>
                  </pic:blipFill>
                  <pic:spPr>
                    <a:xfrm>
                      <a:off x="0" y="0"/>
                      <a:ext cx="5778500" cy="2628900"/>
                    </a:xfrm>
                    <a:prstGeom prst="rect">
                      <a:avLst/>
                    </a:prstGeom>
                  </pic:spPr>
                </pic:pic>
              </a:graphicData>
            </a:graphic>
          </wp:inline>
        </w:drawing>
      </w:r>
    </w:p>
    <w:p w14:paraId="54053D6D" w14:textId="09F059E7" w:rsidR="003A0215" w:rsidRPr="003A0215" w:rsidRDefault="003A0215">
      <w:r>
        <w:rPr>
          <w:b/>
          <w:bCs/>
        </w:rPr>
        <w:t>Supplementary Figure 2.</w:t>
      </w:r>
      <w:r>
        <w:t xml:space="preserve"> Harker diagram showing variability in SiO</w:t>
      </w:r>
      <w:r>
        <w:rPr>
          <w:vertAlign w:val="subscript"/>
        </w:rPr>
        <w:t>2</w:t>
      </w:r>
      <w:r>
        <w:t xml:space="preserve"> and K</w:t>
      </w:r>
      <w:r>
        <w:rPr>
          <w:vertAlign w:val="subscript"/>
        </w:rPr>
        <w:t>2</w:t>
      </w:r>
      <w:r>
        <w:t>O in our experiments as compared to natural samples. Colors and shapes are as in Figure 6.</w:t>
      </w:r>
    </w:p>
    <w:sectPr w:rsidR="003A0215" w:rsidRPr="003A0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215"/>
    <w:rsid w:val="00094DAD"/>
    <w:rsid w:val="003A0215"/>
    <w:rsid w:val="00514454"/>
    <w:rsid w:val="0055407E"/>
    <w:rsid w:val="0077516E"/>
    <w:rsid w:val="00966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8CE008"/>
  <w15:chartTrackingRefBased/>
  <w15:docId w15:val="{E03D5F83-586C-224D-BA46-92B1A802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215"/>
    <w:rPr>
      <w:rFonts w:eastAsiaTheme="majorEastAsia" w:cstheme="majorBidi"/>
      <w:color w:val="272727" w:themeColor="text1" w:themeTint="D8"/>
    </w:rPr>
  </w:style>
  <w:style w:type="paragraph" w:styleId="Title">
    <w:name w:val="Title"/>
    <w:basedOn w:val="Normal"/>
    <w:next w:val="Normal"/>
    <w:link w:val="TitleChar"/>
    <w:uiPriority w:val="10"/>
    <w:qFormat/>
    <w:rsid w:val="003A0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215"/>
    <w:pPr>
      <w:spacing w:before="160"/>
      <w:jc w:val="center"/>
    </w:pPr>
    <w:rPr>
      <w:i/>
      <w:iCs/>
      <w:color w:val="404040" w:themeColor="text1" w:themeTint="BF"/>
    </w:rPr>
  </w:style>
  <w:style w:type="character" w:customStyle="1" w:styleId="QuoteChar">
    <w:name w:val="Quote Char"/>
    <w:basedOn w:val="DefaultParagraphFont"/>
    <w:link w:val="Quote"/>
    <w:uiPriority w:val="29"/>
    <w:rsid w:val="003A0215"/>
    <w:rPr>
      <w:i/>
      <w:iCs/>
      <w:color w:val="404040" w:themeColor="text1" w:themeTint="BF"/>
    </w:rPr>
  </w:style>
  <w:style w:type="paragraph" w:styleId="ListParagraph">
    <w:name w:val="List Paragraph"/>
    <w:basedOn w:val="Normal"/>
    <w:uiPriority w:val="34"/>
    <w:qFormat/>
    <w:rsid w:val="003A0215"/>
    <w:pPr>
      <w:ind w:left="720"/>
      <w:contextualSpacing/>
    </w:pPr>
  </w:style>
  <w:style w:type="character" w:styleId="IntenseEmphasis">
    <w:name w:val="Intense Emphasis"/>
    <w:basedOn w:val="DefaultParagraphFont"/>
    <w:uiPriority w:val="21"/>
    <w:qFormat/>
    <w:rsid w:val="003A0215"/>
    <w:rPr>
      <w:i/>
      <w:iCs/>
      <w:color w:val="0F4761" w:themeColor="accent1" w:themeShade="BF"/>
    </w:rPr>
  </w:style>
  <w:style w:type="paragraph" w:styleId="IntenseQuote">
    <w:name w:val="Intense Quote"/>
    <w:basedOn w:val="Normal"/>
    <w:next w:val="Normal"/>
    <w:link w:val="IntenseQuoteChar"/>
    <w:uiPriority w:val="30"/>
    <w:qFormat/>
    <w:rsid w:val="003A0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215"/>
    <w:rPr>
      <w:i/>
      <w:iCs/>
      <w:color w:val="0F4761" w:themeColor="accent1" w:themeShade="BF"/>
    </w:rPr>
  </w:style>
  <w:style w:type="character" w:styleId="IntenseReference">
    <w:name w:val="Intense Reference"/>
    <w:basedOn w:val="DefaultParagraphFont"/>
    <w:uiPriority w:val="32"/>
    <w:qFormat/>
    <w:rsid w:val="003A0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585</Words>
  <Characters>3226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Goltz</dc:creator>
  <cp:keywords/>
  <dc:description/>
  <cp:lastModifiedBy>Andrea Goltz</cp:lastModifiedBy>
  <cp:revision>2</cp:revision>
  <dcterms:created xsi:type="dcterms:W3CDTF">2026-03-12T20:31:00Z</dcterms:created>
  <dcterms:modified xsi:type="dcterms:W3CDTF">2026-03-12T20:31:00Z</dcterms:modified>
</cp:coreProperties>
</file>