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京东健康与雅培达成战略合作，共建“iCGM+HomeCare”院外慢病管理新范式</w:t>
      </w:r>
    </w:p>
    <w:p>
      <w:r>
        <w:rPr>
          <w:sz w:val="22"/>
        </w:rPr>
        <w:t>7月9日，京东健康与雅培达成中国战略合作。未来三年，双方将围绕连续葡萄糖监测（iCGM）、智能设备互联、AI健康管理及HomeCare服务体系展开深度共建，计划在京东健康全球首发雅培最新iCGM产品，并推动产品与京东健康APP生态打通，接入第三方综合健康服务平台。</w:t>
      </w:r>
    </w:p>
    <w:p>
      <w:r>
        <w:rPr>
          <w:sz w:val="22"/>
        </w:rPr>
        <w:t>此次合作标志着iCGM产品将从单一血糖监测工具，进一步升级为连接数据、AI分析、专业服务与长期随访的院外慢病管理入口。京东健康将发挥在供应链、互联网医疗、AI和HomeCare服务体系方面的能力，与雅培共同探索iCGM智能互联与慢病管理服务闭环，为用户提供更便捷、更专业、更连续的控糖体验。</w:t>
      </w:r>
    </w:p>
    <w:p>
      <w:pPr>
        <w:jc w:val="center"/>
      </w:pPr>
      <w:r>
        <w:drawing>
          <wp:inline xmlns:a="http://schemas.openxmlformats.org/drawingml/2006/main" xmlns:pic="http://schemas.openxmlformats.org/drawingml/2006/picture">
            <wp:extent cx="5029200" cy="376732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767328"/>
                    </a:xfrm>
                    <a:prstGeom prst="rect"/>
                  </pic:spPr>
                </pic:pic>
              </a:graphicData>
            </a:graphic>
          </wp:inline>
        </w:drawing>
      </w:r>
    </w:p>
    <w:p>
      <w:r>
        <w:rPr>
          <w:sz w:val="22"/>
        </w:rPr>
        <w:t>iCGM是集成式连续葡萄糖监测系统，是连续葡萄糖监测（CGM）向更高标准发展的重要形态，对数据准确性、稳定性、互联能力及临床应用拓展提出了更高要求。作为全球医疗健康产业的重要创新力量，雅培长期深耕糖尿病管理、诊断检测、医疗器械和营养健康等领域，拥有覆盖全球市场的产品研发、临床应用和用户服务经验；在iCGM领域，雅培凭借瞬感系列产品持续推动连续血糖监测技术普及，让更多用户从“被动测血糖”走向“主动管血糖”。与京东健康的战略携手，可以让全球领先的血糖监测技术与更完善的数字化健康服务连接起来，帮助更多用户轻松、持续地管理血糖。</w:t>
      </w:r>
    </w:p>
    <w:p>
      <w:r>
        <w:rPr>
          <w:sz w:val="22"/>
        </w:rPr>
        <w:t>双方合作已有良好基础。以雅培瞬感2代为例，作为国内首个获批4周岁及以上儿童适应症的iCGM系统，自去年10月在京东健康独家首发以来取得亮眼销售成果。今年，双方合作进一步深化，京东健康让更多消费者用上更高标准、更新技术的iCGM产品，也推动国内血糖管理迈向高标准、精准化的新阶段。</w:t>
      </w:r>
    </w:p>
    <w:p>
      <w:r>
        <w:rPr>
          <w:sz w:val="22"/>
        </w:rPr>
        <w:t>根据战略合作规划，未来用户佩戴雅培iCGM设备后，可在京东健康APP上实时查看血糖数据和波动曲线，让原本不易感知的血糖变化一目了然。同时，京东健康将依托自研“京医千询”医疗大模型2.0能力，为用户提供AI智能分析、高低血糖实时预警，并通过HomeCare服务体系承接专业健康管理服务。</w:t>
      </w:r>
    </w:p>
    <w:p>
      <w:r>
        <w:rPr>
          <w:sz w:val="22"/>
        </w:rPr>
        <w:t>在具体服务过程中，专业健管师将基于用户连续血糖数据，结合饮食、运动、睡眠等生活习惯，定制个性化血糖干预方案，并提供长期追踪随访服务。用户不仅能“看见血糖”，更能在AI分析和专业服务支持下理解血糖波动原因，及时调整生活方式，实现从设备监测到院外精准管理的升级。</w:t>
      </w:r>
    </w:p>
    <w:p>
      <w:r>
        <w:rPr>
          <w:sz w:val="22"/>
        </w:rPr>
        <w:t>此次战略合作，是京东健康持续深化“供给+AI+HomeCare服务+全渠道”能力的重要落地，也为全球创新医疗器械在中国市场的数字化服务转化提供了新样本。未来，京东健康将继续携手全球优质医疗器械品牌，围绕AI健康管理、专业服务和慢病管理闭环持续深耕，推动全球领先医疗器械产品更高效触达中国用户，为用户提供更智能、更便捷、更可信赖的健康管理解决方案。</w:t>
      </w:r>
    </w:p>
    <w:p>
      <w:pPr>
        <w:jc w:val="center"/>
      </w:pPr>
      <w:r>
        <w:drawing>
          <wp:inline xmlns:a="http://schemas.openxmlformats.org/drawingml/2006/main" xmlns:pic="http://schemas.openxmlformats.org/drawingml/2006/picture">
            <wp:extent cx="4876800" cy="327355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76800" cy="3273552"/>
                    </a:xfrm>
                    <a:prstGeom prst="rect"/>
                  </pic:spPr>
                </pic:pic>
              </a:graphicData>
            </a:graphic>
          </wp:inline>
        </w:drawing>
      </w:r>
    </w:p>
    <w:p>
      <w:pPr>
        <w:jc w:val="center"/>
      </w:pPr>
      <w:r>
        <w:drawing>
          <wp:inline xmlns:a="http://schemas.openxmlformats.org/drawingml/2006/main" xmlns:pic="http://schemas.openxmlformats.org/drawingml/2006/picture">
            <wp:extent cx="4876800" cy="2432304"/>
            <wp:docPr id="3" name="Picture 3"/>
            <wp:cNvGraphicFramePr>
              <a:graphicFrameLocks noChangeAspect="1"/>
            </wp:cNvGraphicFramePr>
            <a:graphic>
              <a:graphicData uri="http://schemas.openxmlformats.org/drawingml/2006/picture">
                <pic:pic>
                  <pic:nvPicPr>
                    <pic:cNvPr id="0" name="image.gif"/>
                    <pic:cNvPicPr/>
                  </pic:nvPicPr>
                  <pic:blipFill>
                    <a:blip r:embed="rId11"/>
                    <a:stretch>
                      <a:fillRect/>
                    </a:stretch>
                  </pic:blipFill>
                  <pic:spPr>
                    <a:xfrm>
                      <a:off x="0" y="0"/>
                      <a:ext cx="4876800" cy="2432304"/>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438400" cy="1901952"/>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38400" cy="1901952"/>
                    </a:xfrm>
                    <a:prstGeom prst="rect"/>
                  </pic:spPr>
                </pic:pic>
              </a:graphicData>
            </a:graphic>
          </wp:inline>
        </w:drawing>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gif"/><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