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74D9B7E2" w14:textId="77777777" w:rsidR="00BE04DB" w:rsidRDefault="00BE04DB" w:rsidP="001D7D7E">
      <w:pPr>
        <w:spacing w:before="100" w:beforeAutospacing="1" w:after="100" w:afterAutospacing="1" w:line="240" w:lineRule="auto"/>
        <w:rPr>
          <w:rFonts w:eastAsia="Times New Roman" w:cs="Arial"/>
          <w:kern w:val="0"/>
          <w:lang w:eastAsia="en-AU"/>
          <w14:ligatures w14:val="none"/>
        </w:rPr>
      </w:pPr>
      <w:r w:rsidRPr="00BE04DB">
        <w:rPr>
          <w:rFonts w:eastAsia="Times New Roman" w:cs="Arial"/>
          <w:kern w:val="0"/>
          <w:highlight w:val="green"/>
          <w:lang w:eastAsia="en-AU"/>
          <w14:ligatures w14:val="none"/>
        </w:rPr>
        <w:t xml:space="preserve">This section provides a concise, organisation-wide view of </w:t>
      </w:r>
      <w:r w:rsidRPr="00BE04DB">
        <w:rPr>
          <w:rFonts w:eastAsia="Times New Roman" w:cs="Arial"/>
          <w:b/>
          <w:bCs/>
          <w:kern w:val="0"/>
          <w:highlight w:val="green"/>
          <w:lang w:eastAsia="en-AU"/>
          <w14:ligatures w14:val="none"/>
        </w:rPr>
        <w:t>{{org_name}}</w:t>
      </w:r>
      <w:r w:rsidRPr="00BE04DB">
        <w:rPr>
          <w:rFonts w:eastAsia="Times New Roman" w:cs="Arial"/>
          <w:kern w:val="0"/>
          <w:highlight w:val="green"/>
          <w:lang w:eastAsia="en-AU"/>
          <w14:ligatures w14:val="none"/>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 xml:space="preserve">{{org_name}} has achieved an overall Organisation-wide AI Maturity score of </w:t>
      </w:r>
      <w:r w:rsidRPr="00167E14">
        <w:rPr>
          <w:rFonts w:eastAsia="Times New Roman" w:cs="Arial"/>
          <w:b/>
          <w:bCs/>
          <w:kern w:val="0"/>
          <w:highlight w:val="green"/>
          <w:lang w:val="en-AU" w:eastAsia="en-AU"/>
          <w14:ligatures w14:val="none"/>
        </w:rPr>
        <w:t>{{overall.score}}</w:t>
      </w:r>
      <w:r w:rsidRPr="00167E14">
        <w:rPr>
          <w:rFonts w:eastAsia="Times New Roman" w:cs="Arial"/>
          <w:kern w:val="0"/>
          <w:highlight w:val="green"/>
          <w:lang w:val="en-AU" w:eastAsia="en-AU"/>
          <w14:ligatures w14:val="none"/>
        </w:rPr>
        <w:t xml:space="preserve">, corresponding to a </w:t>
      </w:r>
      <w:r w:rsidRPr="00167E14">
        <w:rPr>
          <w:rFonts w:eastAsia="Times New Roman" w:cs="Arial"/>
          <w:b/>
          <w:bCs/>
          <w:kern w:val="0"/>
          <w:highlight w:val="green"/>
          <w:lang w:val="en-AU" w:eastAsia="en-AU"/>
          <w14:ligatures w14:val="none"/>
        </w:rPr>
        <w:t>{{overall.tier}}</w:t>
      </w:r>
      <w:r w:rsidRPr="00167E14">
        <w:rPr>
          <w:rFonts w:eastAsia="Times New Roman" w:cs="Arial"/>
          <w:kern w:val="0"/>
          <w:highlight w:val="green"/>
          <w:lang w:val="en-AU" w:eastAsia="en-AU"/>
          <w14:ligatures w14:val="none"/>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54571A" w:rsidRDefault="0054571A" w:rsidP="0054571A">
      <w:pPr>
        <w:spacing w:before="100" w:beforeAutospacing="1" w:after="100" w:afterAutospacing="1" w:line="240" w:lineRule="auto"/>
        <w:rPr>
          <w:rFonts w:eastAsia="Times New Roman" w:cs="Arial"/>
          <w:kern w:val="0"/>
          <w:lang w:val="en-AU" w:eastAsia="en-AU"/>
          <w14:ligatures w14:val="none"/>
        </w:rPr>
      </w:pPr>
      <w:r w:rsidRPr="00167E14">
        <w:rPr>
          <w:rFonts w:eastAsia="Times New Roman" w:cs="Arial"/>
          <w:kern w:val="0"/>
          <w:highlight w:val="green"/>
          <w:lang w:val="en-AU" w:eastAsia="en-AU"/>
          <w14:ligatures w14:val="none"/>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7760D034" w14:textId="77777777" w:rsidR="0054571A" w:rsidRDefault="0054571A" w:rsidP="001D7D7E">
      <w:pPr>
        <w:spacing w:before="100" w:beforeAutospacing="1" w:after="100" w:afterAutospacing="1" w:line="240" w:lineRule="auto"/>
        <w:rPr>
          <w:rFonts w:eastAsia="Times New Roman" w:cs="Arial"/>
          <w:kern w:val="0"/>
          <w:lang w:eastAsia="en-AU"/>
          <w14:ligatures w14:val="none"/>
        </w:rPr>
      </w:pPr>
    </w:p>
    <w:p w14:paraId="1A0ACC4D" w14:textId="0ABFA2EB"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r w:rsidR="0080607A" w:rsidRPr="00A6046F">
        <w:rPr>
          <w:rFonts w:eastAsia="Times New Roman" w:cs="Arial"/>
          <w:kern w:val="0"/>
          <w:highlight w:val="yellow"/>
          <w:lang w:val="en-AU" w:eastAsia="en-AU"/>
          <w14:ligatures w14:val="none"/>
        </w:rPr>
        <w:t>ai.</w:t>
      </w:r>
      <w:r w:rsidR="00CB56A5">
        <w:rPr>
          <w:rFonts w:eastAsia="Times New Roman" w:cs="Arial"/>
          <w:kern w:val="0"/>
          <w:highlight w:val="yellow"/>
          <w:lang w:val="en-AU" w:eastAsia="en-AU"/>
          <w14:ligatures w14:val="none"/>
        </w:rPr>
        <w:t>o</w:t>
      </w:r>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10D52528" w:rsidR="000E19A4" w:rsidRPr="005052FC" w:rsidRDefault="00BE04DB" w:rsidP="000E19A4">
      <w:pPr>
        <w:pStyle w:val="Heading01"/>
        <w:rPr>
          <w:lang w:val="en-AU" w:eastAsia="en-AU"/>
        </w:rPr>
      </w:pPr>
      <w:bookmarkStart w:id="1" w:name="_Toc219659826"/>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Default="006B228E" w:rsidP="0015635D">
      <w:pPr>
        <w:spacing w:before="120" w:after="120" w:line="240" w:lineRule="auto"/>
      </w:pPr>
      <w:r w:rsidRPr="006B228E">
        <w:rPr>
          <w:highlight w:val="green"/>
        </w:rPr>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167E14" w:rsidRDefault="00167E14" w:rsidP="00167E14">
      <w:pPr>
        <w:spacing w:before="120" w:after="120" w:line="240" w:lineRule="auto"/>
        <w:rPr>
          <w:highlight w:val="green"/>
          <w:lang w:val="en-AU"/>
        </w:rPr>
      </w:pPr>
      <w:r w:rsidRPr="00167E14">
        <w:rPr>
          <w:highlight w:val="green"/>
          <w:lang w:val="en-AU"/>
        </w:rPr>
        <w:t>The Organisation-wide AI Maturity Assessment was conducted for {{org_name}}, operating within the {{industry}} sector. The assessment considered organisational practices across the business units and functions defined within scope, reflecting the size and operational complexity of the organisation ({{org_size}}).</w:t>
      </w:r>
    </w:p>
    <w:p w14:paraId="55D42B16" w14:textId="77777777" w:rsidR="00167E14" w:rsidRPr="00167E14" w:rsidRDefault="00167E14" w:rsidP="00167E14">
      <w:pPr>
        <w:spacing w:before="120" w:after="120" w:line="240" w:lineRule="auto"/>
        <w:rPr>
          <w:highlight w:val="green"/>
          <w:lang w:val="en-AU"/>
        </w:rPr>
      </w:pPr>
      <w:r w:rsidRPr="00167E14">
        <w:rPr>
          <w:highlight w:val="green"/>
          <w:lang w:val="en-AU"/>
        </w:rPr>
        <w:t>The assessment was completed on {{assessment_date}} using version {{framework_version}} of the AM AI SAFE framework and was facilitated by {{assessor_name}}. Results should be interpreted in light of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167E14">
        <w:rPr>
          <w:highlight w:val="green"/>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58F0A178" w14:textId="77777777" w:rsidR="00167E14" w:rsidRDefault="00167E14" w:rsidP="0015635D">
      <w:pPr>
        <w:spacing w:before="120" w:after="120" w:line="240" w:lineRule="auto"/>
      </w:pP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73540B52" w:rsidR="0016222B" w:rsidRDefault="0016222B" w:rsidP="0015635D">
      <w:pPr>
        <w:spacing w:before="120" w:after="120" w:line="240" w:lineRule="auto"/>
        <w:rPr>
          <w:lang w:val="en-AU"/>
        </w:rPr>
      </w:pPr>
      <w:r w:rsidRPr="00467A3B">
        <w:rPr>
          <w:highlight w:val="yellow"/>
          <w:lang w:val="en-AU"/>
        </w:rPr>
        <w:t>{{ai.</w:t>
      </w:r>
      <w:r w:rsidR="002C18B7">
        <w:rPr>
          <w:highlight w:val="yellow"/>
          <w:lang w:val="en-AU"/>
        </w:rPr>
        <w:t>o</w:t>
      </w:r>
      <w:r w:rsidR="00F23A5E">
        <w:rPr>
          <w:highlight w:val="yellow"/>
          <w:lang w:val="en-AU"/>
        </w:rPr>
        <w:t>_</w:t>
      </w:r>
      <w:r w:rsidRPr="00467A3B">
        <w:rPr>
          <w:highlight w:val="yellow"/>
          <w:lang w:val="en-AU"/>
        </w:rPr>
        <w:t>context_interpretation}}</w:t>
      </w:r>
    </w:p>
    <w:p w14:paraId="3B99790A" w14:textId="39B35B15" w:rsidR="00CB0337" w:rsidRPr="005052FC" w:rsidRDefault="006B228E" w:rsidP="00653DC3">
      <w:pPr>
        <w:pStyle w:val="Heading01"/>
        <w:rPr>
          <w:lang w:val="en-AU" w:eastAsia="en-AU"/>
        </w:rPr>
      </w:pPr>
      <w:bookmarkStart w:id="2" w:name="_Toc219659827"/>
      <w:r>
        <w:rPr>
          <w:lang w:val="en-AU" w:eastAsia="en-AU"/>
        </w:rPr>
        <w:t>AI Landscape Overview</w:t>
      </w:r>
      <w:bookmarkEnd w:id="2"/>
    </w:p>
    <w:p w14:paraId="1B065B73" w14:textId="77777777" w:rsidR="00104314" w:rsidRDefault="00104314" w:rsidP="00CB0337">
      <w:pPr>
        <w:spacing w:before="100" w:beforeAutospacing="1" w:after="100" w:afterAutospacing="1" w:line="240" w:lineRule="auto"/>
      </w:pPr>
      <w:r w:rsidRPr="00104314">
        <w:rPr>
          <w:highlight w:val="green"/>
        </w:rPr>
        <w:t xml:space="preserve">This section describes the current AI landscape within </w:t>
      </w:r>
      <w:r w:rsidRPr="00104314">
        <w:rPr>
          <w:b/>
          <w:bCs/>
          <w:highlight w:val="green"/>
        </w:rPr>
        <w:t>{{org_name}}</w:t>
      </w:r>
      <w:r w:rsidRPr="00104314">
        <w:rPr>
          <w:highlight w:val="green"/>
        </w:rPr>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305A439C"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{{org_name}} currently reports </w:t>
      </w:r>
      <w:r w:rsidRPr="002C35BA">
        <w:rPr>
          <w:b/>
          <w:bCs/>
          <w:highlight w:val="green"/>
          <w:lang w:val="en-AU"/>
        </w:rPr>
        <w:t>{{ai_project_count}}</w:t>
      </w:r>
      <w:r w:rsidRPr="002C35BA">
        <w:rPr>
          <w:highlight w:val="green"/>
          <w:lang w:val="en-AU"/>
        </w:rPr>
        <w:t xml:space="preserve"> AI-related initiatives across the organisation. These initiatives primarily support {{ai_primary_purpose}}, with AI being applied across the following functional areas:</w:t>
      </w:r>
    </w:p>
    <w:p w14:paraId="11E089E0" w14:textId="77777777" w:rsidR="002C35BA" w:rsidRPr="002C35BA" w:rsidRDefault="002C35BA" w:rsidP="002C35BA">
      <w:pPr>
        <w:spacing w:before="100" w:beforeAutospacing="1" w:after="100" w:afterAutospacing="1" w:line="240" w:lineRule="auto"/>
        <w:rPr>
          <w:highlight w:val="yellow"/>
          <w:lang w:val="en-AU"/>
        </w:rPr>
      </w:pPr>
      <w:r w:rsidRPr="002C35BA">
        <w:rPr>
          <w:highlight w:val="yellow"/>
          <w:lang w:val="en-AU"/>
        </w:rPr>
        <w:t>{{#each ai_usage_areas}}</w:t>
      </w:r>
    </w:p>
    <w:p w14:paraId="6E160474" w14:textId="77777777" w:rsidR="002C35BA" w:rsidRPr="002C35BA" w:rsidRDefault="002C35BA" w:rsidP="002C35BA">
      <w:pPr>
        <w:numPr>
          <w:ilvl w:val="0"/>
          <w:numId w:val="42"/>
        </w:numPr>
        <w:spacing w:before="100" w:beforeAutospacing="1" w:after="100" w:afterAutospacing="1" w:line="240" w:lineRule="auto"/>
        <w:rPr>
          <w:highlight w:val="yellow"/>
          <w:lang w:val="en-AU"/>
        </w:rPr>
      </w:pPr>
      <w:r w:rsidRPr="002C35BA">
        <w:rPr>
          <w:highlight w:val="yellow"/>
          <w:lang w:val="en-AU"/>
        </w:rPr>
        <w:t>{{this}}</w:t>
      </w:r>
      <w:r w:rsidRPr="002C35BA">
        <w:rPr>
          <w:highlight w:val="yellow"/>
          <w:lang w:val="en-AU"/>
        </w:rPr>
        <w:br/>
        <w:t>{{/each}}</w:t>
      </w:r>
    </w:p>
    <w:p w14:paraId="5DB5CB2D"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AI solutions are delivered through a </w:t>
      </w:r>
      <w:r w:rsidRPr="002C35BA">
        <w:rPr>
          <w:b/>
          <w:bCs/>
          <w:highlight w:val="green"/>
          <w:lang w:val="en-AU"/>
        </w:rPr>
        <w:t>{{ai_sourcing_model}}</w:t>
      </w:r>
      <w:r w:rsidRPr="002C35BA">
        <w:rPr>
          <w:highlight w:val="green"/>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2C35BA">
        <w:rPr>
          <w:highlight w:val="green"/>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6B9D90F" w14:textId="04786D50"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55792AE9"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F739F0">
        <w:rPr>
          <w:highlight w:val="yellow"/>
          <w:lang w:val="en-AU"/>
        </w:rPr>
        <w:t>r_</w:t>
      </w:r>
      <w:r w:rsidR="005A4312">
        <w:rPr>
          <w:highlight w:val="yellow"/>
          <w:lang w:val="en-AU"/>
        </w:rPr>
        <w:t>gov</w:t>
      </w:r>
      <w:r w:rsidR="00AD3BCA">
        <w:rPr>
          <w:highlight w:val="yellow"/>
          <w:lang w:val="en-AU"/>
        </w:rPr>
        <w:t>ernance_interpretation</w:t>
      </w:r>
      <w:r w:rsidRPr="0026295C">
        <w:rPr>
          <w:highlight w:val="yellow"/>
          <w:lang w:val="en-AU"/>
        </w:rPr>
        <w:t>}}</w:t>
      </w:r>
    </w:p>
    <w:p w14:paraId="47D80001" w14:textId="6984C813" w:rsidR="00CB0337" w:rsidRPr="005052FC" w:rsidRDefault="00104314" w:rsidP="00A87181">
      <w:pPr>
        <w:pStyle w:val="Heading01"/>
        <w:rPr>
          <w:lang w:val="en-AU" w:eastAsia="en-AU"/>
        </w:rPr>
      </w:pPr>
      <w:bookmarkStart w:id="3" w:name="_Toc219659828"/>
      <w:r>
        <w:rPr>
          <w:lang w:val="en-AU" w:eastAsia="en-AU"/>
        </w:rPr>
        <w:t>Governance, Oversight</w:t>
      </w:r>
      <w:r w:rsidR="00F3725F" w:rsidRPr="005052FC">
        <w:rPr>
          <w:lang w:val="en-AU" w:eastAsia="en-AU"/>
        </w:rPr>
        <w:t xml:space="preserve"> &amp; </w:t>
      </w:r>
      <w:r w:rsidR="00C02633">
        <w:rPr>
          <w:lang w:val="en-AU" w:eastAsia="en-AU"/>
        </w:rPr>
        <w:t xml:space="preserve">Accountability </w:t>
      </w:r>
      <w:bookmarkEnd w:id="3"/>
      <w:r w:rsidR="00C02633">
        <w:rPr>
          <w:lang w:val="en-AU" w:eastAsia="en-AU"/>
        </w:rPr>
        <w:t>Maturity</w:t>
      </w:r>
    </w:p>
    <w:p w14:paraId="02D911F4" w14:textId="77777777" w:rsidR="007076AA" w:rsidRDefault="007076AA" w:rsidP="00295242">
      <w:pPr>
        <w:spacing w:before="100" w:beforeAutospacing="1" w:after="100" w:afterAutospacing="1" w:line="240" w:lineRule="auto"/>
      </w:pPr>
      <w:r w:rsidRPr="007076AA">
        <w:rPr>
          <w:highlight w:val="green"/>
        </w:rPr>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Governance arrangements for AI within {{org_name}} currently reflect a </w:t>
      </w:r>
      <w:r w:rsidRPr="00DD063E">
        <w:rPr>
          <w:b/>
          <w:bCs/>
          <w:highlight w:val="green"/>
          <w:lang w:val="en-AU"/>
        </w:rPr>
        <w:t>{{overall.tier}}</w:t>
      </w:r>
      <w:r w:rsidRPr="00DD063E">
        <w:rPr>
          <w:highlight w:val="green"/>
          <w:lang w:val="en-AU"/>
        </w:rPr>
        <w:t xml:space="preserve"> level of organisational maturity. Oversight structures include an AI governance committee status of </w:t>
      </w:r>
      <w:r w:rsidRPr="00DD063E">
        <w:rPr>
          <w:b/>
          <w:bCs/>
          <w:highlight w:val="green"/>
          <w:lang w:val="en-AU"/>
        </w:rPr>
        <w:t>{{ai_governance_committee_status}}</w:t>
      </w:r>
      <w:r w:rsidRPr="00DD063E">
        <w:rPr>
          <w:highlight w:val="green"/>
          <w:lang w:val="en-AU"/>
        </w:rPr>
        <w:t xml:space="preserve">, with executive engagement described as </w:t>
      </w:r>
      <w:r w:rsidRPr="00DD063E">
        <w:rPr>
          <w:b/>
          <w:bCs/>
          <w:highlight w:val="green"/>
          <w:lang w:val="en-AU"/>
        </w:rPr>
        <w:t>{{exec_engagement_level}}</w:t>
      </w:r>
      <w:r w:rsidRPr="00DD063E">
        <w:rPr>
          <w:highlight w:val="green"/>
          <w:lang w:val="en-AU"/>
        </w:rPr>
        <w:t>.</w:t>
      </w:r>
    </w:p>
    <w:p w14:paraId="22A299CC"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An organisation-wide AI register is reported as </w:t>
      </w:r>
      <w:r w:rsidRPr="00DD063E">
        <w:rPr>
          <w:b/>
          <w:bCs/>
          <w:highlight w:val="green"/>
          <w:lang w:val="en-AU"/>
        </w:rPr>
        <w:t>{{ai_register_status}}</w:t>
      </w:r>
      <w:r w:rsidRPr="00DD063E">
        <w:rPr>
          <w:highlight w:val="green"/>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DD063E">
        <w:rPr>
          <w:highlight w:val="green"/>
          <w:lang w:val="en-AU"/>
        </w:rPr>
        <w:t>The maturity signals in this domain indicate whether AI governance is embedded and repeatable across the organisation, or whether oversight remains fragmented or dependent on informal practices and individual roles.</w:t>
      </w:r>
    </w:p>
    <w:p w14:paraId="1523C060" w14:textId="77777777" w:rsidR="00DD063E" w:rsidRDefault="00DD063E" w:rsidP="00295242">
      <w:pPr>
        <w:spacing w:before="100" w:beforeAutospacing="1" w:after="100" w:afterAutospacing="1" w:line="240" w:lineRule="auto"/>
      </w:pPr>
    </w:p>
    <w:p w14:paraId="23D42E16" w14:textId="4F2CC046"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3C5D8720" w:rsidR="00F91932" w:rsidRPr="00F91932" w:rsidRDefault="00F91932" w:rsidP="00295242">
      <w:pPr>
        <w:spacing w:before="100" w:beforeAutospacing="1" w:after="100" w:afterAutospacing="1" w:line="240" w:lineRule="auto"/>
      </w:pPr>
      <w:r w:rsidRPr="0094644E">
        <w:rPr>
          <w:highlight w:val="yellow"/>
        </w:rPr>
        <w:t>{{ai.</w:t>
      </w:r>
      <w:r w:rsidR="00A22C4B">
        <w:rPr>
          <w:highlight w:val="yellow"/>
        </w:rPr>
        <w:t>o</w:t>
      </w:r>
      <w:r w:rsidR="00F739F0">
        <w:rPr>
          <w:highlight w:val="yellow"/>
        </w:rPr>
        <w:t>_</w:t>
      </w:r>
      <w:r w:rsidR="00A22C4B">
        <w:rPr>
          <w:highlight w:val="yellow"/>
        </w:rPr>
        <w:t>gov_account</w:t>
      </w:r>
      <w:r w:rsidR="005748FC">
        <w:rPr>
          <w:highlight w:val="yellow"/>
        </w:rPr>
        <w:t>_interpretation</w:t>
      </w:r>
      <w:r w:rsidRPr="0094644E">
        <w:rPr>
          <w:highlight w:val="yellow"/>
        </w:rPr>
        <w:t>}}</w:t>
      </w:r>
    </w:p>
    <w:p w14:paraId="5E7C8DD2" w14:textId="02D0C890" w:rsidR="00C02633" w:rsidRDefault="00E92A54" w:rsidP="0030628A">
      <w:pPr>
        <w:pStyle w:val="Heading01"/>
        <w:rPr>
          <w:lang w:val="en-AU" w:eastAsia="en-AU"/>
        </w:rPr>
      </w:pPr>
      <w:bookmarkStart w:id="4" w:name="_Toc219659829"/>
      <w:r>
        <w:rPr>
          <w:lang w:val="en-AU" w:eastAsia="en-AU"/>
        </w:rPr>
        <w:t>Risk, Policy &amp; Framework Alignment Maturity</w:t>
      </w:r>
    </w:p>
    <w:p w14:paraId="1FE31CDE" w14:textId="6720E9BB" w:rsidR="00E92A54" w:rsidRDefault="00333E49" w:rsidP="00E92A54">
      <w:pPr>
        <w:pStyle w:val="Heading01"/>
        <w:numPr>
          <w:ilvl w:val="0"/>
          <w:numId w:val="0"/>
        </w:numPr>
        <w:rPr>
          <w:b w:val="0"/>
          <w:bCs w:val="0"/>
          <w:sz w:val="24"/>
          <w:szCs w:val="24"/>
          <w:lang w:eastAsia="en-AU"/>
        </w:rPr>
      </w:pPr>
      <w:r w:rsidRPr="00333E49">
        <w:rPr>
          <w:b w:val="0"/>
          <w:bCs w:val="0"/>
          <w:sz w:val="24"/>
          <w:szCs w:val="24"/>
          <w:highlight w:val="green"/>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{{org_name}} references the following AI-related frameworks and guidance when managing AI risk and policy considerations:</w:t>
      </w:r>
    </w:p>
    <w:p w14:paraId="4F263F59"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{{#each ai_frameworks}}</w:t>
      </w:r>
    </w:p>
    <w:p w14:paraId="095920F6" w14:textId="77777777" w:rsidR="00292A90" w:rsidRPr="00A35E7E" w:rsidRDefault="00292A90" w:rsidP="00A35E7E">
      <w:pPr>
        <w:pStyle w:val="Heading01"/>
        <w:numPr>
          <w:ilvl w:val="0"/>
          <w:numId w:val="0"/>
        </w:numPr>
        <w:rPr>
          <w:b w:val="0"/>
          <w:bCs w:val="0"/>
          <w:sz w:val="24"/>
          <w:szCs w:val="24"/>
          <w:highlight w:val="yellow"/>
          <w:lang w:eastAsia="en-AU"/>
        </w:rPr>
      </w:pPr>
      <w:r w:rsidRPr="00A35E7E">
        <w:rPr>
          <w:b w:val="0"/>
          <w:bCs w:val="0"/>
          <w:sz w:val="24"/>
          <w:szCs w:val="24"/>
          <w:highlight w:val="yellow"/>
          <w:lang w:eastAsia="en-AU"/>
        </w:rPr>
        <w:t>{{this}}</w:t>
      </w:r>
      <w:r w:rsidRPr="00A35E7E">
        <w:rPr>
          <w:b w:val="0"/>
          <w:bCs w:val="0"/>
          <w:sz w:val="24"/>
          <w:szCs w:val="24"/>
          <w:highlight w:val="yellow"/>
          <w:lang w:eastAsia="en-AU"/>
        </w:rPr>
        <w:br/>
        <w:t>{{/each}}</w:t>
      </w:r>
    </w:p>
    <w:p w14:paraId="3B5238DC"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AI risk assessments are applied at a level described as {{ai_risk_assessment_usage}}, while AI-related policies are reviewed on a {{policy_review_frequency}} basis. These practices shape how systematically AI risk is identified, assessed, and revisited over time.</w:t>
      </w:r>
    </w:p>
    <w:p w14:paraId="5C5C324D"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The maturity reflected in this domain indicates the extent to which AI risk management is embedded within broader organisational risk practices, rather than being addressed on an ad hoc or project-specific basis.</w:t>
      </w:r>
    </w:p>
    <w:p w14:paraId="1580AF49" w14:textId="6059C789" w:rsidR="00333E49" w:rsidRPr="001F5648" w:rsidRDefault="00333E49" w:rsidP="001F5648">
      <w:pPr>
        <w:pStyle w:val="Heading01"/>
        <w:rPr>
          <w:lang w:val="en-AU" w:eastAsia="en-AU"/>
        </w:rPr>
      </w:pPr>
      <w:r w:rsidRPr="001F5648">
        <w:rPr>
          <w:lang w:val="en-AU" w:eastAsia="en-AU"/>
        </w:rPr>
        <w:t>Culture, Capability &amp; Operating Model Maturity</w:t>
      </w:r>
    </w:p>
    <w:p w14:paraId="5399B3C2" w14:textId="58A8736F" w:rsidR="00333E49" w:rsidRDefault="001F5648" w:rsidP="00E92A54">
      <w:pPr>
        <w:pStyle w:val="Heading01"/>
        <w:numPr>
          <w:ilvl w:val="0"/>
          <w:numId w:val="0"/>
        </w:numPr>
        <w:rPr>
          <w:b w:val="0"/>
          <w:bCs w:val="0"/>
          <w:sz w:val="24"/>
          <w:szCs w:val="24"/>
          <w:lang w:eastAsia="en-AU"/>
        </w:rPr>
      </w:pPr>
      <w:r w:rsidRPr="001F5648">
        <w:rPr>
          <w:b w:val="0"/>
          <w:bCs w:val="0"/>
          <w:sz w:val="24"/>
          <w:szCs w:val="24"/>
          <w:highlight w:val="green"/>
          <w:lang w:eastAsia="en-AU"/>
        </w:rPr>
        <w:t>This section considers the cultural and capability foundations required to sustain responsible AI use at scale. It examines workforce awareness, leadership engagement, and the organisation’s operating model for AI-related activities. Particular attention is given to how well organisational culture, training, and leadership expectations align with the maturity posture reflected in the assessment results.</w:t>
      </w:r>
    </w:p>
    <w:p w14:paraId="4D7222F1" w14:textId="77777777" w:rsidR="00556143" w:rsidRPr="00556143" w:rsidRDefault="00B210D2"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d</w:t>
      </w:r>
      <w:r w:rsidR="00556143" w:rsidRPr="00556143">
        <w:rPr>
          <w:b w:val="0"/>
          <w:bCs w:val="0"/>
          <w:sz w:val="24"/>
          <w:szCs w:val="24"/>
          <w:highlight w:val="green"/>
          <w:lang w:eastAsia="en-AU"/>
        </w:rPr>
        <w:t xml:space="preserve">Organisational capability and culture play a significant role in sustaining AI responsibly at scale. Within {{org_name}}, AI training maturity is described as </w:t>
      </w:r>
      <w:r w:rsidR="00556143" w:rsidRPr="00AC03E6">
        <w:rPr>
          <w:sz w:val="24"/>
          <w:szCs w:val="24"/>
          <w:highlight w:val="green"/>
          <w:lang w:eastAsia="en-AU"/>
        </w:rPr>
        <w:t>{{ai_training_maturity}}</w:t>
      </w:r>
      <w:r w:rsidR="00556143" w:rsidRPr="00556143">
        <w:rPr>
          <w:b w:val="0"/>
          <w:bCs w:val="0"/>
          <w:sz w:val="24"/>
          <w:szCs w:val="24"/>
          <w:highlight w:val="green"/>
          <w:lang w:eastAsia="en-AU"/>
        </w:rPr>
        <w:t xml:space="preserve">, while executive engagement with AI-related topics is assessed as </w:t>
      </w:r>
      <w:r w:rsidR="00556143" w:rsidRPr="00AC03E6">
        <w:rPr>
          <w:sz w:val="24"/>
          <w:szCs w:val="24"/>
          <w:highlight w:val="green"/>
          <w:lang w:eastAsia="en-AU"/>
        </w:rPr>
        <w:t>{{exec_engagement_level}}</w:t>
      </w:r>
      <w:r w:rsidR="00556143" w:rsidRPr="00556143">
        <w:rPr>
          <w:b w:val="0"/>
          <w:bCs w:val="0"/>
          <w:sz w:val="24"/>
          <w:szCs w:val="24"/>
          <w:highlight w:val="green"/>
          <w:lang w:eastAsia="en-AU"/>
        </w:rPr>
        <w:t>.</w:t>
      </w:r>
    </w:p>
    <w:p w14:paraId="2EB36732"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The organisation’s self-assessed AI maturity rating is {{ai_maturity_self_rating}}, providing insight into leadership perception of AI maturity relative to assessed outcomes. Alignment or divergence between perceived and assessed maturity can influence decision-making, prioritisation, and risk tolerance.</w:t>
      </w:r>
    </w:p>
    <w:p w14:paraId="338AB55E"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This section reflects how cultural readiness, leadership tone, and operating models support or constrain the organisation’s ability to manage AI consistently across the enterprise.</w:t>
      </w:r>
    </w:p>
    <w:p w14:paraId="3A28AAB4" w14:textId="005478F0" w:rsidR="00B210D2" w:rsidRPr="00E92A54" w:rsidRDefault="00B210D2" w:rsidP="00E92A54">
      <w:pPr>
        <w:pStyle w:val="Heading01"/>
        <w:numPr>
          <w:ilvl w:val="0"/>
          <w:numId w:val="0"/>
        </w:numPr>
        <w:rPr>
          <w:b w:val="0"/>
          <w:bCs w:val="0"/>
          <w:sz w:val="24"/>
          <w:szCs w:val="24"/>
          <w:lang w:val="en-AU" w:eastAsia="en-AU"/>
        </w:rPr>
      </w:pPr>
    </w:p>
    <w:p w14:paraId="7C76B587" w14:textId="16944713" w:rsidR="00CB0337" w:rsidRPr="005052FC" w:rsidRDefault="000C0904" w:rsidP="0030628A">
      <w:pPr>
        <w:pStyle w:val="Heading01"/>
        <w:rPr>
          <w:lang w:val="en-AU" w:eastAsia="en-AU"/>
        </w:rPr>
      </w:pPr>
      <w:r>
        <w:rPr>
          <w:lang w:val="en-AU" w:eastAsia="en-AU"/>
        </w:rPr>
        <w:t xml:space="preserve">Organisation-wide AI Maturity </w:t>
      </w:r>
      <w:r w:rsidR="006712F7" w:rsidRPr="005052FC">
        <w:rPr>
          <w:lang w:val="en-AU" w:eastAsia="en-AU"/>
        </w:rPr>
        <w:t>Results</w:t>
      </w:r>
      <w:bookmarkEnd w:id="4"/>
    </w:p>
    <w:p w14:paraId="010ECF54" w14:textId="77777777" w:rsidR="000C0904" w:rsidRDefault="000C0904" w:rsidP="007F26EA">
      <w:pPr>
        <w:spacing w:before="100" w:beforeAutospacing="1" w:after="100" w:afterAutospacing="1" w:line="240" w:lineRule="auto"/>
      </w:pPr>
      <w:r w:rsidRPr="000C0904">
        <w:rPr>
          <w:highlight w:val="green"/>
        </w:rPr>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116204">
        <w:rPr>
          <w:highlight w:val="green"/>
        </w:rPr>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0DAE548" w14:textId="71509CF5" w:rsidR="002A7BDD" w:rsidRDefault="002A7BDD" w:rsidP="002A7BDD">
      <w:pPr>
        <w:spacing w:before="100" w:beforeAutospacing="1" w:after="100" w:afterAutospacing="1" w:line="240" w:lineRule="auto"/>
      </w:pPr>
      <w:r w:rsidRPr="0094644E">
        <w:rPr>
          <w:highlight w:val="yellow"/>
        </w:rPr>
        <w:t>{{ai.</w:t>
      </w:r>
      <w:r w:rsidR="00AE20C1">
        <w:rPr>
          <w:highlight w:val="yellow"/>
        </w:rPr>
        <w:t>o</w:t>
      </w:r>
      <w:r w:rsidR="004711FD">
        <w:rPr>
          <w:highlight w:val="yellow"/>
        </w:rPr>
        <w:t>_</w:t>
      </w:r>
      <w:r w:rsidR="00853E15">
        <w:rPr>
          <w:highlight w:val="yellow"/>
        </w:rPr>
        <w:t>domain_patterns</w:t>
      </w:r>
      <w:r w:rsidRPr="0094644E">
        <w:rPr>
          <w:highlight w:val="yellow"/>
        </w:rPr>
        <w:t>}}</w:t>
      </w:r>
    </w:p>
    <w:p w14:paraId="3070217B" w14:textId="7A780EB2" w:rsidR="001B326F" w:rsidRPr="00F91932" w:rsidRDefault="001B326F" w:rsidP="002A7BDD">
      <w:pPr>
        <w:spacing w:before="100" w:beforeAutospacing="1" w:after="100" w:afterAutospacing="1" w:line="240" w:lineRule="auto"/>
      </w:pPr>
      <w:r w:rsidRPr="001B326F">
        <w:rPr>
          <w:highlight w:val="yellow"/>
        </w:rPr>
        <w:t>The visual summaries provided illustrate how maturity is distributed across domains, highlighting areas of relative strength and constraint. These results should be interpreted collectively, as organisational maturity is influenced by the weakest domains as much as by the strongest.</w:t>
      </w:r>
    </w:p>
    <w:p w14:paraId="67A659B7" w14:textId="4E0901E1" w:rsidR="000C0904" w:rsidRDefault="000C0904" w:rsidP="000C45D3">
      <w:pPr>
        <w:pStyle w:val="Heading01"/>
        <w:rPr>
          <w:lang w:val="en-AU" w:eastAsia="en-AU"/>
        </w:rPr>
      </w:pPr>
      <w:bookmarkStart w:id="5" w:name="_Toc219659830"/>
      <w:r>
        <w:rPr>
          <w:lang w:val="en-AU" w:eastAsia="en-AU"/>
        </w:rPr>
        <w:t>Cross-Domain Maturity Patterns &amp; Observations</w:t>
      </w:r>
    </w:p>
    <w:p w14:paraId="0DA7B686" w14:textId="77777777" w:rsidR="00282194" w:rsidRDefault="00282194" w:rsidP="00282194">
      <w:pPr>
        <w:spacing w:before="100" w:beforeAutospacing="1" w:after="100" w:afterAutospacing="1" w:line="240" w:lineRule="auto"/>
        <w:rPr>
          <w:highlight w:val="green"/>
        </w:rPr>
      </w:pPr>
      <w:r w:rsidRPr="00282194">
        <w:rPr>
          <w:highlight w:val="green"/>
        </w:rPr>
        <w:t>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and at scale.</w:t>
      </w:r>
    </w:p>
    <w:p w14:paraId="73534864"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Analysis of maturity results across domains reveals several notable patterns. Key strengths identified include:</w:t>
      </w:r>
    </w:p>
    <w:p w14:paraId="5D0D097B" w14:textId="77777777" w:rsidR="00CD6C7A" w:rsidRPr="00CD6C7A" w:rsidRDefault="00CD6C7A" w:rsidP="00CD6C7A">
      <w:pPr>
        <w:spacing w:before="100" w:beforeAutospacing="1" w:after="100" w:afterAutospacing="1" w:line="240" w:lineRule="auto"/>
        <w:rPr>
          <w:highlight w:val="yellow"/>
          <w:lang w:val="en-AU"/>
        </w:rPr>
      </w:pPr>
      <w:r w:rsidRPr="00CD6C7A">
        <w:rPr>
          <w:highlight w:val="yellow"/>
          <w:lang w:val="en-AU"/>
        </w:rPr>
        <w:t>{{#each strengths}}</w:t>
      </w:r>
    </w:p>
    <w:p w14:paraId="583195EA" w14:textId="77777777" w:rsidR="00CD6C7A" w:rsidRPr="00CD6C7A" w:rsidRDefault="00CD6C7A" w:rsidP="00CD6C7A">
      <w:pPr>
        <w:numPr>
          <w:ilvl w:val="0"/>
          <w:numId w:val="46"/>
        </w:numPr>
        <w:spacing w:before="100" w:beforeAutospacing="1" w:after="100" w:afterAutospacing="1" w:line="240" w:lineRule="auto"/>
        <w:rPr>
          <w:highlight w:val="yellow"/>
          <w:lang w:val="en-AU"/>
        </w:rPr>
      </w:pPr>
      <w:r w:rsidRPr="00CD6C7A">
        <w:rPr>
          <w:highlight w:val="yellow"/>
          <w:lang w:val="en-AU"/>
        </w:rPr>
        <w:t>{{this}}</w:t>
      </w:r>
      <w:r w:rsidRPr="00CD6C7A">
        <w:rPr>
          <w:highlight w:val="yellow"/>
          <w:lang w:val="en-AU"/>
        </w:rPr>
        <w:br/>
        <w:t>{{/each}}</w:t>
      </w:r>
    </w:p>
    <w:p w14:paraId="015110DF"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Conversely, maturity constraints were observed in the following areas:</w:t>
      </w:r>
    </w:p>
    <w:p w14:paraId="1E00ECD7" w14:textId="77777777" w:rsidR="00CD6C7A" w:rsidRPr="00CD6C7A" w:rsidRDefault="00CD6C7A" w:rsidP="00CD6C7A">
      <w:pPr>
        <w:spacing w:before="100" w:beforeAutospacing="1" w:after="100" w:afterAutospacing="1" w:line="240" w:lineRule="auto"/>
        <w:rPr>
          <w:highlight w:val="yellow"/>
          <w:lang w:val="en-AU"/>
        </w:rPr>
      </w:pPr>
      <w:r w:rsidRPr="00CD6C7A">
        <w:rPr>
          <w:highlight w:val="yellow"/>
          <w:lang w:val="en-AU"/>
        </w:rPr>
        <w:t>{{#each gaps}}</w:t>
      </w:r>
    </w:p>
    <w:p w14:paraId="248AC5EE" w14:textId="77777777" w:rsidR="00CD6C7A" w:rsidRPr="00CD6C7A" w:rsidRDefault="00CD6C7A" w:rsidP="00CD6C7A">
      <w:pPr>
        <w:numPr>
          <w:ilvl w:val="0"/>
          <w:numId w:val="47"/>
        </w:numPr>
        <w:spacing w:before="100" w:beforeAutospacing="1" w:after="100" w:afterAutospacing="1" w:line="240" w:lineRule="auto"/>
        <w:rPr>
          <w:highlight w:val="yellow"/>
          <w:lang w:val="en-AU"/>
        </w:rPr>
      </w:pPr>
      <w:r w:rsidRPr="00CD6C7A">
        <w:rPr>
          <w:highlight w:val="yellow"/>
          <w:lang w:val="en-AU"/>
        </w:rPr>
        <w:t>{{this}}</w:t>
      </w:r>
      <w:r w:rsidRPr="00CD6C7A">
        <w:rPr>
          <w:highlight w:val="yellow"/>
          <w:lang w:val="en-AU"/>
        </w:rPr>
        <w:br/>
        <w:t>{{/each}}</w:t>
      </w:r>
    </w:p>
    <w:p w14:paraId="7AD807EC"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28123CE7" w14:textId="77777777" w:rsidR="00CD6C7A" w:rsidRPr="00282194" w:rsidRDefault="00CD6C7A" w:rsidP="00282194">
      <w:pPr>
        <w:spacing w:before="100" w:beforeAutospacing="1" w:after="100" w:afterAutospacing="1" w:line="240" w:lineRule="auto"/>
        <w:rPr>
          <w:highlight w:val="green"/>
        </w:rPr>
      </w:pPr>
    </w:p>
    <w:p w14:paraId="3AF04293" w14:textId="3034762D" w:rsidR="000C45D3" w:rsidRPr="005052FC" w:rsidRDefault="000C45D3" w:rsidP="000C45D3">
      <w:pPr>
        <w:pStyle w:val="Heading01"/>
        <w:rPr>
          <w:lang w:val="en-AU" w:eastAsia="en-AU"/>
        </w:rPr>
      </w:pPr>
      <w:r w:rsidRPr="005052FC">
        <w:rPr>
          <w:lang w:val="en-AU" w:eastAsia="en-AU"/>
        </w:rPr>
        <w:t>Sector Context &amp; Benchmarking (Indicative Only)</w:t>
      </w:r>
      <w:bookmarkEnd w:id="5"/>
    </w:p>
    <w:p w14:paraId="318FE945" w14:textId="21DEEE45" w:rsidR="00DB34F5" w:rsidRDefault="00DB34F5" w:rsidP="00DB34F5">
      <w:pPr>
        <w:spacing w:before="120" w:after="120" w:line="240" w:lineRule="auto"/>
      </w:pPr>
      <w:r w:rsidRPr="002F0077">
        <w:rPr>
          <w:highlight w:val="green"/>
        </w:rPr>
        <w:t xml:space="preserve">This section provides indicative sector benchmarking to help contextualise {{org_name}}’s AI readiness results against typical readiness levels observed across comparable organisations within the </w:t>
      </w:r>
      <w:r w:rsidR="00B27521" w:rsidRPr="002F0077">
        <w:rPr>
          <w:highlight w:val="green"/>
        </w:rPr>
        <w:t>{{industry}}</w:t>
      </w:r>
      <w:r w:rsidRPr="002F0077">
        <w:rPr>
          <w:highlight w:val="green"/>
        </w:rPr>
        <w:t xml:space="preserve"> sector. The radar chart below illustrates how domain-level </w:t>
      </w:r>
      <w:r w:rsidR="002F0077" w:rsidRPr="002F0077">
        <w:rPr>
          <w:highlight w:val="green"/>
        </w:rPr>
        <w:t>maturity</w:t>
      </w:r>
      <w:r w:rsidRPr="002F0077">
        <w:rPr>
          <w:highlight w:val="green"/>
        </w:rPr>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6432AD" w:rsidRDefault="006432AD" w:rsidP="006432AD">
      <w:pPr>
        <w:spacing w:before="120" w:after="120" w:line="240" w:lineRule="auto"/>
        <w:rPr>
          <w:highlight w:val="green"/>
          <w:lang w:val="en-AU"/>
        </w:rPr>
      </w:pPr>
      <w:r w:rsidRPr="006432AD">
        <w:rPr>
          <w:highlight w:val="green"/>
          <w:lang w:val="en-AU"/>
        </w:rPr>
        <w:t xml:space="preserve">{{org_name}}’s overall AI maturity score of </w:t>
      </w:r>
      <w:r w:rsidRPr="006432AD">
        <w:rPr>
          <w:b/>
          <w:bCs/>
          <w:highlight w:val="green"/>
          <w:lang w:val="en-AU"/>
        </w:rPr>
        <w:t>{{overall.score}}</w:t>
      </w:r>
      <w:r w:rsidRPr="006432AD">
        <w:rPr>
          <w:highlight w:val="green"/>
          <w:lang w:val="en-AU"/>
        </w:rPr>
        <w:t xml:space="preserve"> places it within the </w:t>
      </w:r>
      <w:r w:rsidRPr="006432AD">
        <w:rPr>
          <w:b/>
          <w:bCs/>
          <w:highlight w:val="green"/>
          <w:lang w:val="en-AU"/>
        </w:rPr>
        <w:t>{{overall.tier}}</w:t>
      </w:r>
      <w:r w:rsidRPr="006432AD">
        <w:rPr>
          <w:highlight w:val="green"/>
          <w:lang w:val="en-AU"/>
        </w:rPr>
        <w:t xml:space="preserve"> maturity tier when viewed in the context of the {{industry}}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6432AD">
        <w:rPr>
          <w:highlight w:val="green"/>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7A4EC8">
        <w:rPr>
          <w:highlight w:val="yellow"/>
          <w:lang w:val="en-AU"/>
        </w:rPr>
        <w:t>{{ai.</w:t>
      </w:r>
      <w:r w:rsidR="00D41EA5">
        <w:rPr>
          <w:highlight w:val="yellow"/>
          <w:lang w:val="en-AU"/>
        </w:rPr>
        <w:t>o</w:t>
      </w:r>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6" w:name="_Toc219659831"/>
      <w:r>
        <w:rPr>
          <w:lang w:val="en-AU" w:eastAsia="en-AU"/>
        </w:rPr>
        <w:t>Maturity</w:t>
      </w:r>
      <w:r w:rsidR="00A238B8" w:rsidRPr="00D87DC8">
        <w:rPr>
          <w:lang w:val="en-AU" w:eastAsia="en-AU"/>
        </w:rPr>
        <w:t>-Aligned Recommendations &amp; Next Steps</w:t>
      </w:r>
      <w:bookmarkEnd w:id="6"/>
    </w:p>
    <w:p w14:paraId="1AA176AC" w14:textId="56A26A61" w:rsidR="00F91866" w:rsidRPr="00DA1FD0" w:rsidRDefault="008107E5" w:rsidP="00F91866">
      <w:pPr>
        <w:spacing w:before="120" w:after="120" w:line="240" w:lineRule="auto"/>
        <w:rPr>
          <w:highlight w:val="green"/>
        </w:rPr>
      </w:pPr>
      <w:r w:rsidRPr="00DA1FD0">
        <w:rPr>
          <w:highlight w:val="green"/>
        </w:rPr>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r w:rsidR="00F91866" w:rsidRPr="00DA1FD0">
        <w:rPr>
          <w:highlight w:val="green"/>
        </w:rPr>
        <w:t>.</w:t>
      </w:r>
    </w:p>
    <w:p w14:paraId="3F52532A" w14:textId="6D36F54D" w:rsidR="00F91866" w:rsidRDefault="00F91866" w:rsidP="00F91866">
      <w:pPr>
        <w:spacing w:before="120" w:after="120" w:line="240" w:lineRule="auto"/>
      </w:pPr>
      <w:r w:rsidRPr="00DA1FD0">
        <w:rPr>
          <w:highlight w:val="green"/>
        </w:rPr>
        <w:t xml:space="preserve">High-priority actions represent prerequisites for safe progression beyond early AI exploration, while medium- and low-priority actions reflect enabling or future-state improvements that may be addressed as </w:t>
      </w:r>
      <w:r w:rsidR="008107E5" w:rsidRPr="00DA1FD0">
        <w:rPr>
          <w:highlight w:val="green"/>
        </w:rPr>
        <w:t>maturity develops</w:t>
      </w:r>
      <w:r w:rsidRPr="00DA1FD0">
        <w:rPr>
          <w:highlight w:val="green"/>
        </w:rPr>
        <w:t>. These actions should be scaled to organisational capacity and risk appetite, and should not be interpreted as mandatory or immediate requirements for AI deployment.</w:t>
      </w:r>
    </w:p>
    <w:p w14:paraId="76A6A59C" w14:textId="77777777" w:rsidR="00A1128E" w:rsidRPr="00A1128E" w:rsidRDefault="00A1128E" w:rsidP="00A1128E">
      <w:pPr>
        <w:spacing w:before="120" w:after="120" w:line="240" w:lineRule="auto"/>
        <w:rPr>
          <w:highlight w:val="green"/>
          <w:lang w:val="en-AU"/>
        </w:rPr>
      </w:pPr>
      <w:r w:rsidRPr="00A1128E">
        <w:rPr>
          <w:highlight w:val="green"/>
          <w:lang w:val="en-AU"/>
        </w:rPr>
        <w:t xml:space="preserve">Based on the assessment results, several maturity-aligned areas for uplift have been identified. These areas reflect organisational constraints and enablers associated with a </w:t>
      </w:r>
      <w:r w:rsidRPr="00A1128E">
        <w:rPr>
          <w:b/>
          <w:bCs/>
          <w:highlight w:val="green"/>
          <w:lang w:val="en-AU"/>
        </w:rPr>
        <w:t>{{overall.tier}}</w:t>
      </w:r>
      <w:r w:rsidRPr="00A1128E">
        <w:rPr>
          <w:highlight w:val="green"/>
          <w:lang w:val="en-AU"/>
        </w:rPr>
        <w:t xml:space="preserve"> maturity posture.</w:t>
      </w:r>
    </w:p>
    <w:p w14:paraId="722C377F" w14:textId="77777777" w:rsidR="00A1128E" w:rsidRPr="00A1128E" w:rsidRDefault="00A1128E" w:rsidP="00A1128E">
      <w:pPr>
        <w:spacing w:before="120" w:after="120" w:line="240" w:lineRule="auto"/>
        <w:rPr>
          <w:highlight w:val="green"/>
          <w:lang w:val="en-AU"/>
        </w:rPr>
      </w:pPr>
      <w:r w:rsidRPr="00A1128E">
        <w:rPr>
          <w:highlight w:val="green"/>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A1128E">
        <w:rPr>
          <w:highlight w:val="green"/>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2E742699" w:rsidR="00945829" w:rsidRPr="00E10F99" w:rsidRDefault="00E10F99" w:rsidP="00CB0337">
      <w:pPr>
        <w:spacing w:before="100" w:beforeAutospacing="1" w:after="100" w:afterAutospacing="1" w:line="240" w:lineRule="auto"/>
        <w:rPr>
          <w:lang w:val="en-AU"/>
        </w:rPr>
      </w:pPr>
      <w:r w:rsidRPr="00A23958">
        <w:rPr>
          <w:highlight w:val="yellow"/>
          <w:lang w:val="en-AU"/>
        </w:rPr>
        <w:t>{{ai.</w:t>
      </w:r>
      <w:r w:rsidR="00443945">
        <w:rPr>
          <w:highlight w:val="yellow"/>
          <w:lang w:val="en-AU"/>
        </w:rPr>
        <w:t>r_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6C3BED37" w14:textId="77777777" w:rsidR="00CA21FB" w:rsidRPr="00F23E01" w:rsidRDefault="00CA21FB" w:rsidP="00CB0337">
      <w:pPr>
        <w:spacing w:before="100" w:beforeAutospacing="1" w:after="100" w:afterAutospacing="1" w:line="240" w:lineRule="auto"/>
        <w:rPr>
          <w:highlight w:val="green"/>
        </w:rPr>
      </w:pPr>
      <w:r w:rsidRPr="00F23E01">
        <w:rPr>
          <w:highlight w:val="green"/>
        </w:rPr>
        <w:t>This section explains how the Organisation-wide AI Maturity Assessment fits within the broader AM AI SAFE framework. It outlines when progression to more detailed assessments—such as AI System Maturity or FAIRA AI Risk Assessments—may be appropriate, and where doing so prematurely may provide limited value. The pathway guidance is intended to support informed, risk-aware decision-making rather than mandate progression.</w:t>
      </w:r>
    </w:p>
    <w:p w14:paraId="57E79E52" w14:textId="2CF41152" w:rsidR="00C63D00" w:rsidRDefault="00C63D00" w:rsidP="00CB0337">
      <w:pPr>
        <w:spacing w:before="100" w:beforeAutospacing="1" w:after="100" w:afterAutospacing="1" w:line="240" w:lineRule="auto"/>
      </w:pPr>
      <w:r w:rsidRPr="00F23E01">
        <w:rPr>
          <w:highlight w:val="green"/>
        </w:rPr>
        <w:t xml:space="preserve">Progression through the AM AI SAFE framework is intentionally staged and risk-informed. The recommended pathway below reflects {{org_name}}’s current </w:t>
      </w:r>
      <w:r w:rsidR="00CA21FB" w:rsidRPr="00F23E01">
        <w:rPr>
          <w:highlight w:val="green"/>
        </w:rPr>
        <w:t>organ</w:t>
      </w:r>
      <w:r w:rsidR="00AD1509" w:rsidRPr="00F23E01">
        <w:rPr>
          <w:highlight w:val="green"/>
        </w:rPr>
        <w:t xml:space="preserve">isation-wide AI maturity </w:t>
      </w:r>
      <w:r w:rsidRPr="00F23E01">
        <w:rPr>
          <w:highlight w:val="green"/>
        </w:rPr>
        <w:t>score and is designed to support confident, proportionate advancement rather than premature assessment activity.</w:t>
      </w:r>
    </w:p>
    <w:p w14:paraId="030FD4EA" w14:textId="77777777" w:rsidR="00D069F0" w:rsidRPr="00D069F0" w:rsidRDefault="00D069F0" w:rsidP="00D069F0">
      <w:pPr>
        <w:spacing w:before="100" w:beforeAutospacing="1" w:after="100" w:afterAutospacing="1" w:line="240" w:lineRule="auto"/>
        <w:rPr>
          <w:highlight w:val="green"/>
          <w:lang w:val="en-AU"/>
        </w:rPr>
      </w:pPr>
      <w:r w:rsidRPr="00D069F0">
        <w:rPr>
          <w:highlight w:val="green"/>
          <w:lang w:val="en-AU"/>
        </w:rPr>
        <w:t>The Organisation-wide AI Maturity Assessment represents a mid-point within the AM AI SAFE framework. Based on the current maturity posture (</w:t>
      </w:r>
      <w:r w:rsidRPr="00D069F0">
        <w:rPr>
          <w:b/>
          <w:bCs/>
          <w:highlight w:val="green"/>
          <w:lang w:val="en-AU"/>
        </w:rPr>
        <w:t>{{overall.tier}}</w:t>
      </w:r>
      <w:r w:rsidRPr="00D069F0">
        <w:rPr>
          <w:highlight w:val="green"/>
          <w:lang w:val="en-AU"/>
        </w:rPr>
        <w:t>), AI activity scale (</w:t>
      </w:r>
      <w:r w:rsidRPr="00D069F0">
        <w:rPr>
          <w:b/>
          <w:bCs/>
          <w:highlight w:val="green"/>
          <w:lang w:val="en-AU"/>
        </w:rPr>
        <w:t>{{ai_project_count}} initiatives</w:t>
      </w:r>
      <w:r w:rsidRPr="00D069F0">
        <w:rPr>
          <w:highlight w:val="green"/>
          <w:lang w:val="en-AU"/>
        </w:rPr>
        <w:t>), and sourcing model (</w:t>
      </w:r>
      <w:r w:rsidRPr="00D069F0">
        <w:rPr>
          <w:b/>
          <w:bCs/>
          <w:highlight w:val="green"/>
          <w:lang w:val="en-AU"/>
        </w:rPr>
        <w:t>{{ai_sourcing_model}}</w:t>
      </w:r>
      <w:r w:rsidRPr="00D069F0">
        <w:rPr>
          <w:highlight w:val="green"/>
          <w:lang w:val="en-AU"/>
        </w:rPr>
        <w:t>), progression to further assessments may be considered selectively.</w:t>
      </w:r>
    </w:p>
    <w:p w14:paraId="1167C7E3" w14:textId="77777777" w:rsidR="00D069F0" w:rsidRPr="00D069F0" w:rsidRDefault="00D069F0" w:rsidP="00D069F0">
      <w:pPr>
        <w:spacing w:before="100" w:beforeAutospacing="1" w:after="100" w:afterAutospacing="1" w:line="240" w:lineRule="auto"/>
        <w:rPr>
          <w:highlight w:val="green"/>
          <w:lang w:val="en-AU"/>
        </w:rPr>
      </w:pPr>
      <w:r w:rsidRPr="00D069F0">
        <w:rPr>
          <w:highlight w:val="green"/>
          <w:lang w:val="en-AU"/>
        </w:rPr>
        <w:t>In some cases, progression to AI System Maturity Assessments or FAIRA AI Risk Assessments may provide additional insight. In others, undertaking system-level assessment prematurely may offer limited value until organisation-wide maturity is more consistent.</w:t>
      </w:r>
    </w:p>
    <w:p w14:paraId="556C0FC1" w14:textId="77777777" w:rsidR="00D069F0" w:rsidRPr="00D069F0" w:rsidRDefault="00D069F0" w:rsidP="00D069F0">
      <w:pPr>
        <w:spacing w:before="100" w:beforeAutospacing="1" w:after="100" w:afterAutospacing="1" w:line="240" w:lineRule="auto"/>
        <w:rPr>
          <w:lang w:val="en-AU"/>
        </w:rPr>
      </w:pPr>
      <w:r w:rsidRPr="00D069F0">
        <w:rPr>
          <w:highlight w:val="green"/>
          <w:lang w:val="en-AU"/>
        </w:rPr>
        <w:t>Pathway decisions should be guided by organisational risk, scale of AI use, and the readiness of governance and operating models to support deeper assurance activities.</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preparedness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r>
        <w:t>Strengthen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77777777" w:rsidR="00F52E70" w:rsidRPr="00F52E70" w:rsidRDefault="00F52E70" w:rsidP="00F52E70">
      <w:pPr>
        <w:spacing w:before="100" w:beforeAutospacing="1" w:after="100" w:afterAutospacing="1" w:line="240" w:lineRule="auto"/>
        <w:rPr>
          <w:lang w:val="en-AU"/>
        </w:rPr>
      </w:pPr>
      <w:r w:rsidRPr="00F52E70">
        <w:rPr>
          <w:highlight w:val="yellow"/>
          <w:lang w:val="en-AU"/>
        </w:rPr>
        <w:t>{{ai.r_pathway_rationale}}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6BE1B4F4" w14:textId="77777777" w:rsidR="006D21CA" w:rsidRPr="006D21CA" w:rsidRDefault="006D21CA" w:rsidP="006D21CA">
      <w:pPr>
        <w:pStyle w:val="Heading01"/>
        <w:numPr>
          <w:ilvl w:val="0"/>
          <w:numId w:val="0"/>
        </w:numPr>
        <w:rPr>
          <w:b w:val="0"/>
          <w:bCs w:val="0"/>
          <w:sz w:val="24"/>
          <w:szCs w:val="24"/>
          <w:highlight w:val="green"/>
        </w:rPr>
      </w:pPr>
      <w:r w:rsidRPr="006D21CA">
        <w:rPr>
          <w:b w:val="0"/>
          <w:bCs w:val="0"/>
          <w:sz w:val="24"/>
          <w:szCs w:val="24"/>
          <w:highlight w:val="green"/>
        </w:rPr>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Default="006D21CA" w:rsidP="006D21CA">
      <w:pPr>
        <w:pStyle w:val="Heading01"/>
        <w:numPr>
          <w:ilvl w:val="0"/>
          <w:numId w:val="0"/>
        </w:numPr>
        <w:rPr>
          <w:b w:val="0"/>
          <w:bCs w:val="0"/>
          <w:sz w:val="24"/>
          <w:szCs w:val="24"/>
        </w:rPr>
      </w:pPr>
      <w:r w:rsidRPr="006D21CA">
        <w:rPr>
          <w:b w:val="0"/>
          <w:bCs w:val="0"/>
          <w:sz w:val="24"/>
          <w:szCs w:val="24"/>
          <w:highlight w:val="green"/>
        </w:rPr>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Each item in the list below represents a single assessment question and includes:</w:t>
      </w:r>
    </w:p>
    <w:p w14:paraId="6797981D"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assessment domain to which the question relates</w:t>
      </w:r>
    </w:p>
    <w:p w14:paraId="3DB37278"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selected response and associated maturity level</w:t>
      </w:r>
    </w:p>
    <w:p w14:paraId="283B2895"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Any supporting contextual notes captured during the assessment</w:t>
      </w:r>
    </w:p>
    <w:p w14:paraId="00909E72" w14:textId="77777777"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The question-level responses reflect the organisation’s position at the time of assessment ({{assessment_date}}) and are based on information provided by participants across the business units and roles in scope.</w:t>
      </w:r>
    </w:p>
    <w:p w14:paraId="471B2560" w14:textId="77777777" w:rsidR="00895CCD" w:rsidRPr="00895CCD" w:rsidRDefault="00895CCD" w:rsidP="00895CCD">
      <w:pPr>
        <w:pStyle w:val="Heading01"/>
        <w:numPr>
          <w:ilvl w:val="0"/>
          <w:numId w:val="0"/>
        </w:numPr>
        <w:rPr>
          <w:b w:val="0"/>
          <w:bCs w:val="0"/>
          <w:sz w:val="24"/>
          <w:szCs w:val="24"/>
          <w:lang w:val="en-AU"/>
        </w:rPr>
      </w:pPr>
      <w:r w:rsidRPr="00355583">
        <w:rPr>
          <w:b w:val="0"/>
          <w:bCs w:val="0"/>
          <w:sz w:val="24"/>
          <w:szCs w:val="24"/>
          <w:highlight w:val="green"/>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022A0E76" w14:textId="77777777" w:rsidR="00384E8B" w:rsidRDefault="00384E8B"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DE2F" w14:textId="77777777" w:rsidR="003D4376" w:rsidRDefault="003D4376" w:rsidP="006D69CC">
      <w:pPr>
        <w:spacing w:after="0" w:line="240" w:lineRule="auto"/>
      </w:pPr>
      <w:r>
        <w:separator/>
      </w:r>
    </w:p>
  </w:endnote>
  <w:endnote w:type="continuationSeparator" w:id="0">
    <w:p w14:paraId="09235899" w14:textId="77777777" w:rsidR="003D4376" w:rsidRDefault="003D437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52633"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D8B0" w14:textId="77777777" w:rsidR="003D4376" w:rsidRDefault="003D4376" w:rsidP="006D69CC">
      <w:pPr>
        <w:spacing w:after="0" w:line="240" w:lineRule="auto"/>
      </w:pPr>
      <w:r>
        <w:separator/>
      </w:r>
    </w:p>
  </w:footnote>
  <w:footnote w:type="continuationSeparator" w:id="0">
    <w:p w14:paraId="45D8CFCD" w14:textId="77777777" w:rsidR="003D4376" w:rsidRDefault="003D437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F6DEF"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6"/>
  </w:num>
  <w:num w:numId="3" w16cid:durableId="2010522140">
    <w:abstractNumId w:val="5"/>
  </w:num>
  <w:num w:numId="4" w16cid:durableId="1079134156">
    <w:abstractNumId w:val="42"/>
  </w:num>
  <w:num w:numId="5" w16cid:durableId="347021345">
    <w:abstractNumId w:val="10"/>
  </w:num>
  <w:num w:numId="6" w16cid:durableId="629408757">
    <w:abstractNumId w:val="4"/>
  </w:num>
  <w:num w:numId="7" w16cid:durableId="250163549">
    <w:abstractNumId w:val="17"/>
  </w:num>
  <w:num w:numId="8" w16cid:durableId="889345641">
    <w:abstractNumId w:val="19"/>
  </w:num>
  <w:num w:numId="9" w16cid:durableId="739714298">
    <w:abstractNumId w:val="24"/>
  </w:num>
  <w:num w:numId="10" w16cid:durableId="1709839996">
    <w:abstractNumId w:val="45"/>
  </w:num>
  <w:num w:numId="11" w16cid:durableId="1511993961">
    <w:abstractNumId w:val="11"/>
  </w:num>
  <w:num w:numId="12" w16cid:durableId="227225655">
    <w:abstractNumId w:val="34"/>
  </w:num>
  <w:num w:numId="13" w16cid:durableId="1803038471">
    <w:abstractNumId w:val="36"/>
  </w:num>
  <w:num w:numId="14" w16cid:durableId="1912424534">
    <w:abstractNumId w:val="33"/>
  </w:num>
  <w:num w:numId="15" w16cid:durableId="487132551">
    <w:abstractNumId w:val="16"/>
  </w:num>
  <w:num w:numId="16" w16cid:durableId="981426188">
    <w:abstractNumId w:val="37"/>
  </w:num>
  <w:num w:numId="17" w16cid:durableId="1304575948">
    <w:abstractNumId w:val="3"/>
  </w:num>
  <w:num w:numId="18" w16cid:durableId="939679642">
    <w:abstractNumId w:val="27"/>
  </w:num>
  <w:num w:numId="19" w16cid:durableId="1048067840">
    <w:abstractNumId w:val="31"/>
  </w:num>
  <w:num w:numId="20" w16cid:durableId="833302635">
    <w:abstractNumId w:val="40"/>
  </w:num>
  <w:num w:numId="21" w16cid:durableId="1403985437">
    <w:abstractNumId w:val="41"/>
  </w:num>
  <w:num w:numId="22" w16cid:durableId="2013297653">
    <w:abstractNumId w:val="20"/>
  </w:num>
  <w:num w:numId="23" w16cid:durableId="1400901932">
    <w:abstractNumId w:val="0"/>
  </w:num>
  <w:num w:numId="24" w16cid:durableId="1931766240">
    <w:abstractNumId w:val="0"/>
  </w:num>
  <w:num w:numId="25" w16cid:durableId="931356145">
    <w:abstractNumId w:val="0"/>
  </w:num>
  <w:num w:numId="26" w16cid:durableId="1492721937">
    <w:abstractNumId w:val="23"/>
  </w:num>
  <w:num w:numId="27" w16cid:durableId="624309133">
    <w:abstractNumId w:val="8"/>
  </w:num>
  <w:num w:numId="28" w16cid:durableId="730494818">
    <w:abstractNumId w:val="28"/>
  </w:num>
  <w:num w:numId="29" w16cid:durableId="1042095628">
    <w:abstractNumId w:val="14"/>
  </w:num>
  <w:num w:numId="30" w16cid:durableId="1785465430">
    <w:abstractNumId w:val="18"/>
  </w:num>
  <w:num w:numId="31" w16cid:durableId="1365910190">
    <w:abstractNumId w:val="21"/>
  </w:num>
  <w:num w:numId="32" w16cid:durableId="750741513">
    <w:abstractNumId w:val="6"/>
  </w:num>
  <w:num w:numId="33" w16cid:durableId="1090152987">
    <w:abstractNumId w:val="29"/>
  </w:num>
  <w:num w:numId="34" w16cid:durableId="1461652951">
    <w:abstractNumId w:val="25"/>
  </w:num>
  <w:num w:numId="35" w16cid:durableId="471555574">
    <w:abstractNumId w:val="12"/>
  </w:num>
  <w:num w:numId="36" w16cid:durableId="291860671">
    <w:abstractNumId w:val="13"/>
  </w:num>
  <w:num w:numId="37" w16cid:durableId="1663849498">
    <w:abstractNumId w:val="15"/>
  </w:num>
  <w:num w:numId="38" w16cid:durableId="1780565648">
    <w:abstractNumId w:val="1"/>
  </w:num>
  <w:num w:numId="39" w16cid:durableId="170342353">
    <w:abstractNumId w:val="30"/>
  </w:num>
  <w:num w:numId="40" w16cid:durableId="1094861838">
    <w:abstractNumId w:val="2"/>
  </w:num>
  <w:num w:numId="41" w16cid:durableId="776674921">
    <w:abstractNumId w:val="0"/>
  </w:num>
  <w:num w:numId="42" w16cid:durableId="49814601">
    <w:abstractNumId w:val="35"/>
  </w:num>
  <w:num w:numId="43" w16cid:durableId="1406880810">
    <w:abstractNumId w:val="9"/>
  </w:num>
  <w:num w:numId="44" w16cid:durableId="1233850564">
    <w:abstractNumId w:val="32"/>
  </w:num>
  <w:num w:numId="45" w16cid:durableId="1806123212">
    <w:abstractNumId w:val="0"/>
  </w:num>
  <w:num w:numId="46" w16cid:durableId="2136413021">
    <w:abstractNumId w:val="44"/>
  </w:num>
  <w:num w:numId="47" w16cid:durableId="830756644">
    <w:abstractNumId w:val="43"/>
  </w:num>
  <w:num w:numId="48" w16cid:durableId="1950771042">
    <w:abstractNumId w:val="7"/>
  </w:num>
  <w:num w:numId="49" w16cid:durableId="706875588">
    <w:abstractNumId w:val="39"/>
  </w:num>
  <w:num w:numId="50" w16cid:durableId="2052798018">
    <w:abstractNumId w:val="22"/>
  </w:num>
  <w:num w:numId="51" w16cid:durableId="1867592823">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778DF"/>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6026"/>
    <w:rsid w:val="00116204"/>
    <w:rsid w:val="001254D9"/>
    <w:rsid w:val="00125D67"/>
    <w:rsid w:val="00130790"/>
    <w:rsid w:val="00131629"/>
    <w:rsid w:val="00136BEF"/>
    <w:rsid w:val="0014135A"/>
    <w:rsid w:val="001454E9"/>
    <w:rsid w:val="00146E75"/>
    <w:rsid w:val="0014744B"/>
    <w:rsid w:val="00147AF4"/>
    <w:rsid w:val="001522CF"/>
    <w:rsid w:val="00154D53"/>
    <w:rsid w:val="0015635D"/>
    <w:rsid w:val="00160F12"/>
    <w:rsid w:val="00161A7D"/>
    <w:rsid w:val="0016222B"/>
    <w:rsid w:val="0016232C"/>
    <w:rsid w:val="00162D7D"/>
    <w:rsid w:val="0016442F"/>
    <w:rsid w:val="00164D15"/>
    <w:rsid w:val="001655C1"/>
    <w:rsid w:val="00165BBE"/>
    <w:rsid w:val="00165C98"/>
    <w:rsid w:val="00167E1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835"/>
    <w:rsid w:val="001C293D"/>
    <w:rsid w:val="001C296C"/>
    <w:rsid w:val="001C3D44"/>
    <w:rsid w:val="001C5E8D"/>
    <w:rsid w:val="001D0B19"/>
    <w:rsid w:val="001D204B"/>
    <w:rsid w:val="001D3A46"/>
    <w:rsid w:val="001D40DC"/>
    <w:rsid w:val="001D7D7E"/>
    <w:rsid w:val="001E2FF2"/>
    <w:rsid w:val="001F102B"/>
    <w:rsid w:val="001F5648"/>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A90"/>
    <w:rsid w:val="00295242"/>
    <w:rsid w:val="00297A33"/>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4E2E"/>
    <w:rsid w:val="002F5C17"/>
    <w:rsid w:val="002F6BA4"/>
    <w:rsid w:val="00304128"/>
    <w:rsid w:val="00304C10"/>
    <w:rsid w:val="0030628A"/>
    <w:rsid w:val="00323003"/>
    <w:rsid w:val="0032360B"/>
    <w:rsid w:val="00333E49"/>
    <w:rsid w:val="003359AE"/>
    <w:rsid w:val="003441FD"/>
    <w:rsid w:val="00352900"/>
    <w:rsid w:val="00353AC8"/>
    <w:rsid w:val="0035503B"/>
    <w:rsid w:val="00355583"/>
    <w:rsid w:val="00361A06"/>
    <w:rsid w:val="00361DE1"/>
    <w:rsid w:val="0037780B"/>
    <w:rsid w:val="00384C4F"/>
    <w:rsid w:val="00384E8B"/>
    <w:rsid w:val="00390107"/>
    <w:rsid w:val="003908A3"/>
    <w:rsid w:val="003916B9"/>
    <w:rsid w:val="003950AB"/>
    <w:rsid w:val="00396CB6"/>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4376"/>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228E"/>
    <w:rsid w:val="006B22F6"/>
    <w:rsid w:val="006C1626"/>
    <w:rsid w:val="006D21CA"/>
    <w:rsid w:val="006D33CF"/>
    <w:rsid w:val="006D4BED"/>
    <w:rsid w:val="006D555D"/>
    <w:rsid w:val="006D69CC"/>
    <w:rsid w:val="006E1779"/>
    <w:rsid w:val="006E6486"/>
    <w:rsid w:val="006F13CA"/>
    <w:rsid w:val="006F33BE"/>
    <w:rsid w:val="006F59F0"/>
    <w:rsid w:val="007031EE"/>
    <w:rsid w:val="007076AA"/>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7F1E"/>
    <w:rsid w:val="00882DC8"/>
    <w:rsid w:val="0088407A"/>
    <w:rsid w:val="00886087"/>
    <w:rsid w:val="00891631"/>
    <w:rsid w:val="00894394"/>
    <w:rsid w:val="00895CCD"/>
    <w:rsid w:val="008960AE"/>
    <w:rsid w:val="008964F5"/>
    <w:rsid w:val="008A083B"/>
    <w:rsid w:val="008A1F99"/>
    <w:rsid w:val="008A6924"/>
    <w:rsid w:val="008B333A"/>
    <w:rsid w:val="008B5569"/>
    <w:rsid w:val="008B56CC"/>
    <w:rsid w:val="008B64F4"/>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75AE"/>
    <w:rsid w:val="00AE20C1"/>
    <w:rsid w:val="00AE5271"/>
    <w:rsid w:val="00AF1A0F"/>
    <w:rsid w:val="00B00180"/>
    <w:rsid w:val="00B027B9"/>
    <w:rsid w:val="00B02A8D"/>
    <w:rsid w:val="00B20C57"/>
    <w:rsid w:val="00B210D2"/>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A21FB"/>
    <w:rsid w:val="00CA626F"/>
    <w:rsid w:val="00CA6613"/>
    <w:rsid w:val="00CB0337"/>
    <w:rsid w:val="00CB0A6A"/>
    <w:rsid w:val="00CB18B8"/>
    <w:rsid w:val="00CB402E"/>
    <w:rsid w:val="00CB5474"/>
    <w:rsid w:val="00CB56A5"/>
    <w:rsid w:val="00CC64D0"/>
    <w:rsid w:val="00CC71F0"/>
    <w:rsid w:val="00CC77A5"/>
    <w:rsid w:val="00CC7C6C"/>
    <w:rsid w:val="00CD0744"/>
    <w:rsid w:val="00CD6C7A"/>
    <w:rsid w:val="00CE08E5"/>
    <w:rsid w:val="00CE220D"/>
    <w:rsid w:val="00CE239F"/>
    <w:rsid w:val="00CE2CA9"/>
    <w:rsid w:val="00CE5CD1"/>
    <w:rsid w:val="00CF1653"/>
    <w:rsid w:val="00CF39D7"/>
    <w:rsid w:val="00CF3C8E"/>
    <w:rsid w:val="00CF79B4"/>
    <w:rsid w:val="00D00DE3"/>
    <w:rsid w:val="00D042BB"/>
    <w:rsid w:val="00D069F0"/>
    <w:rsid w:val="00D11991"/>
    <w:rsid w:val="00D1307A"/>
    <w:rsid w:val="00D26668"/>
    <w:rsid w:val="00D30937"/>
    <w:rsid w:val="00D31ECB"/>
    <w:rsid w:val="00D364AB"/>
    <w:rsid w:val="00D36EE0"/>
    <w:rsid w:val="00D37670"/>
    <w:rsid w:val="00D40E44"/>
    <w:rsid w:val="00D41EA5"/>
    <w:rsid w:val="00D424A6"/>
    <w:rsid w:val="00D446EE"/>
    <w:rsid w:val="00D4578D"/>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1FD0"/>
    <w:rsid w:val="00DA4A15"/>
    <w:rsid w:val="00DB0DFB"/>
    <w:rsid w:val="00DB2D59"/>
    <w:rsid w:val="00DB34F5"/>
    <w:rsid w:val="00DC053A"/>
    <w:rsid w:val="00DC2F25"/>
    <w:rsid w:val="00DC3D47"/>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2D5"/>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15</Pages>
  <Words>3431</Words>
  <Characters>22269</Characters>
  <Application>Microsoft Office Word</Application>
  <DocSecurity>0</DocSecurity>
  <Lines>530</Lines>
  <Paragraphs>317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55</cp:revision>
  <cp:lastPrinted>2025-01-17T07:38:00Z</cp:lastPrinted>
  <dcterms:created xsi:type="dcterms:W3CDTF">2026-01-19T01:44:00Z</dcterms:created>
  <dcterms:modified xsi:type="dcterms:W3CDTF">2026-01-20T22:16:00Z</dcterms:modified>
</cp:coreProperties>
</file>