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 xml:space="preserve">Small Org</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 xml:space="preserve">2026-01-18</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 xml:space="preserve">Small Org</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 xml:space="preserve">Your organisation demonstrates Emerging AI awareness with an overall score of 64.0%, which is above the Retail / Hospitality sector AI awareness average of 41%. Your organisation is showing early signs of AI awareness, with isolated pockets of understanding and increasing curiosity. While some staff recognise potential use cases, overall knowledge remains inconsistent. Focus on foundational education, awareness sessions, and building shared language around AI to prepare for the next stage of capability development.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 xml:space="preserve">Small Org currently operates at an emerging tier of AI awareness, as evidenced by a score of 64.0%. This indicates that while the organization has made foundational strides in understanding and engaging with AI technologies, there remains significant work to be done to fully leverage these advancements. At this stage, the focus is on building a solid foundation for AI integration that aligns with industry standards and evolving customer expectations.</w:t>
        <w:br/>
        <w:t xml:space="preserve"/>
        <w:br/>
        <w:t xml:space="preserve">The organization displays strong capabilities in data and digital readiness, which positions it well for future growth in AI applications. However, it faces challenges in areas critical to fostering a comprehensive AI strategy, particularly in leadership alignment, broad awareness among staff, and the development of essential skills. This assessment specifically reflects the current level of awareness and foundational understanding of AI within the organization, underscoring the importance of enhancing these elements to advance further in its AI maturity journey.</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Current position:</w:t>
      </w:r>
      <w:r w:rsidRPr="001D7D7E">
        <w:rPr>
          <w:rFonts w:eastAsia="Times New Roman" w:cs="Arial"/>
          <w:kern w:val="0"/>
          <w:lang w:val="en-AU" w:eastAsia="en-AU"/>
          <w14:ligatures w14:val="none"/>
        </w:rPr>
        <w:t xml:space="preserve"> Emerging</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What’s working:</w:t>
      </w:r>
      <w:r w:rsidRPr="001D7D7E">
        <w:rPr>
          <w:rFonts w:eastAsia="Times New Roman" w:cs="Arial"/>
          <w:kern w:val="0"/>
          <w:lang w:val="en-AU" w:eastAsia="en-AU"/>
          <w14:ligatures w14:val="none"/>
        </w:rPr>
        <w:t xml:space="preserve"> Governance  Trust Foundations (70%), Data  Digital Readiness (90%)</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Primary gap:</w:t>
      </w:r>
      <w:r w:rsidRPr="001D7D7E">
        <w:rPr>
          <w:rFonts w:eastAsia="Times New Roman" w:cs="Arial"/>
          <w:kern w:val="0"/>
          <w:lang w:val="en-AU" w:eastAsia="en-AU"/>
          <w14:ligatures w14:val="none"/>
        </w:rPr>
        <w:t xml:space="preserve"> People  Skills (45%)</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Recommended focus (next 90 days):</w:t>
      </w:r>
      <w:r w:rsidRPr="001D7D7E">
        <w:rPr>
          <w:rFonts w:eastAsia="Times New Roman" w:cs="Arial"/>
          <w:kern w:val="0"/>
          <w:lang w:val="en-AU" w:eastAsia="en-AU"/>
          <w14:ligatures w14:val="none"/>
        </w:rPr>
        <w:t xml:space="preserve"> Enhance understanding of AI applications across the organization.</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 xml:space="preserve"/>
      </w:r>
      <w:r>
        <w:drawing>
          <wp:inline xmlns:a="http://schemas.openxmlformats.org/drawingml/2006/main" xmlns:pic="http://schemas.openxmlformats.org/drawingml/2006/picture">
            <wp:extent cx="1828800" cy="1359877"/>
            <wp:docPr id="1002" name="Picture 16796635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28800" cy="1359877"/>
                    </a:xfrm>
                    <a:prstGeom prst="rect"/>
                  </pic:spPr>
                </pic:pic>
              </a:graphicData>
            </a:graphic>
          </wp:inline>
        </w:drawing>
      </w:r>
      <w:r>
        <w:t xml:space="preserve"/>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 xml:space="preserve">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Retail / Hospitality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 xml:space="preserve">Small Org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 xml:space="preserve">Small Org</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 xml:space="preserve">Sector:</w:t>
      </w:r>
      <w:r w:rsidRPr="0015635D">
        <w:rPr>
          <w:lang w:val="en-AU"/>
        </w:rPr>
        <w:t xml:space="preserve"> Retail / Hospitality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 xml:space="preserve">Organisation size:</w:t>
      </w:r>
      <w:r w:rsidRPr="0015635D">
        <w:rPr>
          <w:lang w:val="en-AU"/>
        </w:rPr>
        <w:t xml:space="preserve"> 250–999</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 xml:space="preserve">Primary business unit assessed:</w:t>
      </w:r>
      <w:r w:rsidRPr="0015635D">
        <w:rPr>
          <w:lang w:val="en-AU"/>
        </w:rPr>
        <w:t xml:space="preserve"> Factory operations</w:t>
      </w:r>
    </w:p>
    <w:p w14:paraId="60A69C98" w14:textId="77777777" w:rsidR="0015635D" w:rsidRPr="0015635D" w:rsidRDefault="00624F85"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 xml:space="preserve">AI familiarity:</w:t>
      </w:r>
      <w:r w:rsidRPr="0015635D">
        <w:rPr>
          <w:lang w:val="en-AU"/>
        </w:rPr>
        <w:t xml:space="preserve"> Basic awareness</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w:t>
      </w:r>
      <w:r w:rsidRPr="0015635D">
        <w:rPr>
          <w:lang w:val="en-AU"/>
        </w:rPr>
        <w:t xml:space="preserve"> Developing</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 xml:space="preserve">Leadership interest in AI:</w:t>
      </w:r>
      <w:r w:rsidRPr="0015635D">
        <w:rPr>
          <w:lang w:val="en-AU"/>
        </w:rPr>
        <w:t xml:space="preserve"> Occasionally</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 xml:space="preserve">Comfort with technology change:</w:t>
      </w:r>
      <w:r w:rsidRPr="0015635D">
        <w:rPr>
          <w:lang w:val="en-AU"/>
        </w:rPr>
        <w:t xml:space="preserve"> Moderate</w:t>
      </w:r>
    </w:p>
    <w:p w14:paraId="2224E212" w14:textId="77777777" w:rsidR="0015635D" w:rsidRPr="0015635D" w:rsidRDefault="00624F85"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 xml:space="preserve">The organization operates within the retail and hospitality sector, indicating a landscape where customer experience and operational efficiency are pivotal. With a basic awareness of AI, there is a foundational understanding of its potential, which suggests an opportunity for deeper exploration and learning about how AI could enhance business practices. The current stage of digital transformation is developing, pointing to ongoing efforts to modernize processes and technologies.</w:t>
        <w:br/>
        <w:t xml:space="preserve"/>
        <w:br/>
        <w:t xml:space="preserve">Leadership interest in AI is described as occasional, which indicates a varying level of engagement with the potential applications of AI. This suggests that there may be opportunities for increased dialogue and education around AI initiatives to foster a more consistent interest among decision-makers. Additionally, a moderate comfort level with technology change implies that while there may be some apprehensions, there is also a readiness to adapt and explore new technological solutions as the organization continues its journey toward digital advancement.</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 xml:space="preserve">Retail / Hospitality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jc w:val="center"/>
        <w:rPr>
          <w:lang w:val="en-AU"/>
        </w:rPr>
      </w:pPr>
      <w:r w:rsidRPr="00D37670">
        <w:rPr>
          <w:lang w:val="en-AU"/>
        </w:rPr>
        <w:t xml:space="preserve"/>
      </w:r>
      <w:r>
        <w:drawing>
          <wp:inline xmlns:a="http://schemas.openxmlformats.org/drawingml/2006/main" xmlns:pic="http://schemas.openxmlformats.org/drawingml/2006/picture">
            <wp:extent cx="3200400" cy="2985725"/>
            <wp:docPr id="1003" name="Picture 167966353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2985725"/>
                    </a:xfrm>
                    <a:prstGeom prst="rect"/>
                  </pic:spPr>
                </pic:pic>
              </a:graphicData>
            </a:graphic>
          </wp:inline>
        </w:drawing>
      </w:r>
      <w:r>
        <w:t xml:space="preserve"/>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 xml:space="preserve">Small Org</w:t>
      </w:r>
      <w:r w:rsidR="005B1F27">
        <w:rPr>
          <w:i/>
          <w:iCs/>
          <w:lang w:val="en-AU"/>
        </w:rPr>
        <w:t xml:space="preserve"> AI awareness domain scores compared with </w:t>
      </w:r>
      <w:r w:rsidRPr="00304128">
        <w:rPr>
          <w:b/>
          <w:bCs/>
          <w:i/>
          <w:iCs/>
          <w:lang w:val="en-AU"/>
        </w:rPr>
        <w:t xml:space="preserve">Retail / Hospitality</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 xml:space="preserve">At this stage, the identified governance foundations such as a privacy policy, data governance practices, and a values or ethics charter matter significantly as they establish a framework for safe learning and experimentation. They provide guidance on responsible data usage and ethical behaviour, fostering an environment where team members can explore innovative ideas with a clear understanding of key principles. This foundation enhances awareness, enabling Small Org to navigate potential challenges thoughtfully, while promoting a culture that values informed decision-making and proactive engagement with emerging technologies.</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Digital / automation activity:</w:t>
      </w:r>
      <w:r w:rsidRPr="00FA2461">
        <w:rPr>
          <w:lang w:val="en-AU"/>
        </w:rPr>
        <w:t xml:space="preserve"> Some automation or analytics pilots</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Data  digital skill confidence:</w:t>
      </w:r>
      <w:r w:rsidRPr="00FA2461">
        <w:rPr>
          <w:lang w:val="en-AU"/>
        </w:rPr>
        <w:t xml:space="preserve"> Moderate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Openness to AI learning:</w:t>
      </w:r>
      <w:r w:rsidRPr="00FA2461">
        <w:rPr>
          <w:lang w:val="en-AU"/>
        </w:rPr>
        <w:t xml:space="preserve"> Moderate</w:t>
      </w:r>
    </w:p>
    <w:p w14:paraId="1B080394" w14:textId="741459C9" w:rsidR="00297A33" w:rsidRPr="00FA2461" w:rsidRDefault="00886087" w:rsidP="00297A33">
      <w:pPr>
        <w:spacing w:before="100" w:beforeAutospacing="1" w:after="100" w:afterAutospacing="1" w:line="240" w:lineRule="auto"/>
        <w:rPr>
          <w:lang w:val="en-AU"/>
        </w:rPr>
      </w:pPr>
      <w:r>
        <w:rPr>
          <w:lang w:val="en-AU"/>
        </w:rPr>
        <w:t xml:space="preserve">The organization's reported readiness signals suggest a thoughtful approach to AI awareness activities. With some experience in automation and analytics, along with moderate confidence in digital skills, it's essential to frame awareness initiatives in a way that builds on existing knowledge while fostering a comfortable learning environment. Given the moderate openness to AI learning, a gradual and supportive pace in introducing concepts will help cultivate engagement and understanding, ensuring that employees feel empowered rather than overwhelmed.</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 xml:space="preserve">Small Org</w:t>
      </w:r>
      <w:r w:rsidRPr="00900D95">
        <w:t xml:space="preserve"> responded across the key awareness domains assessed as part of the AI Awareness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People  Skills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45%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Awareness  Understanding</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55%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Leadership  Vision</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60%</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Governance  Trust Foundations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Established</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70%</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Data  Digital Readiness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Leading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90%</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 xml:space="preserve">The assessment results illustrate a nuanced landscape of awareness, characterized by a balance that suggests a generally consistent understanding across the various domains. The distribution of awareness appears relatively even, indicating that individuals have similarly engaged with the different aspects of the assessment. This uniformity may point to a well-rounded grasp of the subject matter, as opposed to significant disparities that would suggest strengths in some areas but weaknesses in others. Such a balanced awareness can facilitate a comprehensive approach to learning and application, fostering a holistic perspective rather than a fragmented one. Overall, the findings reflect a collective understanding that is both broad and integrated, although specific nuances within this balance remain undetailed.</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w:t>
      </w:r>
      <w:r w:rsidRPr="005648BA">
        <w:lastRenderedPageBreak/>
        <w:t xml:space="preserve">understanding, confidence, and responsible decision-making across leadership and key teams. The recommendations below are intentionally practical and proportionate, helping </w:t>
      </w:r>
      <w:r w:rsidR="0085042A">
        <w:t xml:space="preserve">Small Org</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 xml:space="preserve">Educate staff / leadership</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AU-01</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Run an introductory AI awareness session for staff and leaders explaining what AI is, how it works, and where it is already being used in customer-facing retail and hospitality environments.</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AU-05</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Facilitate a discussion about how AI may change day-to-day tasks in customer-facing retail and hospitality environments, emphasising that it is there to support, not replace, people.</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GT-01</w:t>
            </w:r>
          </w:p>
        </w:tc>
        <w:tc>
          <w:tcPr>
            <w:tcW w:w="2160" w:type="dxa"/>
            <w:tcMar>
              <w:top w:w="72" w:type="dxa"/>
              <w:left w:w="72" w:type="dxa"/>
              <w:bottom w:w="72" w:type="dxa"/>
              <w:right w:w="72" w:type="dxa"/>
            </w:tcMar>
          </w:tcPr>
          <w:p>
            <w:r>
              <w:rPr>
                <w:rFonts w:ascii="Arial" w:hAnsi="Arial"/>
                <w:sz w:val="20"/>
              </w:rPr>
              <w:t>Governance &amp; Trust Foundations</w:t>
            </w:r>
          </w:p>
        </w:tc>
        <w:tc>
          <w:tcPr>
            <w:tcW w:w="3741" w:type="dxa"/>
            <w:tcMar>
              <w:top w:w="72" w:type="dxa"/>
              <w:left w:w="72" w:type="dxa"/>
              <w:bottom w:w="72" w:type="dxa"/>
              <w:right w:w="72" w:type="dxa"/>
            </w:tcMar>
          </w:tcPr>
          <w:p>
            <w:r>
              <w:rPr>
                <w:rFonts w:ascii="Arial" w:hAnsi="Arial"/>
                <w:sz w:val="20"/>
              </w:rPr>
              <w:t>Send a reminder about privacy and data-handling expectations, including examples of what information from customer-facing retail and hospitality environments must never be entered into AI tools.</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LV-04</w:t>
            </w:r>
          </w:p>
        </w:tc>
        <w:tc>
          <w:tcPr>
            <w:tcW w:w="216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Set aside regular time for leaders to review examples of how similar organisations in customer-facing retail and hospitality environments are using AI safely and effectively.</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PS-04</w:t>
            </w:r>
          </w:p>
        </w:tc>
        <w:tc>
          <w:tcPr>
            <w:tcW w:w="2160" w:type="dxa"/>
            <w:tcMar>
              <w:top w:w="72" w:type="dxa"/>
              <w:left w:w="72" w:type="dxa"/>
              <w:bottom w:w="72" w:type="dxa"/>
              <w:right w:w="72" w:type="dxa"/>
            </w:tcMar>
          </w:tcPr>
          <w:p>
            <w:r>
              <w:rPr>
                <w:rFonts w:ascii="Arial" w:hAnsi="Arial"/>
                <w:sz w:val="20"/>
              </w:rPr>
              <w:t>People &amp; Skills</w:t>
            </w:r>
          </w:p>
        </w:tc>
        <w:tc>
          <w:tcPr>
            <w:tcW w:w="3741" w:type="dxa"/>
            <w:tcMar>
              <w:top w:w="72" w:type="dxa"/>
              <w:left w:w="72" w:type="dxa"/>
              <w:bottom w:w="72" w:type="dxa"/>
              <w:right w:w="72" w:type="dxa"/>
            </w:tcMar>
          </w:tcPr>
          <w:p>
            <w:r>
              <w:rPr>
                <w:rFonts w:ascii="Arial" w:hAnsi="Arial"/>
                <w:sz w:val="20"/>
              </w:rPr>
              <w:t>Share a curated set of beginner-friendly AI learning resources tailored to common roles and tasks in customer-facing retail and hospitality environments.</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 xml:space="preserve"/>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AU-02</w:t>
            </w:r>
          </w:p>
        </w:tc>
        <w:tc>
          <w:tcPr>
            <w:tcW w:w="192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Hold a short workshop with key teams to identify where AI could help reduce manual work, improve decision-making, or strengthen outcomes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GT-03</w:t>
            </w:r>
          </w:p>
        </w:tc>
        <w:tc>
          <w:tcPr>
            <w:tcW w:w="1920" w:type="dxa"/>
            <w:tcMar>
              <w:top w:w="72" w:type="dxa"/>
              <w:left w:w="72" w:type="dxa"/>
              <w:bottom w:w="72" w:type="dxa"/>
              <w:right w:w="72" w:type="dxa"/>
            </w:tcMar>
          </w:tcPr>
          <w:p>
            <w:r>
              <w:rPr>
                <w:rFonts w:ascii="Arial" w:hAnsi="Arial"/>
                <w:sz w:val="20"/>
              </w:rPr>
              <w:t>Governance &amp; Trust Foundations</w:t>
            </w:r>
          </w:p>
        </w:tc>
        <w:tc>
          <w:tcPr>
            <w:tcW w:w="3741" w:type="dxa"/>
            <w:tcMar>
              <w:top w:w="72" w:type="dxa"/>
              <w:left w:w="72" w:type="dxa"/>
              <w:bottom w:w="72" w:type="dxa"/>
              <w:right w:w="72" w:type="dxa"/>
            </w:tcMar>
          </w:tcPr>
          <w:p>
            <w:r>
              <w:rPr>
                <w:rFonts w:ascii="Arial" w:hAnsi="Arial"/>
                <w:sz w:val="20"/>
              </w:rPr>
              <w:t>Share a brief internal update explaining which AI tools or pilots are being explored, why they were chosen, and how they support work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LV-01</w:t>
            </w:r>
          </w:p>
        </w:tc>
        <w:tc>
          <w:tcPr>
            <w:tcW w:w="192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Include AI as a regular topic in leadership or governance meetings to explore how it could support strategic goals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LV-05</w:t>
            </w:r>
          </w:p>
        </w:tc>
        <w:tc>
          <w:tcPr>
            <w:tcW w:w="192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Create a simple evaluation checklist for AI tools that covers privacy, security, accuracy, usability, and risk considerations relevant to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PS-02</w:t>
            </w:r>
          </w:p>
        </w:tc>
        <w:tc>
          <w:tcPr>
            <w:tcW w:w="1920" w:type="dxa"/>
            <w:tcMar>
              <w:top w:w="72" w:type="dxa"/>
              <w:left w:w="72" w:type="dxa"/>
              <w:bottom w:w="72" w:type="dxa"/>
              <w:right w:w="72" w:type="dxa"/>
            </w:tcMar>
          </w:tcPr>
          <w:p>
            <w:r>
              <w:rPr>
                <w:rFonts w:ascii="Arial" w:hAnsi="Arial"/>
                <w:sz w:val="20"/>
              </w:rPr>
              <w:t>People &amp; Skills</w:t>
            </w:r>
          </w:p>
        </w:tc>
        <w:tc>
          <w:tcPr>
            <w:tcW w:w="3741" w:type="dxa"/>
            <w:tcMar>
              <w:top w:w="72" w:type="dxa"/>
              <w:left w:w="72" w:type="dxa"/>
              <w:bottom w:w="72" w:type="dxa"/>
              <w:right w:w="72" w:type="dxa"/>
            </w:tcMar>
          </w:tcPr>
          <w:p>
            <w:r>
              <w:rPr>
                <w:rFonts w:ascii="Arial" w:hAnsi="Arial"/>
                <w:sz w:val="20"/>
              </w:rPr>
              <w:t>Encourage staff to try a safe, low-risk AI-assisted tool—such as summarising text or generating simple drafts—and share what helped their work in customer-facing retail and hospitality environments.</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AU-03</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Create a simple myth-vs-fact guide that clarifies what AI can and cannot do in customer-facing retail and hospitality environments, avoiding hype and fear.</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DR-01</w:t>
            </w:r>
          </w:p>
        </w:tc>
        <w:tc>
          <w:tcPr>
            <w:tcW w:w="2160" w:type="dxa"/>
            <w:tcMar>
              <w:top w:w="72" w:type="dxa"/>
              <w:left w:w="72" w:type="dxa"/>
              <w:bottom w:w="72" w:type="dxa"/>
              <w:right w:w="72" w:type="dxa"/>
            </w:tcMar>
          </w:tcPr>
          <w:p>
            <w:r>
              <w:rPr>
                <w:rFonts w:ascii="Arial" w:hAnsi="Arial"/>
                <w:sz w:val="20"/>
              </w:rPr>
              <w:t>Data &amp; Digital Readiness</w:t>
            </w:r>
          </w:p>
        </w:tc>
        <w:tc>
          <w:tcPr>
            <w:tcW w:w="3741" w:type="dxa"/>
            <w:tcMar>
              <w:top w:w="72" w:type="dxa"/>
              <w:left w:w="72" w:type="dxa"/>
              <w:bottom w:w="72" w:type="dxa"/>
              <w:right w:w="72" w:type="dxa"/>
            </w:tcMar>
          </w:tcPr>
          <w:p>
            <w:r>
              <w:rPr>
                <w:rFonts w:ascii="Arial" w:hAnsi="Arial"/>
                <w:sz w:val="20"/>
              </w:rPr>
              <w:t>Document your main data sources—such as records, logs, transactions, or case information—so staff clearly understand what information exists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DR-05</w:t>
            </w:r>
          </w:p>
        </w:tc>
        <w:tc>
          <w:tcPr>
            <w:tcW w:w="2160" w:type="dxa"/>
            <w:tcMar>
              <w:top w:w="72" w:type="dxa"/>
              <w:left w:w="72" w:type="dxa"/>
              <w:bottom w:w="72" w:type="dxa"/>
              <w:right w:w="72" w:type="dxa"/>
            </w:tcMar>
          </w:tcPr>
          <w:p>
            <w:r>
              <w:rPr>
                <w:rFonts w:ascii="Arial" w:hAnsi="Arial"/>
                <w:sz w:val="20"/>
              </w:rPr>
              <w:t>Data &amp; Digital Readiness</w:t>
            </w:r>
          </w:p>
        </w:tc>
        <w:tc>
          <w:tcPr>
            <w:tcW w:w="3741" w:type="dxa"/>
            <w:tcMar>
              <w:top w:w="72" w:type="dxa"/>
              <w:left w:w="72" w:type="dxa"/>
              <w:bottom w:w="72" w:type="dxa"/>
              <w:right w:w="72" w:type="dxa"/>
            </w:tcMar>
          </w:tcPr>
          <w:p>
            <w:r>
              <w:rPr>
                <w:rFonts w:ascii="Arial" w:hAnsi="Arial"/>
                <w:sz w:val="20"/>
              </w:rPr>
              <w:t>Ask IT or system owners to confirm whether your current systems can support basic AI-assisted tools—such as summarisation or reporting—without creating undue risk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GT-04</w:t>
            </w:r>
          </w:p>
        </w:tc>
        <w:tc>
          <w:tcPr>
            <w:tcW w:w="2160" w:type="dxa"/>
            <w:tcMar>
              <w:top w:w="72" w:type="dxa"/>
              <w:left w:w="72" w:type="dxa"/>
              <w:bottom w:w="72" w:type="dxa"/>
              <w:right w:w="72" w:type="dxa"/>
            </w:tcMar>
          </w:tcPr>
          <w:p>
            <w:r>
              <w:rPr>
                <w:rFonts w:ascii="Arial" w:hAnsi="Arial"/>
                <w:sz w:val="20"/>
              </w:rPr>
              <w:t>Governance &amp; Trust Foundations</w:t>
            </w:r>
          </w:p>
        </w:tc>
        <w:tc>
          <w:tcPr>
            <w:tcW w:w="3741" w:type="dxa"/>
            <w:tcMar>
              <w:top w:w="72" w:type="dxa"/>
              <w:left w:w="72" w:type="dxa"/>
              <w:bottom w:w="72" w:type="dxa"/>
              <w:right w:w="72" w:type="dxa"/>
            </w:tcMar>
          </w:tcPr>
          <w:p>
            <w:r>
              <w:rPr>
                <w:rFonts w:ascii="Arial" w:hAnsi="Arial"/>
                <w:sz w:val="20"/>
              </w:rPr>
              <w:t>Introduce a basic AI risk-check process that teams must complete before trialling new tools, prompting them to consider accuracy, privacy, fairness, and operational impact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LV-02</w:t>
            </w:r>
          </w:p>
        </w:tc>
        <w:tc>
          <w:tcPr>
            <w:tcW w:w="216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Approve one small, low-risk AI pilot so the organisation can gain hands-on experience and learn from a controlled experiment.</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 xml:space="preserve">At the emerging awareness stage, our focus is on nurturing understanding and fostering a culture of learning. The actions selected reflect a careful consideration of what will provide momentum without overwhelming our current capacities. Each action is designed to facilitate clear communication and reinforce foundational knowledge that supports safe progress. This approach allows us to adapt and build on our experiences as we move forward. Importantly, while we are currently prioritizing these actions, there are numerous additional opportunities beyond what is presented here, ensuring that we can expand our efforts as we grow in awareness and capability.</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Foundations Assessment (this report)</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lastRenderedPageBreak/>
        <w:t>Appendix A – Detailed Responses</w:t>
      </w:r>
      <w:bookmarkEnd w:id="6"/>
    </w:p>
    <w:p w14:paraId="32078668" w14:textId="116F666A" w:rsidR="00B42DB8" w:rsidRDefault="00B42DB8" w:rsidP="004374AA">
      <w:pPr>
        <w:spacing w:before="120" w:after="60"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45445D1C" w14:textId="3DA4109C" w:rsidR="0068193C" w:rsidRPr="0068193C" w:rsidRDefault="0068193C" w:rsidP="0068193C">
      <w:pPr>
        <w:spacing w:after="0" w:line="240" w:lineRule="auto"/>
        <w:rPr>
          <w:rFonts w:cs="Arial"/>
        </w:rPr>
      </w:pPr>
      <w:r w:rsidRPr="0068193C">
        <w:rPr>
          <w:rFonts w:cs="Arial"/>
        </w:rPr>
        <w:t xml:space="preserve"/>
      </w:r>
    </w:p>
    <w:p w14:paraId="6AB4C4AD"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AU-01 – How familiar are staff and leaders with what artificial intelligence (AI) actually is?</w:t>
      </w:r>
    </w:p>
    <w:p w14:paraId="3359D711" w14:textId="77777777" w:rsidR="0068193C" w:rsidRPr="0068193C" w:rsidRDefault="0068193C" w:rsidP="0068193C">
      <w:pPr>
        <w:spacing w:after="0" w:line="240" w:lineRule="auto"/>
        <w:rPr>
          <w:rFonts w:cs="Arial"/>
        </w:rPr>
      </w:pPr>
      <w:r w:rsidRPr="0068193C">
        <w:rPr>
          <w:rFonts w:cs="Arial"/>
        </w:rPr>
        <w:t xml:space="preserve">- Your response: Most people have little or no understanding of AI or what it can do.</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AU-02 – How well does the organisation understand the potential benefits of AI for its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awareness of AI potential, but not connected to business goals.</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AU-03 – How confident is the organisation in separating AI myths from realistic capabilities?</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generally understand AI’s practical uses and limitations.</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AU-04 – How open are leaders and staff to learning about AI and its implications?</w:t>
      </w:r>
    </w:p>
    <w:p w14:paraId="3359D711" w14:textId="77777777" w:rsidR="0068193C" w:rsidRPr="0068193C" w:rsidRDefault="0068193C" w:rsidP="0068193C">
      <w:pPr>
        <w:spacing w:after="0" w:line="240" w:lineRule="auto"/>
        <w:rPr>
          <w:rFonts w:cs="Arial"/>
        </w:rPr>
      </w:pPr>
      <w:r w:rsidRPr="0068193C">
        <w:rPr>
          <w:rFonts w:cs="Arial"/>
        </w:rPr>
        <w:t xml:space="preserve">- Your response: AI learning is part of ongoing professional development and curiosity is celebrated.</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AU-05 – How clearly can staff and leaders explain how AI might impact their roles or services in the future?</w:t>
      </w:r>
    </w:p>
    <w:p w14:paraId="3359D711" w14:textId="77777777" w:rsidR="0068193C" w:rsidRPr="0068193C" w:rsidRDefault="0068193C" w:rsidP="0068193C">
      <w:pPr>
        <w:spacing w:after="0" w:line="240" w:lineRule="auto"/>
        <w:rPr>
          <w:rFonts w:cs="Arial"/>
        </w:rPr>
      </w:pPr>
      <w:r w:rsidRPr="0068193C">
        <w:rPr>
          <w:rFonts w:cs="Arial"/>
        </w:rPr>
        <w:t xml:space="preserve">- Your response: No discussion of AI’s impact on roles or services.</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LV-01 – How actively do leaders discuss or explore AI within the organisation’s strategic direction?</w:t>
      </w:r>
    </w:p>
    <w:p w14:paraId="3359D711" w14:textId="77777777" w:rsidR="0068193C" w:rsidRPr="0068193C" w:rsidRDefault="0068193C" w:rsidP="0068193C">
      <w:pPr>
        <w:spacing w:after="0" w:line="240" w:lineRule="auto"/>
        <w:rPr>
          <w:rFonts w:cs="Arial"/>
        </w:rPr>
      </w:pPr>
      <w:r w:rsidRPr="0068193C">
        <w:rPr>
          <w:rFonts w:cs="Arial"/>
        </w:rPr>
        <w:t xml:space="preserve">- Your response: AI occasionally mentioned but without direction or intent.</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LV-02 – How supportive are leaders of experimenting with small, low-risk digital or AI projects?</w:t>
      </w:r>
    </w:p>
    <w:p w14:paraId="3359D711" w14:textId="77777777" w:rsidR="0068193C" w:rsidRPr="0068193C" w:rsidRDefault="0068193C" w:rsidP="0068193C">
      <w:pPr>
        <w:spacing w:after="0" w:line="240" w:lineRule="auto"/>
        <w:rPr>
          <w:rFonts w:cs="Arial"/>
        </w:rPr>
      </w:pPr>
      <w:r w:rsidRPr="0068193C">
        <w:rPr>
          <w:rFonts w:cs="Arial"/>
        </w:rPr>
        <w:t xml:space="preserve">- Your response: Leaders encourage small-scale, safe experimentation to explore AI potential.</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LV-03 – How well does the organisation connect AI exploration to its mission or community outcomes?</w:t>
      </w:r>
    </w:p>
    <w:p w14:paraId="3359D711" w14:textId="77777777" w:rsidR="0068193C" w:rsidRPr="0068193C" w:rsidRDefault="0068193C" w:rsidP="0068193C">
      <w:pPr>
        <w:spacing w:after="0" w:line="240" w:lineRule="auto"/>
        <w:rPr>
          <w:rFonts w:cs="Arial"/>
        </w:rPr>
      </w:pPr>
      <w:r w:rsidRPr="0068193C">
        <w:rPr>
          <w:rFonts w:cs="Arial"/>
        </w:rPr>
        <w:t xml:space="preserve">- Your response: AI principles directly tied to measurable outcomes that improve community or business value.</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LV-04 – How willing is the organisation to invest time or resources in learning about AI responsibly?</w:t>
      </w:r>
    </w:p>
    <w:p w14:paraId="3359D711" w14:textId="77777777" w:rsidR="0068193C" w:rsidRPr="0068193C" w:rsidRDefault="0068193C" w:rsidP="0068193C">
      <w:pPr>
        <w:spacing w:after="0" w:line="240" w:lineRule="auto"/>
        <w:rPr>
          <w:rFonts w:cs="Arial"/>
        </w:rPr>
      </w:pPr>
      <w:r w:rsidRPr="0068193C">
        <w:rPr>
          <w:rFonts w:cs="Arial"/>
        </w:rPr>
        <w:t xml:space="preserve">- Your response: No time or resources allocated to AI learning.</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LV-05 – How confident are leaders in making informed decisions about adopting AI tools or vendors?</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awareness, but decisions largely rely on vendor advice.</w:t>
      </w:r>
    </w:p>
    <w:p w14:paraId="189C7075" w14:textId="77777777" w:rsidR="0068193C" w:rsidRPr="0068193C" w:rsidRDefault="0068193C" w:rsidP="0068193C">
      <w:pPr>
        <w:spacing w:after="0" w:line="240" w:lineRule="auto"/>
        <w:rPr>
          <w:rFonts w:cs="Arial"/>
        </w:rPr>
      </w:pPr>
      <w:r w:rsidRPr="0068193C">
        <w:rPr>
          <w:rFonts w:cs="Arial"/>
        </w:rPr>
        <w:t xml:space="preserve">- Domain: Leadership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DR-01 – How well does the organisation understand what data it has and where it’s stored?</w:t>
      </w:r>
    </w:p>
    <w:p w14:paraId="3359D711" w14:textId="77777777" w:rsidR="0068193C" w:rsidRPr="0068193C" w:rsidRDefault="0068193C" w:rsidP="0068193C">
      <w:pPr>
        <w:spacing w:after="0" w:line="240" w:lineRule="auto"/>
        <w:rPr>
          <w:rFonts w:cs="Arial"/>
        </w:rPr>
      </w:pPr>
      <w:r w:rsidRPr="0068193C">
        <w:rPr>
          <w:rFonts w:cs="Arial"/>
        </w:rPr>
        <w:t xml:space="preserve">- Your response: Data inventories or registers exist for major systems.</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DR-02 – How reliable and accurate does the organisation consider its data to be?</w:t>
      </w:r>
    </w:p>
    <w:p w14:paraId="3359D711" w14:textId="77777777" w:rsidR="0068193C" w:rsidRPr="0068193C" w:rsidRDefault="0068193C" w:rsidP="0068193C">
      <w:pPr>
        <w:spacing w:after="0" w:line="240" w:lineRule="auto"/>
        <w:rPr>
          <w:rFonts w:cs="Arial"/>
        </w:rPr>
      </w:pPr>
      <w:r w:rsidRPr="0068193C">
        <w:rPr>
          <w:rFonts w:cs="Arial"/>
        </w:rPr>
        <w:t xml:space="preserve">- Your response: Consistent data-quality practices applied organisation-wide.</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DR-03 – How easily can staff access the data they need to make decisions?</w:t>
      </w:r>
    </w:p>
    <w:p w14:paraId="3359D711" w14:textId="77777777" w:rsidR="0068193C" w:rsidRPr="0068193C" w:rsidRDefault="0068193C" w:rsidP="0068193C">
      <w:pPr>
        <w:spacing w:after="0" w:line="240" w:lineRule="auto"/>
        <w:rPr>
          <w:rFonts w:cs="Arial"/>
        </w:rPr>
      </w:pPr>
      <w:r w:rsidRPr="0068193C">
        <w:rPr>
          <w:rFonts w:cs="Arial"/>
        </w:rPr>
        <w:t xml:space="preserve">- Your response: Data accessibility and sharing supported by clear governance and secure platforms.</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DR-04 – How secure and protected is organisational data from unauthorised access or misuse?</w:t>
      </w:r>
    </w:p>
    <w:p w14:paraId="3359D711" w14:textId="77777777" w:rsidR="0068193C" w:rsidRPr="0068193C" w:rsidRDefault="0068193C" w:rsidP="0068193C">
      <w:pPr>
        <w:spacing w:after="0" w:line="240" w:lineRule="auto"/>
        <w:rPr>
          <w:rFonts w:cs="Arial"/>
        </w:rPr>
      </w:pPr>
      <w:r w:rsidRPr="0068193C">
        <w:rPr>
          <w:rFonts w:cs="Arial"/>
        </w:rPr>
        <w:t xml:space="preserve">- Your response: Security is proactive, reviewed regularly, and aligned with best-practice standards.</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DR-05 – How ready is the organisation’s technology infrastructure to support data analytics or AI exploration?</w:t>
      </w:r>
    </w:p>
    <w:p w14:paraId="3359D711" w14:textId="77777777" w:rsidR="0068193C" w:rsidRPr="0068193C" w:rsidRDefault="0068193C" w:rsidP="0068193C">
      <w:pPr>
        <w:spacing w:after="0" w:line="240" w:lineRule="auto"/>
        <w:rPr>
          <w:rFonts w:cs="Arial"/>
        </w:rPr>
      </w:pPr>
      <w:r w:rsidRPr="0068193C">
        <w:rPr>
          <w:rFonts w:cs="Arial"/>
        </w:rPr>
        <w:t xml:space="preserve">- Your response: Systems modern, stable, and support data-driven projects.</w:t>
      </w:r>
    </w:p>
    <w:p w14:paraId="189C7075" w14:textId="77777777" w:rsidR="0068193C" w:rsidRPr="0068193C" w:rsidRDefault="0068193C" w:rsidP="0068193C">
      <w:pPr>
        <w:spacing w:after="0" w:line="240" w:lineRule="auto"/>
        <w:rPr>
          <w:rFonts w:cs="Arial"/>
        </w:rPr>
      </w:pPr>
      <w:r w:rsidRPr="0068193C">
        <w:rPr>
          <w:rFonts w:cs="Arial"/>
        </w:rPr>
        <w:t xml:space="preserve">- Domain: Data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PS-01 – How comfortable are staff using data or digital tools in their daily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generally confident using digital tools and basic data analysis.</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PS-02 – How willing are staff to experiment with new tools or ways of working?</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openness, but limited support for experimentation.</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PS-03 – How confident are managers in supporting their teams through technology change?</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managers lead small-scale initiatives but support varies.</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PS-04 – How effectively does the organisation encourage staff to learn new skills related to technology or data?</w:t>
      </w:r>
    </w:p>
    <w:p w14:paraId="3359D711" w14:textId="77777777" w:rsidR="0068193C" w:rsidRPr="0068193C" w:rsidRDefault="0068193C" w:rsidP="0068193C">
      <w:pPr>
        <w:spacing w:after="0" w:line="240" w:lineRule="auto"/>
        <w:rPr>
          <w:rFonts w:cs="Arial"/>
        </w:rPr>
      </w:pPr>
      <w:r w:rsidRPr="0068193C">
        <w:rPr>
          <w:rFonts w:cs="Arial"/>
        </w:rPr>
        <w:t xml:space="preserve">- Your response: No structured training or learning opportunities available.</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PS-05 – How confident are staff that AI or automation will support, not replace, their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fear AI will replace roles or reduce job security.</w:t>
      </w:r>
    </w:p>
    <w:p w14:paraId="189C7075" w14:textId="77777777" w:rsidR="0068193C" w:rsidRPr="0068193C" w:rsidRDefault="0068193C" w:rsidP="0068193C">
      <w:pPr>
        <w:spacing w:after="0" w:line="240" w:lineRule="auto"/>
        <w:rPr>
          <w:rFonts w:cs="Arial"/>
        </w:rPr>
      </w:pPr>
      <w:r w:rsidRPr="0068193C">
        <w:rPr>
          <w:rFonts w:cs="Arial"/>
        </w:rPr>
        <w:t xml:space="preserve">- Domain: People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GT-01 – How aware is the organisation of privacy and data-protection responsibilities?</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have limited awareness of privacy obligations.</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GT-02 – How does the organisation ensure technology and data are used responsibly and ethically?</w:t>
      </w:r>
    </w:p>
    <w:p w14:paraId="3359D711" w14:textId="77777777" w:rsidR="0068193C" w:rsidRPr="0068193C" w:rsidRDefault="0068193C" w:rsidP="0068193C">
      <w:pPr>
        <w:spacing w:after="0" w:line="240" w:lineRule="auto"/>
        <w:rPr>
          <w:rFonts w:cs="Arial"/>
        </w:rPr>
      </w:pPr>
      <w:r w:rsidRPr="0068193C">
        <w:rPr>
          <w:rFonts w:cs="Arial"/>
        </w:rPr>
        <w:t xml:space="preserve">- Your response: Responsible-use principles documented and actively promoted.</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GT-03 – How open is the organisation to being transparent about how it uses data or emerging technologies?</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information shared reactively or when required.</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GT-04 – How prepared is the organisation to identify and manage risks associated with new digital tools or AI?</w:t>
      </w:r>
    </w:p>
    <w:p w14:paraId="3359D711" w14:textId="77777777" w:rsidR="0068193C" w:rsidRPr="0068193C" w:rsidRDefault="0068193C" w:rsidP="0068193C">
      <w:pPr>
        <w:spacing w:after="0" w:line="240" w:lineRule="auto"/>
        <w:rPr>
          <w:rFonts w:cs="Arial"/>
        </w:rPr>
      </w:pPr>
      <w:r w:rsidRPr="0068193C">
        <w:rPr>
          <w:rFonts w:cs="Arial"/>
        </w:rPr>
        <w:t xml:space="preserve">- Your response: Basic risk assessments performed before adopting new technologies.</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GT-05 – How confident is the organisation in its ability to adopt AI responsibly in the future?</w:t>
      </w:r>
    </w:p>
    <w:p w14:paraId="3359D711" w14:textId="77777777" w:rsidR="0068193C" w:rsidRPr="0068193C" w:rsidRDefault="0068193C" w:rsidP="0068193C">
      <w:pPr>
        <w:spacing w:after="0" w:line="240" w:lineRule="auto"/>
        <w:rPr>
          <w:rFonts w:cs="Arial"/>
        </w:rPr>
      </w:pPr>
      <w:r w:rsidRPr="0068193C">
        <w:rPr>
          <w:rFonts w:cs="Arial"/>
        </w:rPr>
        <w:t xml:space="preserve">- Your response: Confident and intentional about pursuing AI responsibly and strategically.</w:t>
      </w:r>
    </w:p>
    <w:p w14:paraId="189C7075" w14:textId="77777777" w:rsidR="0068193C" w:rsidRPr="0068193C" w:rsidRDefault="0068193C" w:rsidP="0068193C">
      <w:pPr>
        <w:spacing w:after="0" w:line="240" w:lineRule="auto"/>
        <w:rPr>
          <w:rFonts w:cs="Arial"/>
        </w:rPr>
      </w:pPr>
      <w:r w:rsidRPr="0068193C">
        <w:rPr>
          <w:rFonts w:cs="Arial"/>
        </w:rPr>
        <w:t xml:space="preserve">- Domain: Governance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29070827" w14:textId="5A1E03C4" w:rsidR="002A1C33" w:rsidRDefault="0068193C" w:rsidP="0068193C">
      <w:pPr>
        <w:spacing w:after="0" w:line="240" w:lineRule="auto"/>
        <w:rPr>
          <w:rFonts w:cs="Arial"/>
        </w:rPr>
      </w:pPr>
      <w:r w:rsidRPr="0068193C">
        <w:rPr>
          <w:rFonts w:cs="Arial"/>
        </w:rPr>
        <w:t xml:space="preserve"/>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04E2" w14:textId="77777777" w:rsidR="00624F85" w:rsidRDefault="00624F85" w:rsidP="006D69CC">
      <w:pPr>
        <w:spacing w:after="0" w:line="240" w:lineRule="auto"/>
      </w:pPr>
      <w:r>
        <w:separator/>
      </w:r>
    </w:p>
  </w:endnote>
  <w:endnote w:type="continuationSeparator" w:id="0">
    <w:p w14:paraId="7B2B4FEB" w14:textId="77777777" w:rsidR="00624F85" w:rsidRDefault="00624F8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1913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A49D" w14:textId="77777777" w:rsidR="00624F85" w:rsidRDefault="00624F85" w:rsidP="006D69CC">
      <w:pPr>
        <w:spacing w:after="0" w:line="240" w:lineRule="auto"/>
      </w:pPr>
      <w:r>
        <w:separator/>
      </w:r>
    </w:p>
  </w:footnote>
  <w:footnote w:type="continuationSeparator" w:id="0">
    <w:p w14:paraId="2E3CF372" w14:textId="77777777" w:rsidR="00624F85" w:rsidRDefault="00624F8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0E299"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3386"/>
    <w:rsid w:val="0025609F"/>
    <w:rsid w:val="00257181"/>
    <w:rsid w:val="00260CA6"/>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4AA"/>
    <w:rsid w:val="0043797F"/>
    <w:rsid w:val="004379BA"/>
    <w:rsid w:val="00440406"/>
    <w:rsid w:val="00441C54"/>
    <w:rsid w:val="00441D5D"/>
    <w:rsid w:val="00444C57"/>
    <w:rsid w:val="00445E53"/>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DC3"/>
    <w:rsid w:val="00653F2F"/>
    <w:rsid w:val="006573A6"/>
    <w:rsid w:val="00660152"/>
    <w:rsid w:val="0067717B"/>
    <w:rsid w:val="0068193C"/>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47A40"/>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6656A"/>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4EF8"/>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64D0"/>
    <w:rsid w:val="00CC71F0"/>
    <w:rsid w:val="00CC77A5"/>
    <w:rsid w:val="00CD0744"/>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1619</Words>
  <Characters>10153</Characters>
  <Application>Microsoft Office Word</Application>
  <DocSecurity>0</DocSecurity>
  <Lines>317</Lines>
  <Paragraphs>226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2026-01-17T08:51:00Z</dcterms:created>
  <dcterms:modified xsi:type="dcterms:W3CDTF">2026-01-17T08:56:00Z</dcterms:modified>
  <dc:identifier/>
  <dc:language/>
</cp:coreProperties>
</file>