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4AC8588F" w14:textId="77777777" w:rsidR="00D344A4" w:rsidRDefault="00D344A4" w:rsidP="00E35FA3">
      <w:pPr>
        <w:jc w:val="center"/>
        <w:rPr>
          <w:rFonts w:cs="Arial"/>
          <w:sz w:val="72"/>
          <w:szCs w:val="72"/>
        </w:rPr>
      </w:pPr>
      <w:r>
        <w:rPr>
          <w:rFonts w:cs="Arial"/>
          <w:sz w:val="72"/>
          <w:szCs w:val="72"/>
        </w:rPr>
        <w:t xml:space="preserve">Organisation-wide </w:t>
      </w:r>
    </w:p>
    <w:p w14:paraId="7B771234" w14:textId="3855B332" w:rsidR="00E35FA3" w:rsidRPr="00AC6F8B" w:rsidRDefault="00E35FA3" w:rsidP="00E35FA3">
      <w:pPr>
        <w:jc w:val="center"/>
        <w:rPr>
          <w:rFonts w:cs="Arial"/>
          <w:sz w:val="72"/>
          <w:szCs w:val="72"/>
        </w:rPr>
      </w:pPr>
      <w:r w:rsidRPr="00AC6F8B">
        <w:rPr>
          <w:rFonts w:cs="Arial"/>
          <w:sz w:val="72"/>
          <w:szCs w:val="72"/>
        </w:rPr>
        <w:t xml:space="preserve">AI </w:t>
      </w:r>
      <w:r w:rsidR="00D344A4">
        <w:rPr>
          <w:rFonts w:cs="Arial"/>
          <w:sz w:val="72"/>
          <w:szCs w:val="72"/>
        </w:rPr>
        <w:t>Maturity</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0E5494C8" w14:textId="4AA2AD1C" w:rsidR="00534F09" w:rsidRPr="00534F09" w:rsidRDefault="007145FC">
      <w:pPr>
        <w:pStyle w:val="TOC1"/>
        <w:rPr>
          <w:rFonts w:ascii="Arial" w:hAnsi="Arial" w:cs="Arial"/>
          <w:noProof/>
          <w:kern w:val="2"/>
          <w:sz w:val="24"/>
          <w:szCs w:val="24"/>
          <w:lang w:val="en-AU" w:eastAsia="en-AU"/>
          <w14:ligatures w14:val="standardContextual"/>
        </w:rPr>
      </w:pPr>
      <w:r w:rsidRPr="00534F09">
        <w:rPr>
          <w:rFonts w:ascii="Arial" w:hAnsi="Arial" w:cs="Arial"/>
          <w:sz w:val="24"/>
          <w:szCs w:val="24"/>
        </w:rPr>
        <w:fldChar w:fldCharType="begin"/>
      </w:r>
      <w:r w:rsidRPr="00534F09">
        <w:rPr>
          <w:rFonts w:ascii="Arial" w:hAnsi="Arial" w:cs="Arial"/>
          <w:sz w:val="24"/>
          <w:szCs w:val="24"/>
        </w:rPr>
        <w:instrText xml:space="preserve"> TOC \h \z \t "Heading01,1,Heading02,2,Heading03,3,Caption,4" </w:instrText>
      </w:r>
      <w:r w:rsidRPr="00534F09">
        <w:rPr>
          <w:rFonts w:ascii="Arial" w:hAnsi="Arial" w:cs="Arial"/>
          <w:sz w:val="24"/>
          <w:szCs w:val="24"/>
        </w:rPr>
        <w:fldChar w:fldCharType="separate"/>
      </w:r>
      <w:hyperlink w:anchor="_Toc219659825" w:history="1">
        <w:r w:rsidR="00534F09" w:rsidRPr="00534F09">
          <w:rPr>
            <w:rStyle w:val="Hyperlink"/>
            <w:rFonts w:ascii="Arial" w:hAnsi="Arial" w:cs="Arial"/>
            <w:noProof/>
            <w:sz w:val="24"/>
            <w:szCs w:val="24"/>
            <w:lang w:val="en-AU" w:eastAsia="en-AU"/>
          </w:rPr>
          <w:t>1.</w:t>
        </w:r>
        <w:r w:rsidR="00534F09" w:rsidRPr="00534F09">
          <w:rPr>
            <w:rFonts w:ascii="Arial" w:hAnsi="Arial" w:cs="Arial"/>
            <w:noProof/>
            <w:kern w:val="2"/>
            <w:sz w:val="24"/>
            <w:szCs w:val="24"/>
            <w:lang w:val="en-AU" w:eastAsia="en-AU"/>
            <w14:ligatures w14:val="standardContextual"/>
          </w:rPr>
          <w:tab/>
        </w:r>
        <w:r w:rsidR="00534F09" w:rsidRPr="00534F09">
          <w:rPr>
            <w:rStyle w:val="Hyperlink"/>
            <w:rFonts w:ascii="Arial" w:hAnsi="Arial" w:cs="Arial"/>
            <w:noProof/>
            <w:sz w:val="24"/>
            <w:szCs w:val="24"/>
            <w:lang w:val="en-AU" w:eastAsia="en-AU"/>
          </w:rPr>
          <w:t>Executive Snapshot</w:t>
        </w:r>
        <w:r w:rsidR="00534F09" w:rsidRPr="00534F09">
          <w:rPr>
            <w:rFonts w:ascii="Arial" w:hAnsi="Arial" w:cs="Arial"/>
            <w:noProof/>
            <w:webHidden/>
            <w:sz w:val="24"/>
            <w:szCs w:val="24"/>
          </w:rPr>
          <w:tab/>
        </w:r>
        <w:r w:rsidR="00534F09" w:rsidRPr="00534F09">
          <w:rPr>
            <w:rFonts w:ascii="Arial" w:hAnsi="Arial" w:cs="Arial"/>
            <w:noProof/>
            <w:webHidden/>
            <w:sz w:val="24"/>
            <w:szCs w:val="24"/>
          </w:rPr>
          <w:fldChar w:fldCharType="begin"/>
        </w:r>
        <w:r w:rsidR="00534F09" w:rsidRPr="00534F09">
          <w:rPr>
            <w:rFonts w:ascii="Arial" w:hAnsi="Arial" w:cs="Arial"/>
            <w:noProof/>
            <w:webHidden/>
            <w:sz w:val="24"/>
            <w:szCs w:val="24"/>
          </w:rPr>
          <w:instrText xml:space="preserve"> PAGEREF _Toc219659825 \h </w:instrText>
        </w:r>
        <w:r w:rsidR="00534F09" w:rsidRPr="00534F09">
          <w:rPr>
            <w:rFonts w:ascii="Arial" w:hAnsi="Arial" w:cs="Arial"/>
            <w:noProof/>
            <w:webHidden/>
            <w:sz w:val="24"/>
            <w:szCs w:val="24"/>
          </w:rPr>
        </w:r>
        <w:r w:rsidR="00534F09" w:rsidRPr="00534F09">
          <w:rPr>
            <w:rFonts w:ascii="Arial" w:hAnsi="Arial" w:cs="Arial"/>
            <w:noProof/>
            <w:webHidden/>
            <w:sz w:val="24"/>
            <w:szCs w:val="24"/>
          </w:rPr>
          <w:fldChar w:fldCharType="separate"/>
        </w:r>
        <w:r w:rsidR="00534F09" w:rsidRPr="00534F09">
          <w:rPr>
            <w:rFonts w:ascii="Arial" w:hAnsi="Arial" w:cs="Arial"/>
            <w:noProof/>
            <w:webHidden/>
            <w:sz w:val="24"/>
            <w:szCs w:val="24"/>
          </w:rPr>
          <w:t>3</w:t>
        </w:r>
        <w:r w:rsidR="00534F09" w:rsidRPr="00534F09">
          <w:rPr>
            <w:rFonts w:ascii="Arial" w:hAnsi="Arial" w:cs="Arial"/>
            <w:noProof/>
            <w:webHidden/>
            <w:sz w:val="24"/>
            <w:szCs w:val="24"/>
          </w:rPr>
          <w:fldChar w:fldCharType="end"/>
        </w:r>
      </w:hyperlink>
    </w:p>
    <w:p w14:paraId="5DDC6AD0" w14:textId="411737A1" w:rsidR="00534F09" w:rsidRPr="00534F09" w:rsidRDefault="00534F09">
      <w:pPr>
        <w:pStyle w:val="TOC1"/>
        <w:rPr>
          <w:rFonts w:ascii="Arial" w:hAnsi="Arial" w:cs="Arial"/>
          <w:noProof/>
          <w:kern w:val="2"/>
          <w:sz w:val="24"/>
          <w:szCs w:val="24"/>
          <w:lang w:val="en-AU" w:eastAsia="en-AU"/>
          <w14:ligatures w14:val="standardContextual"/>
        </w:rPr>
      </w:pPr>
      <w:hyperlink w:anchor="_Toc219659826" w:history="1">
        <w:r w:rsidRPr="00534F09">
          <w:rPr>
            <w:rStyle w:val="Hyperlink"/>
            <w:rFonts w:ascii="Arial" w:hAnsi="Arial" w:cs="Arial"/>
            <w:noProof/>
            <w:sz w:val="24"/>
            <w:szCs w:val="24"/>
            <w:lang w:val="en-AU" w:eastAsia="en-AU"/>
          </w:rPr>
          <w:t>2.</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Organisation &amp; Strategic Context</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_Toc219659826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3</w:t>
        </w:r>
        <w:r w:rsidRPr="00534F09">
          <w:rPr>
            <w:rFonts w:ascii="Arial" w:hAnsi="Arial" w:cs="Arial"/>
            <w:noProof/>
            <w:webHidden/>
            <w:sz w:val="24"/>
            <w:szCs w:val="24"/>
          </w:rPr>
          <w:fldChar w:fldCharType="end"/>
        </w:r>
      </w:hyperlink>
    </w:p>
    <w:p w14:paraId="6BFA8334" w14:textId="3C3D0BE7" w:rsidR="00534F09" w:rsidRPr="00534F09" w:rsidRDefault="00534F09">
      <w:pPr>
        <w:pStyle w:val="TOC1"/>
        <w:rPr>
          <w:rFonts w:ascii="Arial" w:hAnsi="Arial" w:cs="Arial"/>
          <w:noProof/>
          <w:kern w:val="2"/>
          <w:sz w:val="24"/>
          <w:szCs w:val="24"/>
          <w:lang w:val="en-AU" w:eastAsia="en-AU"/>
          <w14:ligatures w14:val="standardContextual"/>
        </w:rPr>
      </w:pPr>
      <w:hyperlink w:anchor="_Toc219659827" w:history="1">
        <w:r w:rsidRPr="00534F09">
          <w:rPr>
            <w:rStyle w:val="Hyperlink"/>
            <w:rFonts w:ascii="Arial" w:hAnsi="Arial" w:cs="Arial"/>
            <w:noProof/>
            <w:sz w:val="24"/>
            <w:szCs w:val="24"/>
            <w:lang w:val="en-AU" w:eastAsia="en-AU"/>
          </w:rPr>
          <w:t>3.</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Governance, Ethics &amp; Decision Readiness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_Toc219659827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4</w:t>
        </w:r>
        <w:r w:rsidRPr="00534F09">
          <w:rPr>
            <w:rFonts w:ascii="Arial" w:hAnsi="Arial" w:cs="Arial"/>
            <w:noProof/>
            <w:webHidden/>
            <w:sz w:val="24"/>
            <w:szCs w:val="24"/>
          </w:rPr>
          <w:fldChar w:fldCharType="end"/>
        </w:r>
      </w:hyperlink>
    </w:p>
    <w:p w14:paraId="04885356" w14:textId="1A8611FC" w:rsidR="00534F09" w:rsidRPr="00534F09" w:rsidRDefault="00534F09">
      <w:pPr>
        <w:pStyle w:val="TOC1"/>
        <w:rPr>
          <w:rFonts w:ascii="Arial" w:hAnsi="Arial" w:cs="Arial"/>
          <w:noProof/>
          <w:kern w:val="2"/>
          <w:sz w:val="24"/>
          <w:szCs w:val="24"/>
          <w:lang w:val="en-AU" w:eastAsia="en-AU"/>
          <w14:ligatures w14:val="standardContextual"/>
        </w:rPr>
      </w:pPr>
      <w:hyperlink w:anchor="_Toc219659828" w:history="1">
        <w:r w:rsidRPr="00534F09">
          <w:rPr>
            <w:rStyle w:val="Hyperlink"/>
            <w:rFonts w:ascii="Arial" w:hAnsi="Arial" w:cs="Arial"/>
            <w:noProof/>
            <w:sz w:val="24"/>
            <w:szCs w:val="24"/>
            <w:lang w:val="en-AU" w:eastAsia="en-AU"/>
          </w:rPr>
          <w:t>4.</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Data, Capability &amp; Technology Readiness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_Toc219659828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5</w:t>
        </w:r>
        <w:r w:rsidRPr="00534F09">
          <w:rPr>
            <w:rFonts w:ascii="Arial" w:hAnsi="Arial" w:cs="Arial"/>
            <w:noProof/>
            <w:webHidden/>
            <w:sz w:val="24"/>
            <w:szCs w:val="24"/>
          </w:rPr>
          <w:fldChar w:fldCharType="end"/>
        </w:r>
      </w:hyperlink>
    </w:p>
    <w:p w14:paraId="7CF1BE04" w14:textId="7A1646BB" w:rsidR="00534F09" w:rsidRPr="00534F09" w:rsidRDefault="00534F09">
      <w:pPr>
        <w:pStyle w:val="TOC1"/>
        <w:rPr>
          <w:rFonts w:ascii="Arial" w:hAnsi="Arial" w:cs="Arial"/>
          <w:noProof/>
          <w:kern w:val="2"/>
          <w:sz w:val="24"/>
          <w:szCs w:val="24"/>
          <w:lang w:val="en-AU" w:eastAsia="en-AU"/>
          <w14:ligatures w14:val="standardContextual"/>
        </w:rPr>
      </w:pPr>
      <w:hyperlink w:anchor="_Toc219659829" w:history="1">
        <w:r w:rsidRPr="00534F09">
          <w:rPr>
            <w:rStyle w:val="Hyperlink"/>
            <w:rFonts w:ascii="Arial" w:hAnsi="Arial" w:cs="Arial"/>
            <w:noProof/>
            <w:sz w:val="24"/>
            <w:szCs w:val="24"/>
            <w:lang w:val="en-AU" w:eastAsia="en-AU"/>
          </w:rPr>
          <w:t>5.</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AI Readiness Assessment Results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_Toc219659829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5</w:t>
        </w:r>
        <w:r w:rsidRPr="00534F09">
          <w:rPr>
            <w:rFonts w:ascii="Arial" w:hAnsi="Arial" w:cs="Arial"/>
            <w:noProof/>
            <w:webHidden/>
            <w:sz w:val="24"/>
            <w:szCs w:val="24"/>
          </w:rPr>
          <w:fldChar w:fldCharType="end"/>
        </w:r>
      </w:hyperlink>
    </w:p>
    <w:p w14:paraId="61138CFF" w14:textId="17F109EA" w:rsidR="00534F09" w:rsidRPr="00534F09" w:rsidRDefault="00534F09">
      <w:pPr>
        <w:pStyle w:val="TOC1"/>
        <w:rPr>
          <w:rFonts w:ascii="Arial" w:hAnsi="Arial" w:cs="Arial"/>
          <w:noProof/>
          <w:kern w:val="2"/>
          <w:sz w:val="24"/>
          <w:szCs w:val="24"/>
          <w:lang w:val="en-AU" w:eastAsia="en-AU"/>
          <w14:ligatures w14:val="standardContextual"/>
        </w:rPr>
      </w:pPr>
      <w:hyperlink w:anchor="_Toc219659830" w:history="1">
        <w:r w:rsidRPr="00534F09">
          <w:rPr>
            <w:rStyle w:val="Hyperlink"/>
            <w:rFonts w:ascii="Arial" w:hAnsi="Arial" w:cs="Arial"/>
            <w:noProof/>
            <w:sz w:val="24"/>
            <w:szCs w:val="24"/>
            <w:lang w:val="en-AU" w:eastAsia="en-AU"/>
          </w:rPr>
          <w:t>6.</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Sector Context &amp; Benchmarking (Indicative Only)</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_Toc219659830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6</w:t>
        </w:r>
        <w:r w:rsidRPr="00534F09">
          <w:rPr>
            <w:rFonts w:ascii="Arial" w:hAnsi="Arial" w:cs="Arial"/>
            <w:noProof/>
            <w:webHidden/>
            <w:sz w:val="24"/>
            <w:szCs w:val="24"/>
          </w:rPr>
          <w:fldChar w:fldCharType="end"/>
        </w:r>
      </w:hyperlink>
    </w:p>
    <w:p w14:paraId="4615020E" w14:textId="0B1D38B6" w:rsidR="00534F09" w:rsidRPr="00534F09" w:rsidRDefault="00534F09">
      <w:pPr>
        <w:pStyle w:val="TOC1"/>
        <w:rPr>
          <w:rFonts w:ascii="Arial" w:hAnsi="Arial" w:cs="Arial"/>
          <w:noProof/>
          <w:kern w:val="2"/>
          <w:sz w:val="24"/>
          <w:szCs w:val="24"/>
          <w:lang w:val="en-AU" w:eastAsia="en-AU"/>
          <w14:ligatures w14:val="standardContextual"/>
        </w:rPr>
      </w:pPr>
      <w:hyperlink w:anchor="_Toc219659831" w:history="1">
        <w:r w:rsidRPr="00534F09">
          <w:rPr>
            <w:rStyle w:val="Hyperlink"/>
            <w:rFonts w:ascii="Arial" w:hAnsi="Arial" w:cs="Arial"/>
            <w:noProof/>
            <w:sz w:val="24"/>
            <w:szCs w:val="24"/>
            <w:lang w:val="en-AU" w:eastAsia="en-AU"/>
          </w:rPr>
          <w:t>7.</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Readiness-Aligned Recommendations &amp; Next Steps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_Toc219659831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6</w:t>
        </w:r>
        <w:r w:rsidRPr="00534F09">
          <w:rPr>
            <w:rFonts w:ascii="Arial" w:hAnsi="Arial" w:cs="Arial"/>
            <w:noProof/>
            <w:webHidden/>
            <w:sz w:val="24"/>
            <w:szCs w:val="24"/>
          </w:rPr>
          <w:fldChar w:fldCharType="end"/>
        </w:r>
      </w:hyperlink>
    </w:p>
    <w:p w14:paraId="2EFCB0BF" w14:textId="7D0A58D3" w:rsidR="00534F09" w:rsidRPr="00534F09" w:rsidRDefault="00534F09">
      <w:pPr>
        <w:pStyle w:val="TOC1"/>
        <w:rPr>
          <w:rFonts w:ascii="Arial" w:hAnsi="Arial" w:cs="Arial"/>
          <w:noProof/>
          <w:kern w:val="2"/>
          <w:sz w:val="24"/>
          <w:szCs w:val="24"/>
          <w:lang w:val="en-AU" w:eastAsia="en-AU"/>
          <w14:ligatures w14:val="standardContextual"/>
        </w:rPr>
      </w:pPr>
      <w:hyperlink w:anchor="_Toc219659832" w:history="1">
        <w:r w:rsidRPr="00534F09">
          <w:rPr>
            <w:rStyle w:val="Hyperlink"/>
            <w:rFonts w:ascii="Arial" w:hAnsi="Arial" w:cs="Arial"/>
            <w:noProof/>
            <w:sz w:val="24"/>
            <w:szCs w:val="24"/>
            <w:lang w:val="en-AU" w:eastAsia="en-AU"/>
          </w:rPr>
          <w:t>8.</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Your Pathway Through the AM AI SAFE Framework</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_Toc219659832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7</w:t>
        </w:r>
        <w:r w:rsidRPr="00534F09">
          <w:rPr>
            <w:rFonts w:ascii="Arial" w:hAnsi="Arial" w:cs="Arial"/>
            <w:noProof/>
            <w:webHidden/>
            <w:sz w:val="24"/>
            <w:szCs w:val="24"/>
          </w:rPr>
          <w:fldChar w:fldCharType="end"/>
        </w:r>
      </w:hyperlink>
    </w:p>
    <w:p w14:paraId="2F156B2D" w14:textId="12BD17FF" w:rsidR="00534F09" w:rsidRPr="00534F09" w:rsidRDefault="00534F09">
      <w:pPr>
        <w:pStyle w:val="TOC1"/>
        <w:rPr>
          <w:rFonts w:ascii="Arial" w:hAnsi="Arial" w:cs="Arial"/>
          <w:noProof/>
          <w:kern w:val="2"/>
          <w:sz w:val="24"/>
          <w:szCs w:val="24"/>
          <w:lang w:val="en-AU" w:eastAsia="en-AU"/>
          <w14:ligatures w14:val="standardContextual"/>
        </w:rPr>
      </w:pPr>
      <w:hyperlink w:anchor="_Toc219659833" w:history="1">
        <w:r w:rsidRPr="00534F09">
          <w:rPr>
            <w:rStyle w:val="Hyperlink"/>
            <w:rFonts w:ascii="Arial" w:hAnsi="Arial" w:cs="Arial"/>
            <w:noProof/>
            <w:sz w:val="24"/>
            <w:szCs w:val="24"/>
            <w:lang w:val="en-AU" w:eastAsia="en-AU"/>
          </w:rPr>
          <w:t>9.</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Appendix A – Detailed Responses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_Toc219659833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10</w:t>
        </w:r>
        <w:r w:rsidRPr="00534F09">
          <w:rPr>
            <w:rFonts w:ascii="Arial" w:hAnsi="Arial" w:cs="Arial"/>
            <w:noProof/>
            <w:webHidden/>
            <w:sz w:val="24"/>
            <w:szCs w:val="24"/>
          </w:rPr>
          <w:fldChar w:fldCharType="end"/>
        </w:r>
      </w:hyperlink>
    </w:p>
    <w:p w14:paraId="02F14E9C" w14:textId="63BD6461" w:rsidR="006178C9" w:rsidRPr="00AC6F8B" w:rsidRDefault="007145FC" w:rsidP="00E35FA3">
      <w:pPr>
        <w:jc w:val="center"/>
        <w:rPr>
          <w:rFonts w:cs="Arial"/>
          <w:sz w:val="32"/>
          <w:szCs w:val="32"/>
        </w:rPr>
      </w:pPr>
      <w:r w:rsidRPr="00534F09">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5052FC">
      <w:pPr>
        <w:pStyle w:val="TOC1"/>
        <w:rPr>
          <w:rStyle w:val="Hyperlink"/>
          <w:lang w:val="en-AU" w:eastAsia="en-AU"/>
        </w:rPr>
      </w:pPr>
      <w:r w:rsidRPr="00AC6F8B">
        <w:rPr>
          <w:rFonts w:eastAsia="Times New Roman"/>
          <w:lang w:val="en-AU" w:eastAsia="en-AU"/>
        </w:rPr>
        <w:fldChar w:fldCharType="begin"/>
      </w:r>
      <w:r w:rsidRPr="00AC6F8B">
        <w:rPr>
          <w:rFonts w:eastAsia="Times New Roman"/>
          <w:lang w:val="en-AU" w:eastAsia="en-AU"/>
        </w:rPr>
        <w:instrText xml:space="preserve"> TOC \h \z \c "Table" </w:instrText>
      </w:r>
      <w:r w:rsidRPr="00AC6F8B">
        <w:rPr>
          <w:rFonts w:eastAsia="Times New Roman"/>
          <w:lang w:val="en-AU" w:eastAsia="en-AU"/>
        </w:rPr>
        <w:fldChar w:fldCharType="separate"/>
      </w:r>
    </w:p>
    <w:p w14:paraId="4A1F6A3D" w14:textId="77777777" w:rsidR="00D042BB" w:rsidRPr="00AC6F8B" w:rsidRDefault="00D042BB" w:rsidP="005052FC">
      <w:pPr>
        <w:pStyle w:val="TOC1"/>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9659825"/>
      <w:r w:rsidRPr="00AC6F8B">
        <w:rPr>
          <w:lang w:val="en-AU" w:eastAsia="en-AU"/>
        </w:rPr>
        <w:t>Executive S</w:t>
      </w:r>
      <w:r w:rsidR="00250D38" w:rsidRPr="00AC6F8B">
        <w:rPr>
          <w:lang w:val="en-AU" w:eastAsia="en-AU"/>
        </w:rPr>
        <w:t>napshot</w:t>
      </w:r>
      <w:bookmarkEnd w:id="0"/>
    </w:p>
    <w:p w14:paraId="74D9B7E2" w14:textId="77777777" w:rsidR="00BE04DB" w:rsidRDefault="00BE04DB" w:rsidP="001D7D7E">
      <w:pPr>
        <w:spacing w:before="100" w:beforeAutospacing="1" w:after="100" w:afterAutospacing="1" w:line="240" w:lineRule="auto"/>
        <w:rPr>
          <w:rFonts w:eastAsia="Times New Roman" w:cs="Arial"/>
          <w:kern w:val="0"/>
          <w:lang w:eastAsia="en-AU"/>
          <w14:ligatures w14:val="none"/>
        </w:rPr>
      </w:pPr>
      <w:r w:rsidRPr="00BE04DB">
        <w:rPr>
          <w:rFonts w:eastAsia="Times New Roman" w:cs="Arial"/>
          <w:kern w:val="0"/>
          <w:highlight w:val="green"/>
          <w:lang w:eastAsia="en-AU"/>
          <w14:ligatures w14:val="none"/>
        </w:rPr>
        <w:t xml:space="preserve">This section provides a concise, organisation-wide view of </w:t>
      </w:r>
      <w:r w:rsidRPr="00BE04DB">
        <w:rPr>
          <w:rFonts w:eastAsia="Times New Roman" w:cs="Arial"/>
          <w:b/>
          <w:bCs/>
          <w:kern w:val="0"/>
          <w:highlight w:val="green"/>
          <w:lang w:eastAsia="en-AU"/>
          <w14:ligatures w14:val="none"/>
        </w:rPr>
        <w:t>{{org_name}}</w:t>
      </w:r>
      <w:r w:rsidRPr="00BE04DB">
        <w:rPr>
          <w:rFonts w:eastAsia="Times New Roman" w:cs="Arial"/>
          <w:kern w:val="0"/>
          <w:highlight w:val="green"/>
          <w:lang w:eastAsia="en-AU"/>
          <w14:ligatures w14:val="none"/>
        </w:rPr>
        <w:t>’s current level of AI maturity. It summarises how consistently artificial intelligence is being governed, managed, and embedded across the organisation, rather than assessing the performance or risk of individual AI systems. The snapshot highlights overarching strengths and constraints identified through the assessment and is intended to support executive-level understanding of the organisation’s current maturity posture and its implications.</w:t>
      </w:r>
    </w:p>
    <w:p w14:paraId="1ACE3BED" w14:textId="77777777" w:rsidR="0054571A" w:rsidRPr="00167E14" w:rsidRDefault="0054571A" w:rsidP="0054571A">
      <w:pPr>
        <w:spacing w:before="100" w:beforeAutospacing="1" w:after="100" w:afterAutospacing="1" w:line="240" w:lineRule="auto"/>
        <w:rPr>
          <w:rFonts w:eastAsia="Times New Roman" w:cs="Arial"/>
          <w:kern w:val="0"/>
          <w:highlight w:val="green"/>
          <w:lang w:val="en-AU" w:eastAsia="en-AU"/>
          <w14:ligatures w14:val="none"/>
        </w:rPr>
      </w:pPr>
      <w:r w:rsidRPr="00167E14">
        <w:rPr>
          <w:rFonts w:eastAsia="Times New Roman" w:cs="Arial"/>
          <w:kern w:val="0"/>
          <w:highlight w:val="green"/>
          <w:lang w:val="en-AU" w:eastAsia="en-AU"/>
          <w14:ligatures w14:val="none"/>
        </w:rPr>
        <w:t xml:space="preserve">{{org_name}} has achieved an overall Organisation-wide AI Maturity score of </w:t>
      </w:r>
      <w:r w:rsidRPr="00167E14">
        <w:rPr>
          <w:rFonts w:eastAsia="Times New Roman" w:cs="Arial"/>
          <w:b/>
          <w:bCs/>
          <w:kern w:val="0"/>
          <w:highlight w:val="green"/>
          <w:lang w:val="en-AU" w:eastAsia="en-AU"/>
          <w14:ligatures w14:val="none"/>
        </w:rPr>
        <w:t>{{overall.score}}</w:t>
      </w:r>
      <w:r w:rsidRPr="00167E14">
        <w:rPr>
          <w:rFonts w:eastAsia="Times New Roman" w:cs="Arial"/>
          <w:kern w:val="0"/>
          <w:highlight w:val="green"/>
          <w:lang w:val="en-AU" w:eastAsia="en-AU"/>
          <w14:ligatures w14:val="none"/>
        </w:rPr>
        <w:t xml:space="preserve">, corresponding to a </w:t>
      </w:r>
      <w:r w:rsidRPr="00167E14">
        <w:rPr>
          <w:rFonts w:eastAsia="Times New Roman" w:cs="Arial"/>
          <w:b/>
          <w:bCs/>
          <w:kern w:val="0"/>
          <w:highlight w:val="green"/>
          <w:lang w:val="en-AU" w:eastAsia="en-AU"/>
          <w14:ligatures w14:val="none"/>
        </w:rPr>
        <w:t>{{overall.tier}}</w:t>
      </w:r>
      <w:r w:rsidRPr="00167E14">
        <w:rPr>
          <w:rFonts w:eastAsia="Times New Roman" w:cs="Arial"/>
          <w:kern w:val="0"/>
          <w:highlight w:val="green"/>
          <w:lang w:val="en-AU" w:eastAsia="en-AU"/>
          <w14:ligatures w14:val="none"/>
        </w:rPr>
        <w:t xml:space="preserve"> maturity posture. This result reflects how consistently artificial intelligence is governed, managed, and embedded across the organisation, rather than the performance or risk of any individual AI system.</w:t>
      </w:r>
    </w:p>
    <w:p w14:paraId="74DDBF4C" w14:textId="77777777" w:rsidR="0054571A" w:rsidRPr="00167E14" w:rsidRDefault="0054571A" w:rsidP="0054571A">
      <w:pPr>
        <w:spacing w:before="100" w:beforeAutospacing="1" w:after="100" w:afterAutospacing="1" w:line="240" w:lineRule="auto"/>
        <w:rPr>
          <w:rFonts w:eastAsia="Times New Roman" w:cs="Arial"/>
          <w:kern w:val="0"/>
          <w:highlight w:val="green"/>
          <w:lang w:val="en-AU" w:eastAsia="en-AU"/>
          <w14:ligatures w14:val="none"/>
        </w:rPr>
      </w:pPr>
      <w:r w:rsidRPr="00167E14">
        <w:rPr>
          <w:rFonts w:eastAsia="Times New Roman" w:cs="Arial"/>
          <w:kern w:val="0"/>
          <w:highlight w:val="green"/>
          <w:lang w:val="en-AU" w:eastAsia="en-AU"/>
          <w14:ligatures w14:val="none"/>
        </w:rPr>
        <w:t>At this stage of maturity, AI-related practices across {{org_name}} demonstrate a mix of emerging strengths and ongoing constraints. Key strengths identified through the assessment include {{strengths_summary}}, while notable constraints include {{gaps_summary}}. These findings indicate that while some elements of AI management are becoming established, maturity is not yet uniform across all organisational domains.</w:t>
      </w:r>
    </w:p>
    <w:p w14:paraId="7A00BC65" w14:textId="77777777" w:rsidR="0054571A" w:rsidRPr="0054571A" w:rsidRDefault="0054571A" w:rsidP="0054571A">
      <w:pPr>
        <w:spacing w:before="100" w:beforeAutospacing="1" w:after="100" w:afterAutospacing="1" w:line="240" w:lineRule="auto"/>
        <w:rPr>
          <w:rFonts w:eastAsia="Times New Roman" w:cs="Arial"/>
          <w:kern w:val="0"/>
          <w:lang w:val="en-AU" w:eastAsia="en-AU"/>
          <w14:ligatures w14:val="none"/>
        </w:rPr>
      </w:pPr>
      <w:r w:rsidRPr="00167E14">
        <w:rPr>
          <w:rFonts w:eastAsia="Times New Roman" w:cs="Arial"/>
          <w:kern w:val="0"/>
          <w:highlight w:val="green"/>
          <w:lang w:val="en-AU" w:eastAsia="en-AU"/>
          <w14:ligatures w14:val="none"/>
        </w:rPr>
        <w:t>This assessment is intended to support executive understanding of {{org_name}}’s current AI maturity posture and its implications for scalability, governance, and risk. It does not provide assurance regarding the safety, compliance, or performance of specific AI systems.</w:t>
      </w:r>
    </w:p>
    <w:p w14:paraId="1A0ACC4D" w14:textId="0ABFA2EB" w:rsidR="001D7D7E" w:rsidRPr="00C0762E" w:rsidRDefault="0088407A" w:rsidP="001D7D7E">
      <w:pPr>
        <w:spacing w:before="100" w:beforeAutospacing="1" w:after="100" w:afterAutospacing="1" w:line="240" w:lineRule="auto"/>
        <w:rPr>
          <w:rFonts w:eastAsia="Times New Roman" w:cs="Arial"/>
          <w:b/>
          <w:bCs/>
          <w:kern w:val="0"/>
          <w:highlight w:val="green"/>
          <w:lang w:val="en-AU" w:eastAsia="en-AU"/>
          <w14:ligatures w14:val="none"/>
        </w:rPr>
      </w:pPr>
      <w:r w:rsidRPr="00C0762E">
        <w:rPr>
          <w:rFonts w:eastAsia="Times New Roman" w:cs="Arial"/>
          <w:b/>
          <w:bCs/>
          <w:kern w:val="0"/>
          <w:highlight w:val="green"/>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C0762E">
        <w:rPr>
          <w:rStyle w:val="VerbatimChar"/>
          <w:rFonts w:ascii="Arial" w:hAnsi="Arial" w:cs="Arial"/>
          <w:sz w:val="24"/>
          <w:highlight w:val="green"/>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0FC8F97F" w:rsidR="00864EFD" w:rsidRDefault="00864EFD" w:rsidP="001D7D7E">
      <w:pPr>
        <w:spacing w:before="100" w:beforeAutospacing="1" w:after="100" w:afterAutospacing="1" w:line="240" w:lineRule="auto"/>
        <w:rPr>
          <w:rFonts w:eastAsia="Times New Roman" w:cs="Arial"/>
          <w:kern w:val="0"/>
          <w:lang w:val="en-AU" w:eastAsia="en-AU"/>
          <w14:ligatures w14:val="none"/>
        </w:rPr>
      </w:pPr>
      <w:r w:rsidRPr="00A6046F">
        <w:rPr>
          <w:rFonts w:eastAsia="Times New Roman" w:cs="Arial"/>
          <w:kern w:val="0"/>
          <w:highlight w:val="yellow"/>
          <w:lang w:val="en-AU" w:eastAsia="en-AU"/>
          <w14:ligatures w14:val="none"/>
        </w:rPr>
        <w:t>{{</w:t>
      </w:r>
      <w:r w:rsidR="0080607A" w:rsidRPr="00A6046F">
        <w:rPr>
          <w:rFonts w:eastAsia="Times New Roman" w:cs="Arial"/>
          <w:kern w:val="0"/>
          <w:highlight w:val="yellow"/>
          <w:lang w:val="en-AU" w:eastAsia="en-AU"/>
          <w14:ligatures w14:val="none"/>
        </w:rPr>
        <w:t>ai.</w:t>
      </w:r>
      <w:r w:rsidR="00CB56A5">
        <w:rPr>
          <w:rFonts w:eastAsia="Times New Roman" w:cs="Arial"/>
          <w:kern w:val="0"/>
          <w:highlight w:val="yellow"/>
          <w:lang w:val="en-AU" w:eastAsia="en-AU"/>
          <w14:ligatures w14:val="none"/>
        </w:rPr>
        <w:t>o</w:t>
      </w:r>
      <w:r w:rsidR="0026528B">
        <w:rPr>
          <w:rFonts w:eastAsia="Times New Roman" w:cs="Arial"/>
          <w:kern w:val="0"/>
          <w:highlight w:val="yellow"/>
          <w:lang w:val="en-AU" w:eastAsia="en-AU"/>
          <w14:ligatures w14:val="none"/>
        </w:rPr>
        <w:t>_</w:t>
      </w:r>
      <w:r w:rsidR="0080607A" w:rsidRPr="00A6046F">
        <w:rPr>
          <w:rFonts w:eastAsia="Times New Roman" w:cs="Arial"/>
          <w:kern w:val="0"/>
          <w:highlight w:val="yellow"/>
          <w:lang w:val="en-AU" w:eastAsia="en-AU"/>
          <w14:ligatures w14:val="none"/>
        </w:rPr>
        <w:t>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7DA5453"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kern w:val="0"/>
          <w:lang w:val="en-AU" w:eastAsia="en-AU"/>
          <w14:ligatures w14:val="none"/>
        </w:rPr>
        <w:t>{{</w:t>
      </w:r>
      <w:r w:rsidR="004456FC" w:rsidRPr="005052FC">
        <w:rPr>
          <w:rFonts w:eastAsia="Times New Roman" w:cs="Arial"/>
          <w:kern w:val="0"/>
          <w:lang w:val="en-AU" w:eastAsia="en-AU"/>
          <w14:ligatures w14:val="none"/>
        </w:rPr>
        <w:t>readiness</w:t>
      </w:r>
      <w:r w:rsidRPr="005052FC">
        <w:rPr>
          <w:rFonts w:eastAsia="Times New Roman" w:cs="Arial"/>
          <w:kern w:val="0"/>
          <w:lang w:val="en-AU" w:eastAsia="en-AU"/>
          <w14:ligatures w14:val="none"/>
        </w:rPr>
        <w:t>_bar_image}}</w:t>
      </w:r>
    </w:p>
    <w:p w14:paraId="4B9F0582" w14:textId="4172F378"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i/>
          <w:iCs/>
          <w:kern w:val="0"/>
          <w:lang w:val="en-AU" w:eastAsia="en-AU"/>
          <w14:ligatures w14:val="none"/>
        </w:rPr>
        <w:t xml:space="preserve">Figure 1. Overall </w:t>
      </w:r>
      <w:r w:rsidR="001815AC">
        <w:rPr>
          <w:rFonts w:eastAsia="Times New Roman" w:cs="Arial"/>
          <w:i/>
          <w:iCs/>
          <w:kern w:val="0"/>
          <w:lang w:val="en-AU" w:eastAsia="en-AU"/>
          <w14:ligatures w14:val="none"/>
        </w:rPr>
        <w:t xml:space="preserve">Organisation-wide </w:t>
      </w:r>
      <w:r w:rsidRPr="005052FC">
        <w:rPr>
          <w:rFonts w:eastAsia="Times New Roman" w:cs="Arial"/>
          <w:i/>
          <w:iCs/>
          <w:kern w:val="0"/>
          <w:lang w:val="en-AU" w:eastAsia="en-AU"/>
          <w14:ligatures w14:val="none"/>
        </w:rPr>
        <w:t xml:space="preserve">AI </w:t>
      </w:r>
      <w:r w:rsidR="001815AC">
        <w:rPr>
          <w:rFonts w:eastAsia="Times New Roman" w:cs="Arial"/>
          <w:i/>
          <w:iCs/>
          <w:kern w:val="0"/>
          <w:lang w:val="en-AU" w:eastAsia="en-AU"/>
          <w14:ligatures w14:val="none"/>
        </w:rPr>
        <w:t>maturity</w:t>
      </w:r>
      <w:r w:rsidRPr="005052FC">
        <w:rPr>
          <w:rFonts w:eastAsia="Times New Roman" w:cs="Arial"/>
          <w:i/>
          <w:iCs/>
          <w:kern w:val="0"/>
          <w:lang w:val="en-AU" w:eastAsia="en-AU"/>
          <w14:ligatures w14:val="none"/>
        </w:rPr>
        <w:t xml:space="preserve"> level.</w:t>
      </w:r>
      <w:r w:rsidR="009A29C1" w:rsidRPr="005052FC">
        <w:rPr>
          <w:rFonts w:eastAsia="Times New Roman" w:cs="Arial"/>
          <w:i/>
          <w:iCs/>
          <w:kern w:val="0"/>
          <w:lang w:val="en-AU" w:eastAsia="en-AU"/>
          <w14:ligatures w14:val="none"/>
        </w:rPr>
        <w:t xml:space="preserve"> Black arrow shows {{industry}} sector average</w:t>
      </w:r>
      <w:r w:rsidR="00A4458C" w:rsidRPr="005052FC">
        <w:rPr>
          <w:rFonts w:eastAsia="Times New Roman" w:cs="Arial"/>
          <w:i/>
          <w:iCs/>
          <w:kern w:val="0"/>
          <w:lang w:val="en-AU" w:eastAsia="en-AU"/>
          <w14:ligatures w14:val="none"/>
        </w:rPr>
        <w:t>;</w:t>
      </w:r>
      <w:r w:rsidR="009A29C1" w:rsidRPr="005052FC">
        <w:rPr>
          <w:rFonts w:eastAsia="Times New Roman" w:cs="Arial"/>
          <w:i/>
          <w:iCs/>
          <w:kern w:val="0"/>
          <w:lang w:val="en-AU" w:eastAsia="en-AU"/>
          <w14:ligatures w14:val="none"/>
        </w:rPr>
        <w:t xml:space="preserve"> Green</w:t>
      </w:r>
      <w:r w:rsidR="006D4BED" w:rsidRPr="005052FC">
        <w:rPr>
          <w:rFonts w:eastAsia="Times New Roman" w:cs="Arial"/>
          <w:i/>
          <w:iCs/>
          <w:kern w:val="0"/>
          <w:lang w:val="en-AU" w:eastAsia="en-AU"/>
          <w14:ligatures w14:val="none"/>
        </w:rPr>
        <w:t>/Red</w:t>
      </w:r>
      <w:r w:rsidR="009A29C1" w:rsidRPr="005052FC">
        <w:rPr>
          <w:rFonts w:eastAsia="Times New Roman" w:cs="Arial"/>
          <w:i/>
          <w:iCs/>
          <w:kern w:val="0"/>
          <w:lang w:val="en-AU" w:eastAsia="en-AU"/>
          <w14:ligatures w14:val="none"/>
        </w:rPr>
        <w:t xml:space="preserve"> arrow</w:t>
      </w:r>
      <w:r w:rsidR="006D4BED" w:rsidRPr="005052FC">
        <w:rPr>
          <w:rFonts w:eastAsia="Times New Roman" w:cs="Arial"/>
          <w:i/>
          <w:iCs/>
          <w:kern w:val="0"/>
          <w:lang w:val="en-AU" w:eastAsia="en-AU"/>
          <w14:ligatures w14:val="none"/>
        </w:rPr>
        <w:t>s</w:t>
      </w:r>
      <w:r w:rsidR="009A29C1" w:rsidRPr="005052FC">
        <w:rPr>
          <w:rFonts w:eastAsia="Times New Roman" w:cs="Arial"/>
          <w:i/>
          <w:iCs/>
          <w:kern w:val="0"/>
          <w:lang w:val="en-AU" w:eastAsia="en-AU"/>
          <w14:ligatures w14:val="none"/>
        </w:rPr>
        <w:t xml:space="preserve"> </w:t>
      </w:r>
      <w:r w:rsidR="00A4458C" w:rsidRPr="005052FC">
        <w:rPr>
          <w:rFonts w:eastAsia="Times New Roman" w:cs="Arial"/>
          <w:i/>
          <w:iCs/>
          <w:kern w:val="0"/>
          <w:lang w:val="en-AU" w:eastAsia="en-AU"/>
          <w14:ligatures w14:val="none"/>
        </w:rPr>
        <w:t xml:space="preserve">shows </w:t>
      </w:r>
      <w:r w:rsidR="001C293D" w:rsidRPr="005052FC">
        <w:rPr>
          <w:rFonts w:eastAsia="Times New Roman" w:cs="Arial"/>
          <w:i/>
          <w:iCs/>
          <w:kern w:val="0"/>
          <w:lang w:val="en-AU" w:eastAsia="en-AU"/>
          <w14:ligatures w14:val="none"/>
        </w:rPr>
        <w:t xml:space="preserve">whether </w:t>
      </w:r>
      <w:r w:rsidR="00E16B70" w:rsidRPr="005052FC">
        <w:rPr>
          <w:rFonts w:eastAsia="Times New Roman" w:cs="Arial"/>
          <w:i/>
          <w:iCs/>
          <w:kern w:val="0"/>
          <w:lang w:val="en-AU" w:eastAsia="en-AU"/>
          <w14:ligatures w14:val="none"/>
        </w:rPr>
        <w:t>{{org_name}} is A</w:t>
      </w:r>
      <w:r w:rsidR="006D4BED" w:rsidRPr="005052FC">
        <w:rPr>
          <w:rFonts w:eastAsia="Times New Roman" w:cs="Arial"/>
          <w:i/>
          <w:iCs/>
          <w:kern w:val="0"/>
          <w:lang w:val="en-AU" w:eastAsia="en-AU"/>
          <w14:ligatures w14:val="none"/>
        </w:rPr>
        <w:t>bove/Below</w:t>
      </w:r>
      <w:r w:rsidR="00E16B70" w:rsidRPr="005052FC">
        <w:rPr>
          <w:rFonts w:eastAsia="Times New Roman" w:cs="Arial"/>
          <w:i/>
          <w:iCs/>
          <w:kern w:val="0"/>
          <w:lang w:val="en-AU" w:eastAsia="en-AU"/>
          <w14:ligatures w14:val="none"/>
        </w:rPr>
        <w:t xml:space="preserve"> sector average</w:t>
      </w:r>
      <w:r w:rsidR="006D4BED" w:rsidRPr="005052FC">
        <w:rPr>
          <w:rFonts w:eastAsia="Times New Roman" w:cs="Arial"/>
          <w:i/>
          <w:iCs/>
          <w:kern w:val="0"/>
          <w:lang w:val="en-AU" w:eastAsia="en-AU"/>
          <w14:ligatures w14:val="none"/>
        </w:rPr>
        <w:t>.</w:t>
      </w:r>
      <w:r w:rsidR="00E16B70" w:rsidRPr="005052FC">
        <w:rPr>
          <w:rFonts w:eastAsia="Times New Roman" w:cs="Arial"/>
          <w:i/>
          <w:iCs/>
          <w:kern w:val="0"/>
          <w:lang w:val="en-AU" w:eastAsia="en-AU"/>
          <w14:ligatures w14:val="none"/>
        </w:rPr>
        <w:t xml:space="preserve"> </w:t>
      </w:r>
    </w:p>
    <w:p w14:paraId="2AB281F8" w14:textId="10D52528" w:rsidR="000E19A4" w:rsidRPr="005052FC" w:rsidRDefault="00BE04DB" w:rsidP="000E19A4">
      <w:pPr>
        <w:pStyle w:val="Heading01"/>
        <w:rPr>
          <w:lang w:val="en-AU" w:eastAsia="en-AU"/>
        </w:rPr>
      </w:pPr>
      <w:bookmarkStart w:id="1" w:name="_Toc219659826"/>
      <w:r>
        <w:rPr>
          <w:lang w:val="en-AU" w:eastAsia="en-AU"/>
        </w:rPr>
        <w:t xml:space="preserve">Assessment Scope </w:t>
      </w:r>
      <w:r w:rsidR="009005F0" w:rsidRPr="005052FC">
        <w:rPr>
          <w:lang w:val="en-AU" w:eastAsia="en-AU"/>
        </w:rPr>
        <w:t xml:space="preserve">&amp; </w:t>
      </w:r>
      <w:r w:rsidR="00AB7DCA" w:rsidRPr="005052FC">
        <w:rPr>
          <w:lang w:val="en-AU" w:eastAsia="en-AU"/>
        </w:rPr>
        <w:t>C</w:t>
      </w:r>
      <w:r w:rsidR="009005F0" w:rsidRPr="005052FC">
        <w:rPr>
          <w:lang w:val="en-AU" w:eastAsia="en-AU"/>
        </w:rPr>
        <w:t>ontext</w:t>
      </w:r>
      <w:bookmarkEnd w:id="1"/>
    </w:p>
    <w:p w14:paraId="3F7A150E" w14:textId="77777777" w:rsidR="006B228E" w:rsidRDefault="006B228E" w:rsidP="0015635D">
      <w:pPr>
        <w:spacing w:before="120" w:after="120" w:line="240" w:lineRule="auto"/>
      </w:pPr>
      <w:r w:rsidRPr="006B228E">
        <w:rPr>
          <w:highlight w:val="green"/>
        </w:rPr>
        <w:t>This section outlines the scope and context of the Organisation-wide AI Maturity Assessment, including the organisational boundaries, business units, and operating environment considered. It provides important background for interpreting the results, recognising that AI maturity is influenced by organisational size, structure, sector, and the scale at which AI is currently used. The information presented here helps ensure the assessment outcomes are understood in their proper organisational context.</w:t>
      </w:r>
    </w:p>
    <w:p w14:paraId="6FEF992C" w14:textId="77777777" w:rsidR="00167E14" w:rsidRPr="00167E14" w:rsidRDefault="00167E14" w:rsidP="00167E14">
      <w:pPr>
        <w:spacing w:before="120" w:after="120" w:line="240" w:lineRule="auto"/>
        <w:rPr>
          <w:highlight w:val="green"/>
          <w:lang w:val="en-AU"/>
        </w:rPr>
      </w:pPr>
      <w:r w:rsidRPr="00167E14">
        <w:rPr>
          <w:highlight w:val="green"/>
          <w:lang w:val="en-AU"/>
        </w:rPr>
        <w:t xml:space="preserve">The Organisation-wide AI Maturity Assessment was conducted for </w:t>
      </w:r>
      <w:r w:rsidRPr="00A67119">
        <w:rPr>
          <w:b/>
          <w:bCs/>
          <w:highlight w:val="green"/>
          <w:lang w:val="en-AU"/>
        </w:rPr>
        <w:t>{{org_name}}</w:t>
      </w:r>
      <w:r w:rsidRPr="00167E14">
        <w:rPr>
          <w:highlight w:val="green"/>
          <w:lang w:val="en-AU"/>
        </w:rPr>
        <w:t xml:space="preserve">, operating within the </w:t>
      </w:r>
      <w:r w:rsidRPr="00A67119">
        <w:rPr>
          <w:b/>
          <w:bCs/>
          <w:highlight w:val="green"/>
          <w:lang w:val="en-AU"/>
        </w:rPr>
        <w:t>{{industry}}</w:t>
      </w:r>
      <w:r w:rsidRPr="00167E14">
        <w:rPr>
          <w:highlight w:val="green"/>
          <w:lang w:val="en-AU"/>
        </w:rPr>
        <w:t xml:space="preserve"> sector. The assessment considered organisational practices across the business units and functions defined within scope, reflecting the size and operational complexity of the organisation (</w:t>
      </w:r>
      <w:r w:rsidRPr="00A55D2E">
        <w:rPr>
          <w:b/>
          <w:bCs/>
          <w:highlight w:val="green"/>
          <w:lang w:val="en-AU"/>
        </w:rPr>
        <w:t>{{org_size}}</w:t>
      </w:r>
      <w:r w:rsidRPr="00167E14">
        <w:rPr>
          <w:highlight w:val="green"/>
          <w:lang w:val="en-AU"/>
        </w:rPr>
        <w:t>).</w:t>
      </w:r>
    </w:p>
    <w:p w14:paraId="55D42B16" w14:textId="77777777" w:rsidR="00167E14" w:rsidRPr="00167E14" w:rsidRDefault="00167E14" w:rsidP="00167E14">
      <w:pPr>
        <w:spacing w:before="120" w:after="120" w:line="240" w:lineRule="auto"/>
        <w:rPr>
          <w:highlight w:val="green"/>
          <w:lang w:val="en-AU"/>
        </w:rPr>
      </w:pPr>
      <w:r w:rsidRPr="00167E14">
        <w:rPr>
          <w:highlight w:val="green"/>
          <w:lang w:val="en-AU"/>
        </w:rPr>
        <w:t xml:space="preserve">The assessment was completed on </w:t>
      </w:r>
      <w:r w:rsidRPr="00A55D2E">
        <w:rPr>
          <w:b/>
          <w:bCs/>
          <w:highlight w:val="green"/>
          <w:lang w:val="en-AU"/>
        </w:rPr>
        <w:t>{{assessment_date}}</w:t>
      </w:r>
      <w:r w:rsidRPr="00167E14">
        <w:rPr>
          <w:highlight w:val="green"/>
          <w:lang w:val="en-AU"/>
        </w:rPr>
        <w:t xml:space="preserve"> using version </w:t>
      </w:r>
      <w:r w:rsidRPr="006F1D2E">
        <w:rPr>
          <w:b/>
          <w:bCs/>
          <w:highlight w:val="green"/>
          <w:lang w:val="en-AU"/>
        </w:rPr>
        <w:t>{{framework_version}}</w:t>
      </w:r>
      <w:r w:rsidRPr="00167E14">
        <w:rPr>
          <w:highlight w:val="green"/>
          <w:lang w:val="en-AU"/>
        </w:rPr>
        <w:t xml:space="preserve"> of the AM AI SAFE framework and was facilitated by </w:t>
      </w:r>
      <w:r w:rsidRPr="006F1D2E">
        <w:rPr>
          <w:b/>
          <w:bCs/>
          <w:highlight w:val="green"/>
          <w:lang w:val="en-AU"/>
        </w:rPr>
        <w:t>{{assessor_name}}</w:t>
      </w:r>
      <w:r w:rsidRPr="00167E14">
        <w:rPr>
          <w:highlight w:val="green"/>
          <w:lang w:val="en-AU"/>
        </w:rPr>
        <w:t>. Results should be interpreted in light of the organisation’s current structure, operating environment, and the scale at which AI-related activities are occurring.</w:t>
      </w:r>
    </w:p>
    <w:p w14:paraId="4785DFCE" w14:textId="77777777" w:rsidR="00167E14" w:rsidRPr="00167E14" w:rsidRDefault="00167E14" w:rsidP="00167E14">
      <w:pPr>
        <w:spacing w:before="120" w:after="120" w:line="240" w:lineRule="auto"/>
        <w:rPr>
          <w:lang w:val="en-AU"/>
        </w:rPr>
      </w:pPr>
      <w:r w:rsidRPr="00167E14">
        <w:rPr>
          <w:highlight w:val="green"/>
          <w:lang w:val="en-AU"/>
        </w:rPr>
        <w:t>This contextual information is critical for understanding how maturity scores reflect organisational realities, including governance structures, resource availability, and the degree of coordination required to manage AI consistently across the enterprise.</w:t>
      </w:r>
    </w:p>
    <w:p w14:paraId="58F0A178" w14:textId="77777777" w:rsidR="00167E14" w:rsidRDefault="00167E14" w:rsidP="0015635D">
      <w:pPr>
        <w:spacing w:before="120" w:after="120" w:line="240" w:lineRule="auto"/>
      </w:pPr>
    </w:p>
    <w:p w14:paraId="2F25DA26" w14:textId="037BCD2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78463BA3"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{{industry}}</w:t>
      </w:r>
    </w:p>
    <w:p w14:paraId="4A03C498" w14:textId="505DCBA9"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w:t>
      </w:r>
      <w:r w:rsidR="007A3CD7">
        <w:rPr>
          <w:lang w:val="en-AU"/>
        </w:rPr>
        <w:t>_</w:t>
      </w:r>
      <w:r w:rsidRPr="0015635D">
        <w:rPr>
          <w:lang w:val="en-AU"/>
        </w:rPr>
        <w:t>size}}</w:t>
      </w:r>
    </w:p>
    <w:p w14:paraId="0D99CEFE" w14:textId="325C1E1B"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{{business_unit</w:t>
      </w:r>
      <w:r w:rsidR="0054184E">
        <w:rPr>
          <w:lang w:val="en-AU"/>
        </w:rPr>
        <w:t>s_scope</w:t>
      </w:r>
      <w:r w:rsidRPr="0015635D">
        <w:rPr>
          <w:lang w:val="en-AU"/>
        </w:rPr>
        <w:t>}}</w:t>
      </w:r>
    </w:p>
    <w:p w14:paraId="60A69C98" w14:textId="48D6DCEB" w:rsidR="0015635D" w:rsidRPr="0015635D" w:rsidRDefault="0015635D" w:rsidP="0015635D">
      <w:pPr>
        <w:spacing w:before="120" w:after="120" w:line="240" w:lineRule="auto"/>
        <w:rPr>
          <w:lang w:val="en-AU"/>
        </w:rPr>
      </w:pPr>
    </w:p>
    <w:p w14:paraId="3B99790A" w14:textId="39B35B15" w:rsidR="00CB0337" w:rsidRPr="005052FC" w:rsidRDefault="006B228E" w:rsidP="00653DC3">
      <w:pPr>
        <w:pStyle w:val="Heading01"/>
        <w:rPr>
          <w:lang w:val="en-AU" w:eastAsia="en-AU"/>
        </w:rPr>
      </w:pPr>
      <w:bookmarkStart w:id="2" w:name="_Toc219659827"/>
      <w:r>
        <w:rPr>
          <w:lang w:val="en-AU" w:eastAsia="en-AU"/>
        </w:rPr>
        <w:t>AI Landscape Overview</w:t>
      </w:r>
      <w:bookmarkEnd w:id="2"/>
    </w:p>
    <w:p w14:paraId="1B065B73" w14:textId="77777777" w:rsidR="00104314" w:rsidRDefault="00104314" w:rsidP="00CB0337">
      <w:pPr>
        <w:spacing w:before="100" w:beforeAutospacing="1" w:after="100" w:afterAutospacing="1" w:line="240" w:lineRule="auto"/>
      </w:pPr>
      <w:r w:rsidRPr="00104314">
        <w:rPr>
          <w:highlight w:val="green"/>
        </w:rPr>
        <w:t xml:space="preserve">This section describes the current AI landscape within </w:t>
      </w:r>
      <w:r w:rsidRPr="00104314">
        <w:rPr>
          <w:b/>
          <w:bCs/>
          <w:highlight w:val="green"/>
        </w:rPr>
        <w:t>{{org_name}}</w:t>
      </w:r>
      <w:r w:rsidRPr="00104314">
        <w:rPr>
          <w:highlight w:val="green"/>
        </w:rPr>
        <w:t>, focusing on how and where AI is being used across the organisation. It summarises the primary purposes for AI adoption, the breadth of AI use cases, and the sourcing models supporting these initiatives. This overview establishes the baseline against which organisational maturity is assessed, distinguishing between isolated experimentation and more coordinated, enterprise-wide AI activity.</w:t>
      </w:r>
    </w:p>
    <w:p w14:paraId="22059AC6" w14:textId="77777777" w:rsidR="008B6F08" w:rsidRDefault="002C35BA" w:rsidP="008B6F08">
      <w:pPr>
        <w:spacing w:before="100" w:beforeAutospacing="1" w:after="100" w:afterAutospacing="1" w:line="240" w:lineRule="auto"/>
        <w:rPr>
          <w:lang w:val="en-AU"/>
        </w:rPr>
      </w:pPr>
      <w:r w:rsidRPr="00B66E42">
        <w:rPr>
          <w:b/>
          <w:bCs/>
          <w:highlight w:val="green"/>
          <w:lang w:val="en-AU"/>
        </w:rPr>
        <w:t>{{org_name}}</w:t>
      </w:r>
      <w:r w:rsidRPr="002C35BA">
        <w:rPr>
          <w:highlight w:val="green"/>
          <w:lang w:val="en-AU"/>
        </w:rPr>
        <w:t xml:space="preserve"> currently reports </w:t>
      </w:r>
      <w:r w:rsidRPr="002C35BA">
        <w:rPr>
          <w:b/>
          <w:bCs/>
          <w:highlight w:val="green"/>
          <w:lang w:val="en-AU"/>
        </w:rPr>
        <w:t>{{ai_project_count}}</w:t>
      </w:r>
      <w:r w:rsidRPr="002C35BA">
        <w:rPr>
          <w:highlight w:val="green"/>
          <w:lang w:val="en-AU"/>
        </w:rPr>
        <w:t xml:space="preserve"> AI-related initiatives across the organisation. These initiatives primarily support </w:t>
      </w:r>
      <w:r w:rsidRPr="00241645">
        <w:rPr>
          <w:b/>
          <w:bCs/>
          <w:highlight w:val="green"/>
          <w:lang w:val="en-AU"/>
        </w:rPr>
        <w:t>{{ai_primary_purpose}}</w:t>
      </w:r>
      <w:r w:rsidRPr="002C35BA">
        <w:rPr>
          <w:highlight w:val="green"/>
          <w:lang w:val="en-AU"/>
        </w:rPr>
        <w:t>, with AI being applied across the following functional areas:</w:t>
      </w:r>
    </w:p>
    <w:p w14:paraId="612EFAB9" w14:textId="77777777" w:rsidR="00B66E42" w:rsidRDefault="00C2106B" w:rsidP="00B66E42">
      <w:pPr>
        <w:spacing w:after="0" w:line="240" w:lineRule="auto"/>
        <w:rPr>
          <w:lang w:val="en-AU"/>
        </w:rPr>
      </w:pPr>
      <w:r w:rsidRPr="00C2106B">
        <w:rPr>
          <w:rFonts w:cs="Arial"/>
        </w:rPr>
        <w:t>{% if ai_usage_areas %}</w:t>
      </w:r>
    </w:p>
    <w:p w14:paraId="7F476525" w14:textId="0D57178B" w:rsidR="00C2106B" w:rsidRPr="00B66E42" w:rsidRDefault="00C2106B" w:rsidP="00B66E42">
      <w:pPr>
        <w:spacing w:after="0" w:line="240" w:lineRule="auto"/>
        <w:rPr>
          <w:highlight w:val="green"/>
          <w:lang w:val="en-AU"/>
        </w:rPr>
      </w:pPr>
      <w:r w:rsidRPr="008B6F08">
        <w:rPr>
          <w:rFonts w:cs="Arial"/>
          <w:b/>
          <w:bCs/>
        </w:rPr>
        <w:t>AI Usage Areas:</w:t>
      </w:r>
    </w:p>
    <w:p w14:paraId="71002A2C" w14:textId="77777777" w:rsidR="00C2106B" w:rsidRPr="00C2106B" w:rsidRDefault="00C2106B" w:rsidP="00B66E42">
      <w:pPr>
        <w:spacing w:after="0" w:line="240" w:lineRule="auto"/>
        <w:rPr>
          <w:rFonts w:cs="Arial"/>
        </w:rPr>
      </w:pPr>
      <w:r w:rsidRPr="00C2106B">
        <w:rPr>
          <w:rFonts w:cs="Arial"/>
        </w:rPr>
        <w:t>{% for area in ai_usage_areas %}</w:t>
      </w:r>
    </w:p>
    <w:p w14:paraId="2E5EC79B" w14:textId="60E5EE04" w:rsidR="00C2106B" w:rsidRPr="00C2106B" w:rsidRDefault="00C2106B" w:rsidP="00B66E42">
      <w:pPr>
        <w:pStyle w:val="ListParagraph"/>
        <w:numPr>
          <w:ilvl w:val="0"/>
          <w:numId w:val="54"/>
        </w:numPr>
        <w:spacing w:after="0" w:line="240" w:lineRule="auto"/>
        <w:contextualSpacing w:val="0"/>
        <w:rPr>
          <w:rFonts w:cs="Arial"/>
        </w:rPr>
      </w:pPr>
      <w:r w:rsidRPr="00C2106B">
        <w:rPr>
          <w:rFonts w:cs="Arial"/>
        </w:rPr>
        <w:t>{{ area }}</w:t>
      </w:r>
    </w:p>
    <w:p w14:paraId="051C5543" w14:textId="77777777" w:rsidR="00C2106B" w:rsidRPr="00C2106B" w:rsidRDefault="00C2106B" w:rsidP="00B66E42">
      <w:pPr>
        <w:spacing w:after="0" w:line="240" w:lineRule="auto"/>
        <w:rPr>
          <w:rFonts w:cs="Arial"/>
        </w:rPr>
      </w:pPr>
      <w:r w:rsidRPr="00C2106B">
        <w:rPr>
          <w:rFonts w:cs="Arial"/>
        </w:rPr>
        <w:t>{% endfor %}</w:t>
      </w:r>
    </w:p>
    <w:p w14:paraId="2AFF978D" w14:textId="77777777" w:rsidR="00C2106B" w:rsidRPr="00C2106B" w:rsidRDefault="00C2106B" w:rsidP="00B66E42">
      <w:pPr>
        <w:spacing w:after="0" w:line="240" w:lineRule="auto"/>
        <w:rPr>
          <w:rFonts w:cs="Arial"/>
        </w:rPr>
      </w:pPr>
      <w:r w:rsidRPr="00C2106B">
        <w:rPr>
          <w:rFonts w:cs="Arial"/>
        </w:rPr>
        <w:t>{% else %}</w:t>
      </w:r>
    </w:p>
    <w:p w14:paraId="2A65B625" w14:textId="77777777" w:rsidR="00C2106B" w:rsidRPr="008B6F08" w:rsidRDefault="00C2106B" w:rsidP="00B66E42">
      <w:pPr>
        <w:spacing w:after="0" w:line="240" w:lineRule="auto"/>
        <w:rPr>
          <w:rFonts w:cs="Arial"/>
          <w:b/>
          <w:bCs/>
        </w:rPr>
      </w:pPr>
      <w:r w:rsidRPr="008B6F08">
        <w:rPr>
          <w:rFonts w:cs="Arial"/>
          <w:b/>
          <w:bCs/>
        </w:rPr>
        <w:t>AI Usage Areas:</w:t>
      </w:r>
    </w:p>
    <w:p w14:paraId="1B096C94" w14:textId="52E03911" w:rsidR="00C2106B" w:rsidRPr="00C36E2C" w:rsidRDefault="00C2106B" w:rsidP="00B66E42">
      <w:pPr>
        <w:pStyle w:val="ListParagraph"/>
        <w:numPr>
          <w:ilvl w:val="0"/>
          <w:numId w:val="56"/>
        </w:numPr>
        <w:spacing w:after="0" w:line="240" w:lineRule="auto"/>
        <w:contextualSpacing w:val="0"/>
        <w:rPr>
          <w:rFonts w:cs="Arial"/>
        </w:rPr>
      </w:pPr>
      <w:r w:rsidRPr="00C36E2C">
        <w:rPr>
          <w:rFonts w:cs="Arial"/>
        </w:rPr>
        <w:t>Not specified</w:t>
      </w:r>
    </w:p>
    <w:p w14:paraId="25F31C07" w14:textId="53973A03" w:rsidR="008B4CF6" w:rsidRPr="002C35BA" w:rsidRDefault="00C2106B" w:rsidP="00B66E42">
      <w:pPr>
        <w:spacing w:after="0" w:line="240" w:lineRule="auto"/>
        <w:rPr>
          <w:highlight w:val="yellow"/>
          <w:lang w:val="en-AU"/>
        </w:rPr>
      </w:pPr>
      <w:r w:rsidRPr="00C2106B">
        <w:rPr>
          <w:rFonts w:cs="Arial"/>
        </w:rPr>
        <w:t>{% endif %}</w:t>
      </w:r>
    </w:p>
    <w:p w14:paraId="5DB5CB2D" w14:textId="77777777" w:rsidR="002C35BA" w:rsidRPr="002C35BA" w:rsidRDefault="002C35BA" w:rsidP="002C35BA">
      <w:pPr>
        <w:spacing w:before="100" w:beforeAutospacing="1" w:after="100" w:afterAutospacing="1" w:line="240" w:lineRule="auto"/>
        <w:rPr>
          <w:highlight w:val="green"/>
          <w:lang w:val="en-AU"/>
        </w:rPr>
      </w:pPr>
      <w:r w:rsidRPr="002C35BA">
        <w:rPr>
          <w:highlight w:val="green"/>
          <w:lang w:val="en-AU"/>
        </w:rPr>
        <w:t xml:space="preserve">AI solutions are delivered through a </w:t>
      </w:r>
      <w:r w:rsidRPr="002C35BA">
        <w:rPr>
          <w:b/>
          <w:bCs/>
          <w:highlight w:val="green"/>
          <w:lang w:val="en-AU"/>
        </w:rPr>
        <w:t>{{ai_sourcing_model}}</w:t>
      </w:r>
      <w:r w:rsidRPr="002C35BA">
        <w:rPr>
          <w:highlight w:val="green"/>
          <w:lang w:val="en-AU"/>
        </w:rPr>
        <w:t xml:space="preserve"> sourcing model, influencing how accountability, risk ownership, and governance responsibilities are distributed between internal teams and external providers.</w:t>
      </w:r>
    </w:p>
    <w:p w14:paraId="22407310" w14:textId="77777777" w:rsidR="002C35BA" w:rsidRPr="002C35BA" w:rsidRDefault="002C35BA" w:rsidP="002C35BA">
      <w:pPr>
        <w:spacing w:before="100" w:beforeAutospacing="1" w:after="100" w:afterAutospacing="1" w:line="240" w:lineRule="auto"/>
        <w:rPr>
          <w:lang w:val="en-AU"/>
        </w:rPr>
      </w:pPr>
      <w:r w:rsidRPr="002C35BA">
        <w:rPr>
          <w:highlight w:val="green"/>
          <w:lang w:val="en-AU"/>
        </w:rPr>
        <w:t>This landscape indicates the breadth and diversity of AI use within the organisation and provides important context for interpreting maturity results. Maturity at this level reflects how well AI activity is coordinated and governed across these use cases, rather than the sophistication of individual implementations.</w:t>
      </w:r>
    </w:p>
    <w:p w14:paraId="5C611BE3" w14:textId="7268F7D2" w:rsidR="00414B98" w:rsidRPr="00414B98" w:rsidRDefault="003A1D51" w:rsidP="00414B98">
      <w:pPr>
        <w:spacing w:before="100" w:beforeAutospacing="1" w:after="100" w:afterAutospacing="1" w:line="240" w:lineRule="auto"/>
        <w:rPr>
          <w:b/>
          <w:bCs/>
        </w:rPr>
      </w:pPr>
      <w:r>
        <w:rPr>
          <w:b/>
          <w:bCs/>
        </w:rPr>
        <w:t>AI Landscape</w:t>
      </w:r>
      <w:r w:rsidR="00414B98">
        <w:rPr>
          <w:b/>
          <w:bCs/>
        </w:rPr>
        <w:t xml:space="preserve"> Summary</w:t>
      </w:r>
    </w:p>
    <w:p w14:paraId="1B080394" w14:textId="0605E948" w:rsidR="00297A33" w:rsidRPr="00FA2461" w:rsidRDefault="00886087" w:rsidP="00297A33">
      <w:pPr>
        <w:spacing w:before="100" w:beforeAutospacing="1" w:after="100" w:afterAutospacing="1" w:line="240" w:lineRule="auto"/>
        <w:rPr>
          <w:lang w:val="en-AU"/>
        </w:rPr>
      </w:pPr>
      <w:r w:rsidRPr="0026295C">
        <w:rPr>
          <w:highlight w:val="yellow"/>
          <w:lang w:val="en-AU"/>
        </w:rPr>
        <w:t>{{ai.</w:t>
      </w:r>
      <w:r w:rsidR="007E7313">
        <w:rPr>
          <w:highlight w:val="yellow"/>
          <w:lang w:val="en-AU"/>
        </w:rPr>
        <w:t>o_landscape</w:t>
      </w:r>
      <w:r w:rsidRPr="0026295C">
        <w:rPr>
          <w:highlight w:val="yellow"/>
          <w:lang w:val="en-AU"/>
        </w:rPr>
        <w:t>}}</w:t>
      </w:r>
    </w:p>
    <w:p w14:paraId="47D80001" w14:textId="6984C813" w:rsidR="00CB0337" w:rsidRPr="005052FC" w:rsidRDefault="00104314" w:rsidP="00A87181">
      <w:pPr>
        <w:pStyle w:val="Heading01"/>
        <w:rPr>
          <w:lang w:val="en-AU" w:eastAsia="en-AU"/>
        </w:rPr>
      </w:pPr>
      <w:bookmarkStart w:id="3" w:name="_Toc219659828"/>
      <w:r>
        <w:rPr>
          <w:lang w:val="en-AU" w:eastAsia="en-AU"/>
        </w:rPr>
        <w:t>Governance, Oversight</w:t>
      </w:r>
      <w:r w:rsidR="00F3725F" w:rsidRPr="005052FC">
        <w:rPr>
          <w:lang w:val="en-AU" w:eastAsia="en-AU"/>
        </w:rPr>
        <w:t xml:space="preserve"> &amp; </w:t>
      </w:r>
      <w:r w:rsidR="00C02633">
        <w:rPr>
          <w:lang w:val="en-AU" w:eastAsia="en-AU"/>
        </w:rPr>
        <w:t xml:space="preserve">Accountability </w:t>
      </w:r>
      <w:bookmarkEnd w:id="3"/>
      <w:r w:rsidR="00C02633">
        <w:rPr>
          <w:lang w:val="en-AU" w:eastAsia="en-AU"/>
        </w:rPr>
        <w:t>Maturity</w:t>
      </w:r>
    </w:p>
    <w:p w14:paraId="02D911F4" w14:textId="77777777" w:rsidR="007076AA" w:rsidRDefault="007076AA" w:rsidP="00295242">
      <w:pPr>
        <w:spacing w:before="100" w:beforeAutospacing="1" w:after="100" w:afterAutospacing="1" w:line="240" w:lineRule="auto"/>
      </w:pPr>
      <w:r w:rsidRPr="007076AA">
        <w:rPr>
          <w:highlight w:val="green"/>
        </w:rPr>
        <w:t>This section examines the maturity of governance structures and accountability mechanisms supporting AI across the organisation. It focuses on how responsibility for AI decision-making, oversight, and escalation is established and applied in practice. The analysis considers whether governance arrangements are formalised and consistently applied, or whether oversight remains dependent on individuals, informal practices, or specific business units.</w:t>
      </w:r>
    </w:p>
    <w:p w14:paraId="533E9337" w14:textId="77777777" w:rsidR="00DD063E" w:rsidRPr="00DD063E" w:rsidRDefault="00DD063E" w:rsidP="00DD063E">
      <w:pPr>
        <w:spacing w:before="100" w:beforeAutospacing="1" w:after="100" w:afterAutospacing="1" w:line="240" w:lineRule="auto"/>
        <w:rPr>
          <w:highlight w:val="green"/>
          <w:lang w:val="en-AU"/>
        </w:rPr>
      </w:pPr>
      <w:r w:rsidRPr="00DD063E">
        <w:rPr>
          <w:highlight w:val="green"/>
          <w:lang w:val="en-AU"/>
        </w:rPr>
        <w:t xml:space="preserve">Governance arrangements for AI within </w:t>
      </w:r>
      <w:r w:rsidRPr="00652438">
        <w:rPr>
          <w:b/>
          <w:bCs/>
          <w:highlight w:val="green"/>
          <w:lang w:val="en-AU"/>
        </w:rPr>
        <w:t>{{org_name}}</w:t>
      </w:r>
      <w:r w:rsidRPr="00DD063E">
        <w:rPr>
          <w:highlight w:val="green"/>
          <w:lang w:val="en-AU"/>
        </w:rPr>
        <w:t xml:space="preserve"> currently reflect a </w:t>
      </w:r>
      <w:r w:rsidRPr="00DD063E">
        <w:rPr>
          <w:b/>
          <w:bCs/>
          <w:highlight w:val="green"/>
          <w:lang w:val="en-AU"/>
        </w:rPr>
        <w:t>{{overall.tier}}</w:t>
      </w:r>
      <w:r w:rsidRPr="00DD063E">
        <w:rPr>
          <w:highlight w:val="green"/>
          <w:lang w:val="en-AU"/>
        </w:rPr>
        <w:t xml:space="preserve"> level of organisational maturity. Oversight structures include an AI governance committee status of </w:t>
      </w:r>
      <w:r w:rsidRPr="00DD063E">
        <w:rPr>
          <w:b/>
          <w:bCs/>
          <w:highlight w:val="green"/>
          <w:lang w:val="en-AU"/>
        </w:rPr>
        <w:t>{{ai_governance_committee_status}}</w:t>
      </w:r>
      <w:r w:rsidRPr="00DD063E">
        <w:rPr>
          <w:highlight w:val="green"/>
          <w:lang w:val="en-AU"/>
        </w:rPr>
        <w:t xml:space="preserve">, with executive engagement described as </w:t>
      </w:r>
      <w:r w:rsidRPr="00DD063E">
        <w:rPr>
          <w:b/>
          <w:bCs/>
          <w:highlight w:val="green"/>
          <w:lang w:val="en-AU"/>
        </w:rPr>
        <w:t>{{exec_engagement_level}}</w:t>
      </w:r>
      <w:r w:rsidRPr="00DD063E">
        <w:rPr>
          <w:highlight w:val="green"/>
          <w:lang w:val="en-AU"/>
        </w:rPr>
        <w:t>.</w:t>
      </w:r>
    </w:p>
    <w:p w14:paraId="22A299CC" w14:textId="77777777" w:rsidR="00DD063E" w:rsidRPr="00DD063E" w:rsidRDefault="00DD063E" w:rsidP="00DD063E">
      <w:pPr>
        <w:spacing w:before="100" w:beforeAutospacing="1" w:after="100" w:afterAutospacing="1" w:line="240" w:lineRule="auto"/>
        <w:rPr>
          <w:highlight w:val="green"/>
          <w:lang w:val="en-AU"/>
        </w:rPr>
      </w:pPr>
      <w:r w:rsidRPr="00DD063E">
        <w:rPr>
          <w:highlight w:val="green"/>
          <w:lang w:val="en-AU"/>
        </w:rPr>
        <w:t xml:space="preserve">An organisation-wide AI register is reported as </w:t>
      </w:r>
      <w:r w:rsidRPr="00DD063E">
        <w:rPr>
          <w:b/>
          <w:bCs/>
          <w:highlight w:val="green"/>
          <w:lang w:val="en-AU"/>
        </w:rPr>
        <w:t>{{ai_register_status}}</w:t>
      </w:r>
      <w:r w:rsidRPr="00DD063E">
        <w:rPr>
          <w:highlight w:val="green"/>
          <w:lang w:val="en-AU"/>
        </w:rPr>
        <w:t>, providing varying levels of visibility into AI initiatives and associated risks. These governance mechanisms influence how consistently AI decisions are reviewed, approved, and escalated across business units.</w:t>
      </w:r>
    </w:p>
    <w:p w14:paraId="52F2E167" w14:textId="77777777" w:rsidR="00DD063E" w:rsidRPr="00DD063E" w:rsidRDefault="00DD063E" w:rsidP="00DD063E">
      <w:pPr>
        <w:spacing w:before="100" w:beforeAutospacing="1" w:after="100" w:afterAutospacing="1" w:line="240" w:lineRule="auto"/>
        <w:rPr>
          <w:lang w:val="en-AU"/>
        </w:rPr>
      </w:pPr>
      <w:r w:rsidRPr="00DD063E">
        <w:rPr>
          <w:highlight w:val="green"/>
          <w:lang w:val="en-AU"/>
        </w:rPr>
        <w:t>The maturity signals in this domain indicate whether AI governance is embedded and repeatable across the organisation, or whether oversight remains fragmented or dependent on informal practices and individual roles.</w:t>
      </w:r>
    </w:p>
    <w:p w14:paraId="23D42E16" w14:textId="668F8165" w:rsidR="00295242" w:rsidRDefault="00DC66EC" w:rsidP="00295242">
      <w:pPr>
        <w:spacing w:before="100" w:beforeAutospacing="1" w:after="100" w:afterAutospacing="1" w:line="240" w:lineRule="auto"/>
        <w:rPr>
          <w:b/>
          <w:bCs/>
        </w:rPr>
      </w:pPr>
      <w:r>
        <w:rPr>
          <w:b/>
          <w:bCs/>
        </w:rPr>
        <w:t>Governance</w:t>
      </w:r>
      <w:r w:rsidR="002F0C46">
        <w:rPr>
          <w:b/>
          <w:bCs/>
        </w:rPr>
        <w:t xml:space="preserve">, Oversight &amp; Accountability </w:t>
      </w:r>
      <w:r w:rsidR="0082189E">
        <w:rPr>
          <w:b/>
          <w:bCs/>
        </w:rPr>
        <w:t>Summary</w:t>
      </w:r>
    </w:p>
    <w:p w14:paraId="6804F5AA" w14:textId="206B502C" w:rsidR="00F91932" w:rsidRPr="00F91932" w:rsidRDefault="00F91932" w:rsidP="00295242">
      <w:pPr>
        <w:spacing w:before="100" w:beforeAutospacing="1" w:after="100" w:afterAutospacing="1" w:line="240" w:lineRule="auto"/>
      </w:pPr>
      <w:r w:rsidRPr="0094644E">
        <w:rPr>
          <w:highlight w:val="yellow"/>
        </w:rPr>
        <w:t>{{ai.</w:t>
      </w:r>
      <w:r w:rsidR="00A22C4B">
        <w:rPr>
          <w:highlight w:val="yellow"/>
        </w:rPr>
        <w:t>o</w:t>
      </w:r>
      <w:r w:rsidR="00F739F0">
        <w:rPr>
          <w:highlight w:val="yellow"/>
        </w:rPr>
        <w:t>_</w:t>
      </w:r>
      <w:r w:rsidR="00A22C4B">
        <w:rPr>
          <w:highlight w:val="yellow"/>
        </w:rPr>
        <w:t>gov_</w:t>
      </w:r>
      <w:r w:rsidR="00386E14">
        <w:rPr>
          <w:highlight w:val="yellow"/>
        </w:rPr>
        <w:t>oversight</w:t>
      </w:r>
      <w:r w:rsidRPr="0094644E">
        <w:rPr>
          <w:highlight w:val="yellow"/>
        </w:rPr>
        <w:t>}}</w:t>
      </w:r>
    </w:p>
    <w:p w14:paraId="5E7C8DD2" w14:textId="02D0C890" w:rsidR="00C02633" w:rsidRDefault="00E92A54" w:rsidP="0030628A">
      <w:pPr>
        <w:pStyle w:val="Heading01"/>
        <w:rPr>
          <w:lang w:val="en-AU" w:eastAsia="en-AU"/>
        </w:rPr>
      </w:pPr>
      <w:bookmarkStart w:id="4" w:name="_Toc219659829"/>
      <w:r>
        <w:rPr>
          <w:lang w:val="en-AU" w:eastAsia="en-AU"/>
        </w:rPr>
        <w:t>Risk, Policy &amp; Framework Alignment Maturity</w:t>
      </w:r>
    </w:p>
    <w:p w14:paraId="1FE31CDE" w14:textId="6720E9BB" w:rsidR="00E92A54" w:rsidRDefault="00333E49" w:rsidP="00E92A54">
      <w:pPr>
        <w:pStyle w:val="Heading01"/>
        <w:numPr>
          <w:ilvl w:val="0"/>
          <w:numId w:val="0"/>
        </w:numPr>
        <w:rPr>
          <w:b w:val="0"/>
          <w:bCs w:val="0"/>
          <w:sz w:val="24"/>
          <w:szCs w:val="24"/>
          <w:lang w:eastAsia="en-AU"/>
        </w:rPr>
      </w:pPr>
      <w:r w:rsidRPr="00333E49">
        <w:rPr>
          <w:b w:val="0"/>
          <w:bCs w:val="0"/>
          <w:sz w:val="24"/>
          <w:szCs w:val="24"/>
          <w:highlight w:val="green"/>
          <w:lang w:eastAsia="en-AU"/>
        </w:rPr>
        <w:t>This section explores how AI-related risk, policy, and framework considerations are addressed at an organisational level. It assesses the extent to which recognised AI frameworks, risk assessment practices, and policy review processes are applied consistently across the enterprise. The focus is on maturity and integration, rather than on control effectiveness or regulatory compliance.</w:t>
      </w:r>
    </w:p>
    <w:p w14:paraId="653220EE" w14:textId="5CD6BB07" w:rsidR="00292A90" w:rsidRPr="00A35E7E" w:rsidRDefault="00292A90" w:rsidP="00A35E7E">
      <w:pPr>
        <w:pStyle w:val="Heading01"/>
        <w:numPr>
          <w:ilvl w:val="0"/>
          <w:numId w:val="0"/>
        </w:numPr>
        <w:rPr>
          <w:b w:val="0"/>
          <w:bCs w:val="0"/>
          <w:sz w:val="24"/>
          <w:szCs w:val="24"/>
          <w:highlight w:val="green"/>
          <w:lang w:eastAsia="en-AU"/>
        </w:rPr>
      </w:pPr>
      <w:r w:rsidRPr="00BA5ED8">
        <w:rPr>
          <w:sz w:val="24"/>
          <w:szCs w:val="24"/>
          <w:highlight w:val="green"/>
          <w:lang w:eastAsia="en-AU"/>
        </w:rPr>
        <w:t>{{org_name}}</w:t>
      </w:r>
      <w:r w:rsidRPr="00A35E7E">
        <w:rPr>
          <w:b w:val="0"/>
          <w:bCs w:val="0"/>
          <w:sz w:val="24"/>
          <w:szCs w:val="24"/>
          <w:highlight w:val="green"/>
          <w:lang w:eastAsia="en-AU"/>
        </w:rPr>
        <w:t xml:space="preserve"> references the following AI-related frameworks and guidance when managing AI risk and policy considerations:</w:t>
      </w:r>
    </w:p>
    <w:p w14:paraId="3E21078F" w14:textId="77777777" w:rsidR="00D96028" w:rsidRDefault="00D96028" w:rsidP="00D96028">
      <w:pPr>
        <w:spacing w:after="0" w:line="240" w:lineRule="auto"/>
        <w:rPr>
          <w:rFonts w:cs="Arial"/>
        </w:rPr>
      </w:pPr>
    </w:p>
    <w:p w14:paraId="30E809F8" w14:textId="354EFE7B" w:rsidR="00D96028" w:rsidRPr="00C2106B" w:rsidRDefault="00D96028" w:rsidP="00D96028">
      <w:pPr>
        <w:spacing w:after="0" w:line="240" w:lineRule="auto"/>
        <w:rPr>
          <w:rFonts w:cs="Arial"/>
        </w:rPr>
      </w:pPr>
      <w:r w:rsidRPr="00C2106B">
        <w:rPr>
          <w:rFonts w:cs="Arial"/>
        </w:rPr>
        <w:t>{% if ai_</w:t>
      </w:r>
      <w:r w:rsidR="00462CEE">
        <w:rPr>
          <w:rFonts w:cs="Arial"/>
        </w:rPr>
        <w:t>frameworks</w:t>
      </w:r>
      <w:r w:rsidRPr="00C2106B">
        <w:rPr>
          <w:rFonts w:cs="Arial"/>
        </w:rPr>
        <w:t xml:space="preserve"> %}</w:t>
      </w:r>
    </w:p>
    <w:p w14:paraId="50D33108" w14:textId="4D73CFD4" w:rsidR="00D96028" w:rsidRPr="00BA5ED8" w:rsidRDefault="00D96028" w:rsidP="00D96028">
      <w:pPr>
        <w:spacing w:after="0" w:line="240" w:lineRule="auto"/>
        <w:rPr>
          <w:rFonts w:cs="Arial"/>
          <w:b/>
          <w:bCs/>
        </w:rPr>
      </w:pPr>
      <w:r w:rsidRPr="00BA5ED8">
        <w:rPr>
          <w:rFonts w:cs="Arial"/>
          <w:b/>
          <w:bCs/>
        </w:rPr>
        <w:t xml:space="preserve">AI </w:t>
      </w:r>
      <w:r w:rsidR="00462CEE" w:rsidRPr="00BA5ED8">
        <w:rPr>
          <w:rFonts w:cs="Arial"/>
          <w:b/>
          <w:bCs/>
        </w:rPr>
        <w:t>frameworks referenced</w:t>
      </w:r>
      <w:r w:rsidRPr="00BA5ED8">
        <w:rPr>
          <w:rFonts w:cs="Arial"/>
          <w:b/>
          <w:bCs/>
        </w:rPr>
        <w:t>:</w:t>
      </w:r>
    </w:p>
    <w:p w14:paraId="510CD3C0" w14:textId="3D1D2343" w:rsidR="00D96028" w:rsidRPr="00C2106B" w:rsidRDefault="00D96028" w:rsidP="00D96028">
      <w:pPr>
        <w:spacing w:after="0" w:line="240" w:lineRule="auto"/>
        <w:rPr>
          <w:rFonts w:cs="Arial"/>
        </w:rPr>
      </w:pPr>
      <w:r w:rsidRPr="00C2106B">
        <w:rPr>
          <w:rFonts w:cs="Arial"/>
        </w:rPr>
        <w:t xml:space="preserve">{% for </w:t>
      </w:r>
      <w:r w:rsidR="00462CEE">
        <w:rPr>
          <w:rFonts w:cs="Arial"/>
        </w:rPr>
        <w:t>frameworks</w:t>
      </w:r>
      <w:r w:rsidRPr="00C2106B">
        <w:rPr>
          <w:rFonts w:cs="Arial"/>
        </w:rPr>
        <w:t xml:space="preserve"> in ai_</w:t>
      </w:r>
      <w:r w:rsidR="00462CEE">
        <w:rPr>
          <w:rFonts w:cs="Arial"/>
        </w:rPr>
        <w:t>frameworks</w:t>
      </w:r>
      <w:r w:rsidRPr="00C2106B">
        <w:rPr>
          <w:rFonts w:cs="Arial"/>
        </w:rPr>
        <w:t xml:space="preserve"> %}</w:t>
      </w:r>
    </w:p>
    <w:p w14:paraId="74245067" w14:textId="56487E31" w:rsidR="00D96028" w:rsidRPr="00C2106B" w:rsidRDefault="00D96028" w:rsidP="00D96028">
      <w:pPr>
        <w:pStyle w:val="ListParagraph"/>
        <w:numPr>
          <w:ilvl w:val="0"/>
          <w:numId w:val="54"/>
        </w:numPr>
        <w:spacing w:after="0" w:line="240" w:lineRule="auto"/>
        <w:rPr>
          <w:rFonts w:cs="Arial"/>
        </w:rPr>
      </w:pPr>
      <w:r w:rsidRPr="00C2106B">
        <w:rPr>
          <w:rFonts w:cs="Arial"/>
        </w:rPr>
        <w:t xml:space="preserve">{{ </w:t>
      </w:r>
      <w:r w:rsidR="00462CEE">
        <w:rPr>
          <w:rFonts w:cs="Arial"/>
        </w:rPr>
        <w:t>frameworks</w:t>
      </w:r>
      <w:r w:rsidRPr="00C2106B">
        <w:rPr>
          <w:rFonts w:cs="Arial"/>
        </w:rPr>
        <w:t xml:space="preserve"> }}</w:t>
      </w:r>
    </w:p>
    <w:p w14:paraId="302D6F96" w14:textId="77777777" w:rsidR="00D96028" w:rsidRPr="00C2106B" w:rsidRDefault="00D96028" w:rsidP="00D96028">
      <w:pPr>
        <w:spacing w:after="0" w:line="240" w:lineRule="auto"/>
        <w:rPr>
          <w:rFonts w:cs="Arial"/>
        </w:rPr>
      </w:pPr>
      <w:r w:rsidRPr="00C2106B">
        <w:rPr>
          <w:rFonts w:cs="Arial"/>
        </w:rPr>
        <w:t>{% endfor %}</w:t>
      </w:r>
    </w:p>
    <w:p w14:paraId="5A1EA42F" w14:textId="77777777" w:rsidR="00D96028" w:rsidRPr="00C2106B" w:rsidRDefault="00D96028" w:rsidP="00D96028">
      <w:pPr>
        <w:spacing w:after="0" w:line="240" w:lineRule="auto"/>
        <w:rPr>
          <w:rFonts w:cs="Arial"/>
        </w:rPr>
      </w:pPr>
      <w:r w:rsidRPr="00C2106B">
        <w:rPr>
          <w:rFonts w:cs="Arial"/>
        </w:rPr>
        <w:t>{% else %}</w:t>
      </w:r>
    </w:p>
    <w:p w14:paraId="35063577" w14:textId="77777777" w:rsidR="00462CEE" w:rsidRPr="00462CEE" w:rsidRDefault="00462CEE" w:rsidP="00462CEE">
      <w:pPr>
        <w:spacing w:after="0" w:line="240" w:lineRule="auto"/>
        <w:rPr>
          <w:rFonts w:cs="Arial"/>
        </w:rPr>
      </w:pPr>
      <w:r w:rsidRPr="00462CEE">
        <w:rPr>
          <w:rFonts w:cs="Arial"/>
        </w:rPr>
        <w:t>AI frameworks referenced:</w:t>
      </w:r>
    </w:p>
    <w:p w14:paraId="234D5035" w14:textId="422FBE81" w:rsidR="00D96028" w:rsidRPr="00C36E2C" w:rsidRDefault="00D96028" w:rsidP="00D96028">
      <w:pPr>
        <w:pStyle w:val="ListParagraph"/>
        <w:numPr>
          <w:ilvl w:val="0"/>
          <w:numId w:val="56"/>
        </w:numPr>
        <w:spacing w:after="0" w:line="240" w:lineRule="auto"/>
        <w:rPr>
          <w:rFonts w:cs="Arial"/>
        </w:rPr>
      </w:pPr>
      <w:r w:rsidRPr="00C36E2C">
        <w:rPr>
          <w:rFonts w:cs="Arial"/>
        </w:rPr>
        <w:t>No</w:t>
      </w:r>
      <w:r w:rsidR="00462CEE">
        <w:rPr>
          <w:rFonts w:cs="Arial"/>
        </w:rPr>
        <w:t xml:space="preserve"> frameworks </w:t>
      </w:r>
      <w:r w:rsidRPr="00C36E2C">
        <w:rPr>
          <w:rFonts w:cs="Arial"/>
        </w:rPr>
        <w:t>specified</w:t>
      </w:r>
    </w:p>
    <w:p w14:paraId="680ABFBE" w14:textId="77777777" w:rsidR="00D96028" w:rsidRPr="002C35BA" w:rsidRDefault="00D96028" w:rsidP="00D96028">
      <w:pPr>
        <w:spacing w:after="0" w:line="240" w:lineRule="auto"/>
        <w:rPr>
          <w:highlight w:val="yellow"/>
          <w:lang w:val="en-AU"/>
        </w:rPr>
      </w:pPr>
      <w:r w:rsidRPr="00C2106B">
        <w:rPr>
          <w:rFonts w:cs="Arial"/>
        </w:rPr>
        <w:t>{% endif %}</w:t>
      </w:r>
    </w:p>
    <w:p w14:paraId="3B5238DC" w14:textId="014F9F8C" w:rsidR="00292A90" w:rsidRPr="00A35E7E" w:rsidRDefault="00292A90" w:rsidP="00A35E7E">
      <w:pPr>
        <w:pStyle w:val="Heading01"/>
        <w:numPr>
          <w:ilvl w:val="0"/>
          <w:numId w:val="0"/>
        </w:numPr>
        <w:rPr>
          <w:b w:val="0"/>
          <w:bCs w:val="0"/>
          <w:sz w:val="24"/>
          <w:szCs w:val="24"/>
          <w:highlight w:val="green"/>
          <w:lang w:eastAsia="en-AU"/>
        </w:rPr>
      </w:pPr>
      <w:r w:rsidRPr="00A35E7E">
        <w:rPr>
          <w:b w:val="0"/>
          <w:bCs w:val="0"/>
          <w:sz w:val="24"/>
          <w:szCs w:val="24"/>
          <w:highlight w:val="green"/>
          <w:lang w:eastAsia="en-AU"/>
        </w:rPr>
        <w:t xml:space="preserve">AI risk assessments are applied at a level described as </w:t>
      </w:r>
      <w:r w:rsidRPr="00A81713">
        <w:rPr>
          <w:sz w:val="24"/>
          <w:szCs w:val="24"/>
          <w:highlight w:val="green"/>
          <w:lang w:eastAsia="en-AU"/>
        </w:rPr>
        <w:t>{{ai_risk_assessment_usage}}</w:t>
      </w:r>
      <w:r w:rsidRPr="00A35E7E">
        <w:rPr>
          <w:b w:val="0"/>
          <w:bCs w:val="0"/>
          <w:sz w:val="24"/>
          <w:szCs w:val="24"/>
          <w:highlight w:val="green"/>
          <w:lang w:eastAsia="en-AU"/>
        </w:rPr>
        <w:t xml:space="preserve">, while AI-related policies are reviewed </w:t>
      </w:r>
      <w:r w:rsidRPr="00A81713">
        <w:rPr>
          <w:sz w:val="24"/>
          <w:szCs w:val="24"/>
          <w:highlight w:val="green"/>
          <w:lang w:eastAsia="en-AU"/>
        </w:rPr>
        <w:t>{{policy_review_frequency}}</w:t>
      </w:r>
      <w:r w:rsidRPr="00A35E7E">
        <w:rPr>
          <w:b w:val="0"/>
          <w:bCs w:val="0"/>
          <w:sz w:val="24"/>
          <w:szCs w:val="24"/>
          <w:highlight w:val="green"/>
          <w:lang w:eastAsia="en-AU"/>
        </w:rPr>
        <w:t xml:space="preserve"> basis. These practices shape how systematically AI risk is identified, assessed, and revisited over time.</w:t>
      </w:r>
    </w:p>
    <w:p w14:paraId="5C5C324D" w14:textId="77777777" w:rsidR="00292A90" w:rsidRDefault="00292A90" w:rsidP="00A35E7E">
      <w:pPr>
        <w:pStyle w:val="Heading01"/>
        <w:numPr>
          <w:ilvl w:val="0"/>
          <w:numId w:val="0"/>
        </w:numPr>
        <w:rPr>
          <w:b w:val="0"/>
          <w:bCs w:val="0"/>
          <w:sz w:val="24"/>
          <w:szCs w:val="24"/>
          <w:highlight w:val="green"/>
          <w:lang w:eastAsia="en-AU"/>
        </w:rPr>
      </w:pPr>
      <w:r w:rsidRPr="00A35E7E">
        <w:rPr>
          <w:b w:val="0"/>
          <w:bCs w:val="0"/>
          <w:sz w:val="24"/>
          <w:szCs w:val="24"/>
          <w:highlight w:val="green"/>
          <w:lang w:eastAsia="en-AU"/>
        </w:rPr>
        <w:t>The maturity reflected in this domain indicates the extent to which AI risk management is embedded within broader organisational risk practices, rather than being addressed on an ad hoc or project-specific basis.</w:t>
      </w:r>
    </w:p>
    <w:p w14:paraId="66D36153" w14:textId="4DBE88B3" w:rsidR="00F81772" w:rsidRDefault="00F81772" w:rsidP="00F81772">
      <w:pPr>
        <w:spacing w:before="100" w:beforeAutospacing="1" w:after="100" w:afterAutospacing="1" w:line="240" w:lineRule="auto"/>
        <w:rPr>
          <w:b/>
          <w:bCs/>
        </w:rPr>
      </w:pPr>
      <w:r>
        <w:rPr>
          <w:b/>
          <w:bCs/>
        </w:rPr>
        <w:t xml:space="preserve">Risk, Policy &amp; Framework Alignment </w:t>
      </w:r>
      <w:r w:rsidR="00EE5534">
        <w:rPr>
          <w:b/>
          <w:bCs/>
        </w:rPr>
        <w:t>Maturity Summary</w:t>
      </w:r>
    </w:p>
    <w:p w14:paraId="28428A4C" w14:textId="7E04F62A" w:rsidR="00EE5534" w:rsidRDefault="00EE5534" w:rsidP="00EE5534">
      <w:pPr>
        <w:spacing w:before="100" w:beforeAutospacing="1" w:after="100" w:afterAutospacing="1" w:line="240" w:lineRule="auto"/>
      </w:pPr>
      <w:r w:rsidRPr="0094644E">
        <w:rPr>
          <w:highlight w:val="yellow"/>
        </w:rPr>
        <w:t>{{ai.</w:t>
      </w:r>
      <w:r>
        <w:rPr>
          <w:highlight w:val="yellow"/>
        </w:rPr>
        <w:t>o_risk_policy</w:t>
      </w:r>
      <w:r w:rsidRPr="0094644E">
        <w:rPr>
          <w:highlight w:val="yellow"/>
        </w:rPr>
        <w:t>}}</w:t>
      </w:r>
    </w:p>
    <w:p w14:paraId="5E712A72" w14:textId="77777777" w:rsidR="001357CB" w:rsidRPr="00F91932" w:rsidRDefault="001357CB" w:rsidP="00EE5534">
      <w:pPr>
        <w:spacing w:before="100" w:beforeAutospacing="1" w:after="100" w:afterAutospacing="1" w:line="240" w:lineRule="auto"/>
      </w:pPr>
    </w:p>
    <w:p w14:paraId="1580AF49" w14:textId="6059C789" w:rsidR="00333E49" w:rsidRPr="001F5648" w:rsidRDefault="00333E49" w:rsidP="001F5648">
      <w:pPr>
        <w:pStyle w:val="Heading01"/>
        <w:rPr>
          <w:lang w:val="en-AU" w:eastAsia="en-AU"/>
        </w:rPr>
      </w:pPr>
      <w:r w:rsidRPr="001F5648">
        <w:rPr>
          <w:lang w:val="en-AU" w:eastAsia="en-AU"/>
        </w:rPr>
        <w:t>Culture, Capability &amp; Operating Model Maturity</w:t>
      </w:r>
    </w:p>
    <w:p w14:paraId="5399B3C2" w14:textId="58A8736F" w:rsidR="00333E49" w:rsidRDefault="001F5648" w:rsidP="00E92A54">
      <w:pPr>
        <w:pStyle w:val="Heading01"/>
        <w:numPr>
          <w:ilvl w:val="0"/>
          <w:numId w:val="0"/>
        </w:numPr>
        <w:rPr>
          <w:b w:val="0"/>
          <w:bCs w:val="0"/>
          <w:sz w:val="24"/>
          <w:szCs w:val="24"/>
          <w:lang w:eastAsia="en-AU"/>
        </w:rPr>
      </w:pPr>
      <w:r w:rsidRPr="001F5648">
        <w:rPr>
          <w:b w:val="0"/>
          <w:bCs w:val="0"/>
          <w:sz w:val="24"/>
          <w:szCs w:val="24"/>
          <w:highlight w:val="green"/>
          <w:lang w:eastAsia="en-AU"/>
        </w:rPr>
        <w:t>This section considers the cultural and capability foundations required to sustain responsible AI use at scale. It examines workforce awareness, leadership engagement, and the organisation’s operating model for AI-related activities. Particular attention is given to how well organisational culture, training, and leadership expectations align with the maturity posture reflected in the assessment results.</w:t>
      </w:r>
    </w:p>
    <w:p w14:paraId="4D7222F1" w14:textId="70E45A5F" w:rsidR="00556143" w:rsidRPr="00556143" w:rsidRDefault="00556143" w:rsidP="00556143">
      <w:pPr>
        <w:pStyle w:val="Heading01"/>
        <w:numPr>
          <w:ilvl w:val="0"/>
          <w:numId w:val="0"/>
        </w:numPr>
        <w:rPr>
          <w:b w:val="0"/>
          <w:bCs w:val="0"/>
          <w:sz w:val="24"/>
          <w:szCs w:val="24"/>
          <w:highlight w:val="green"/>
          <w:lang w:eastAsia="en-AU"/>
        </w:rPr>
      </w:pPr>
      <w:r w:rsidRPr="00556143">
        <w:rPr>
          <w:b w:val="0"/>
          <w:bCs w:val="0"/>
          <w:sz w:val="24"/>
          <w:szCs w:val="24"/>
          <w:highlight w:val="green"/>
          <w:lang w:eastAsia="en-AU"/>
        </w:rPr>
        <w:t xml:space="preserve">Organisational capability and culture play a significant role in sustaining AI responsibly at scale. Within </w:t>
      </w:r>
      <w:r w:rsidRPr="001357CB">
        <w:rPr>
          <w:sz w:val="24"/>
          <w:szCs w:val="24"/>
          <w:highlight w:val="green"/>
          <w:lang w:eastAsia="en-AU"/>
        </w:rPr>
        <w:t>{{org_name}}</w:t>
      </w:r>
      <w:r w:rsidRPr="00556143">
        <w:rPr>
          <w:b w:val="0"/>
          <w:bCs w:val="0"/>
          <w:sz w:val="24"/>
          <w:szCs w:val="24"/>
          <w:highlight w:val="green"/>
          <w:lang w:eastAsia="en-AU"/>
        </w:rPr>
        <w:t xml:space="preserve">, AI training maturity is described as </w:t>
      </w:r>
      <w:r w:rsidRPr="00AC03E6">
        <w:rPr>
          <w:sz w:val="24"/>
          <w:szCs w:val="24"/>
          <w:highlight w:val="green"/>
          <w:lang w:eastAsia="en-AU"/>
        </w:rPr>
        <w:t>{{ai_training_maturity}}</w:t>
      </w:r>
      <w:r w:rsidRPr="00556143">
        <w:rPr>
          <w:b w:val="0"/>
          <w:bCs w:val="0"/>
          <w:sz w:val="24"/>
          <w:szCs w:val="24"/>
          <w:highlight w:val="green"/>
          <w:lang w:eastAsia="en-AU"/>
        </w:rPr>
        <w:t xml:space="preserve">, while executive engagement with AI-related topics is assessed as </w:t>
      </w:r>
      <w:r w:rsidRPr="00AC03E6">
        <w:rPr>
          <w:sz w:val="24"/>
          <w:szCs w:val="24"/>
          <w:highlight w:val="green"/>
          <w:lang w:eastAsia="en-AU"/>
        </w:rPr>
        <w:t>{{exec_engagement_level}}</w:t>
      </w:r>
      <w:r w:rsidRPr="00556143">
        <w:rPr>
          <w:b w:val="0"/>
          <w:bCs w:val="0"/>
          <w:sz w:val="24"/>
          <w:szCs w:val="24"/>
          <w:highlight w:val="green"/>
          <w:lang w:eastAsia="en-AU"/>
        </w:rPr>
        <w:t>.</w:t>
      </w:r>
    </w:p>
    <w:p w14:paraId="2EB36732" w14:textId="77777777" w:rsidR="00556143" w:rsidRPr="00556143" w:rsidRDefault="00556143" w:rsidP="00556143">
      <w:pPr>
        <w:pStyle w:val="Heading01"/>
        <w:numPr>
          <w:ilvl w:val="0"/>
          <w:numId w:val="0"/>
        </w:numPr>
        <w:rPr>
          <w:b w:val="0"/>
          <w:bCs w:val="0"/>
          <w:sz w:val="24"/>
          <w:szCs w:val="24"/>
          <w:highlight w:val="green"/>
          <w:lang w:eastAsia="en-AU"/>
        </w:rPr>
      </w:pPr>
      <w:r w:rsidRPr="00556143">
        <w:rPr>
          <w:b w:val="0"/>
          <w:bCs w:val="0"/>
          <w:sz w:val="24"/>
          <w:szCs w:val="24"/>
          <w:highlight w:val="green"/>
          <w:lang w:eastAsia="en-AU"/>
        </w:rPr>
        <w:t xml:space="preserve">The organisation’s self-assessed AI maturity rating is </w:t>
      </w:r>
      <w:r w:rsidRPr="000242C4">
        <w:rPr>
          <w:sz w:val="24"/>
          <w:szCs w:val="24"/>
          <w:highlight w:val="green"/>
          <w:lang w:eastAsia="en-AU"/>
        </w:rPr>
        <w:t>{{ai_maturity_self_rating}}</w:t>
      </w:r>
      <w:r w:rsidRPr="00556143">
        <w:rPr>
          <w:b w:val="0"/>
          <w:bCs w:val="0"/>
          <w:sz w:val="24"/>
          <w:szCs w:val="24"/>
          <w:highlight w:val="green"/>
          <w:lang w:eastAsia="en-AU"/>
        </w:rPr>
        <w:t>, providing insight into leadership perception of AI maturity relative to assessed outcomes. Alignment or divergence between perceived and assessed maturity can influence decision-making, prioritisation, and risk tolerance.</w:t>
      </w:r>
    </w:p>
    <w:p w14:paraId="338AB55E" w14:textId="06F34485" w:rsidR="00556143" w:rsidRPr="00556143" w:rsidRDefault="00556143" w:rsidP="00556143">
      <w:pPr>
        <w:pStyle w:val="Heading01"/>
        <w:numPr>
          <w:ilvl w:val="0"/>
          <w:numId w:val="0"/>
        </w:numPr>
        <w:rPr>
          <w:b w:val="0"/>
          <w:bCs w:val="0"/>
          <w:sz w:val="24"/>
          <w:szCs w:val="24"/>
          <w:highlight w:val="green"/>
          <w:lang w:eastAsia="en-AU"/>
        </w:rPr>
      </w:pPr>
      <w:r w:rsidRPr="00556143">
        <w:rPr>
          <w:b w:val="0"/>
          <w:bCs w:val="0"/>
          <w:sz w:val="24"/>
          <w:szCs w:val="24"/>
          <w:highlight w:val="green"/>
          <w:lang w:eastAsia="en-AU"/>
        </w:rPr>
        <w:t>This section reflects how cultural readiness, leadership tone, and operating models support or constrain the organisation’s ability to manage AI consistently across the enterprise.</w:t>
      </w:r>
      <w:r w:rsidR="00D47E99">
        <w:rPr>
          <w:b w:val="0"/>
          <w:bCs w:val="0"/>
          <w:sz w:val="24"/>
          <w:szCs w:val="24"/>
          <w:highlight w:val="green"/>
          <w:lang w:eastAsia="en-AU"/>
        </w:rPr>
        <w:t xml:space="preserve"> </w:t>
      </w:r>
      <w:r w:rsidR="00D47E99" w:rsidRPr="00D47E99">
        <w:rPr>
          <w:b w:val="0"/>
          <w:bCs w:val="0"/>
          <w:sz w:val="24"/>
          <w:szCs w:val="24"/>
          <w:highlight w:val="yellow"/>
          <w:lang w:eastAsia="en-AU"/>
        </w:rPr>
        <w:t>(DELETE)?</w:t>
      </w:r>
    </w:p>
    <w:p w14:paraId="1F7C842C" w14:textId="1FDEED92" w:rsidR="001C07FD" w:rsidRDefault="001C07FD" w:rsidP="001C07FD">
      <w:pPr>
        <w:spacing w:before="100" w:beforeAutospacing="1" w:after="100" w:afterAutospacing="1" w:line="240" w:lineRule="auto"/>
        <w:rPr>
          <w:b/>
          <w:bCs/>
        </w:rPr>
      </w:pPr>
      <w:r>
        <w:rPr>
          <w:b/>
          <w:bCs/>
        </w:rPr>
        <w:t>Culture, Capability &amp; Operating</w:t>
      </w:r>
      <w:r w:rsidR="00876B27">
        <w:rPr>
          <w:b/>
          <w:bCs/>
        </w:rPr>
        <w:t xml:space="preserve"> Model Maturity Summary</w:t>
      </w:r>
    </w:p>
    <w:p w14:paraId="159C7C1A" w14:textId="5FDF035C" w:rsidR="00876B27" w:rsidRDefault="00876B27" w:rsidP="00876B27">
      <w:pPr>
        <w:spacing w:before="100" w:beforeAutospacing="1" w:after="100" w:afterAutospacing="1" w:line="240" w:lineRule="auto"/>
      </w:pPr>
      <w:r w:rsidRPr="0094644E">
        <w:rPr>
          <w:highlight w:val="yellow"/>
        </w:rPr>
        <w:t>{{ai.</w:t>
      </w:r>
      <w:r>
        <w:rPr>
          <w:highlight w:val="yellow"/>
        </w:rPr>
        <w:t>o_culture_capability</w:t>
      </w:r>
      <w:r w:rsidRPr="0094644E">
        <w:rPr>
          <w:highlight w:val="yellow"/>
        </w:rPr>
        <w:t>}}</w:t>
      </w:r>
    </w:p>
    <w:p w14:paraId="7C76B587" w14:textId="31C762F4" w:rsidR="00CB0337" w:rsidRPr="005052FC" w:rsidRDefault="000C0904" w:rsidP="0030628A">
      <w:pPr>
        <w:pStyle w:val="Heading01"/>
        <w:rPr>
          <w:lang w:val="en-AU" w:eastAsia="en-AU"/>
        </w:rPr>
      </w:pPr>
      <w:r>
        <w:rPr>
          <w:lang w:val="en-AU" w:eastAsia="en-AU"/>
        </w:rPr>
        <w:t xml:space="preserve">Organisation-wide AI Maturity </w:t>
      </w:r>
      <w:r w:rsidR="006712F7" w:rsidRPr="005052FC">
        <w:rPr>
          <w:lang w:val="en-AU" w:eastAsia="en-AU"/>
        </w:rPr>
        <w:t>Results</w:t>
      </w:r>
      <w:bookmarkEnd w:id="4"/>
      <w:r w:rsidR="0059591B">
        <w:rPr>
          <w:lang w:val="en-AU" w:eastAsia="en-AU"/>
        </w:rPr>
        <w:t xml:space="preserve"> (Domain Level)</w:t>
      </w:r>
    </w:p>
    <w:p w14:paraId="010ECF54" w14:textId="77777777" w:rsidR="000C0904" w:rsidRDefault="000C0904" w:rsidP="007F26EA">
      <w:pPr>
        <w:spacing w:before="100" w:beforeAutospacing="1" w:after="100" w:afterAutospacing="1" w:line="240" w:lineRule="auto"/>
      </w:pPr>
      <w:r w:rsidRPr="000C0904">
        <w:rPr>
          <w:highlight w:val="green"/>
        </w:rPr>
        <w:t>This section presents the consolidated AI maturity results across all assessed domains. It provides a structured view of domain-level maturity scores and visual summaries to illustrate how maturity is distributed across the organisation. The results are intended to highlight areas of relative strength, constraint, and imbalance, rather than to serve as a measure of compliance or system-level assurance.</w:t>
      </w:r>
    </w:p>
    <w:p w14:paraId="2A8141EE" w14:textId="739EB521" w:rsidR="00116204" w:rsidRDefault="00116204" w:rsidP="007F26EA">
      <w:pPr>
        <w:spacing w:before="100" w:beforeAutospacing="1" w:after="100" w:afterAutospacing="1" w:line="240" w:lineRule="auto"/>
      </w:pPr>
      <w:r w:rsidRPr="00116204">
        <w:rPr>
          <w:highlight w:val="green"/>
        </w:rPr>
        <w:t>The assessment evaluated AI maturity across multiple organisational domains, with results summarised below. Each domain reflects a different aspect of organisation-wide AI management, including governance, risk, capability, and operational integration.</w:t>
      </w:r>
    </w:p>
    <w:p w14:paraId="6547B0B6" w14:textId="3FBAEC7A" w:rsidR="007F26EA" w:rsidRDefault="007F26EA" w:rsidP="007F26EA">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7F26EA" w14:paraId="2C35ACEB" w14:textId="77777777" w:rsidTr="008B13BE">
        <w:tc>
          <w:tcPr>
            <w:tcW w:w="3955" w:type="dxa"/>
            <w:shd w:val="clear" w:color="auto" w:fill="D9D9D9" w:themeFill="background1" w:themeFillShade="D9"/>
            <w:tcMar>
              <w:top w:w="72" w:type="dxa"/>
              <w:left w:w="72" w:type="dxa"/>
              <w:bottom w:w="72" w:type="dxa"/>
              <w:right w:w="72" w:type="dxa"/>
            </w:tcMar>
          </w:tcPr>
          <w:p w14:paraId="0A53137B" w14:textId="77777777" w:rsidR="007F26EA" w:rsidRDefault="007F26EA" w:rsidP="008B13BE">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301F1599" w14:textId="77777777" w:rsidR="007F26EA" w:rsidRDefault="007F26EA" w:rsidP="008B13BE">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338C6619" w14:textId="77777777" w:rsidR="007F26EA" w:rsidRDefault="007F26EA" w:rsidP="008B13BE">
            <w:pPr>
              <w:spacing w:before="100" w:beforeAutospacing="1" w:after="100" w:afterAutospacing="1"/>
              <w:rPr>
                <w:b/>
                <w:bCs/>
              </w:rPr>
            </w:pPr>
            <w:r>
              <w:rPr>
                <w:b/>
                <w:bCs/>
              </w:rPr>
              <w:t>Score</w:t>
            </w:r>
          </w:p>
        </w:tc>
      </w:tr>
      <w:tr w:rsidR="007F26EA" w:rsidRPr="00154D53" w14:paraId="540DD6E3" w14:textId="77777777" w:rsidTr="008B13BE">
        <w:tc>
          <w:tcPr>
            <w:tcW w:w="3955" w:type="dxa"/>
            <w:tcMar>
              <w:top w:w="72" w:type="dxa"/>
              <w:left w:w="72" w:type="dxa"/>
              <w:bottom w:w="72" w:type="dxa"/>
              <w:right w:w="72" w:type="dxa"/>
            </w:tcMar>
          </w:tcPr>
          <w:p w14:paraId="22377310" w14:textId="77777777" w:rsidR="007F26EA" w:rsidRDefault="007F26EA" w:rsidP="008B13BE">
            <w:pPr>
              <w:spacing w:before="100" w:beforeAutospacing="1" w:after="100" w:afterAutospacing="1"/>
              <w:rPr>
                <w:sz w:val="20"/>
                <w:szCs w:val="20"/>
              </w:rPr>
            </w:pPr>
            <w:r>
              <w:rPr>
                <w:sz w:val="20"/>
                <w:szCs w:val="20"/>
              </w:rPr>
              <w:t>{%tr for d in domains %}</w:t>
            </w:r>
          </w:p>
        </w:tc>
        <w:tc>
          <w:tcPr>
            <w:tcW w:w="2280" w:type="dxa"/>
            <w:tcMar>
              <w:top w:w="72" w:type="dxa"/>
              <w:left w:w="72" w:type="dxa"/>
              <w:bottom w:w="72" w:type="dxa"/>
              <w:right w:w="72" w:type="dxa"/>
            </w:tcMar>
          </w:tcPr>
          <w:p w14:paraId="4445EF6C" w14:textId="77777777" w:rsidR="007F26EA" w:rsidRPr="00154D53"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49FEEE6E" w14:textId="77777777" w:rsidR="007F26EA" w:rsidRDefault="007F26EA" w:rsidP="008B13BE">
            <w:pPr>
              <w:spacing w:before="100" w:beforeAutospacing="1" w:after="100" w:afterAutospacing="1"/>
              <w:rPr>
                <w:sz w:val="20"/>
                <w:szCs w:val="20"/>
              </w:rPr>
            </w:pPr>
          </w:p>
        </w:tc>
      </w:tr>
      <w:tr w:rsidR="007F26EA" w:rsidRPr="00154D53" w14:paraId="39B3AEAC" w14:textId="77777777" w:rsidTr="008B13BE">
        <w:tc>
          <w:tcPr>
            <w:tcW w:w="3955" w:type="dxa"/>
            <w:tcMar>
              <w:top w:w="72" w:type="dxa"/>
              <w:left w:w="72" w:type="dxa"/>
              <w:bottom w:w="72" w:type="dxa"/>
              <w:right w:w="72" w:type="dxa"/>
            </w:tcMar>
          </w:tcPr>
          <w:p w14:paraId="31F9B601" w14:textId="77777777" w:rsidR="007F26EA" w:rsidRPr="00154D53" w:rsidRDefault="007F26EA" w:rsidP="008B13BE">
            <w:pPr>
              <w:spacing w:before="100" w:beforeAutospacing="1" w:after="100" w:afterAutospacing="1"/>
              <w:rPr>
                <w:sz w:val="20"/>
                <w:szCs w:val="20"/>
              </w:rPr>
            </w:pPr>
            <w:r w:rsidRPr="00154D53">
              <w:rPr>
                <w:sz w:val="20"/>
                <w:szCs w:val="20"/>
              </w:rPr>
              <w:t>{{ d.name }}</w:t>
            </w:r>
          </w:p>
        </w:tc>
        <w:tc>
          <w:tcPr>
            <w:tcW w:w="2280" w:type="dxa"/>
            <w:tcMar>
              <w:top w:w="72" w:type="dxa"/>
              <w:left w:w="72" w:type="dxa"/>
              <w:bottom w:w="72" w:type="dxa"/>
              <w:right w:w="72" w:type="dxa"/>
            </w:tcMar>
          </w:tcPr>
          <w:p w14:paraId="53C821A6" w14:textId="77777777" w:rsidR="007F26EA" w:rsidRPr="00154D53" w:rsidRDefault="007F26EA" w:rsidP="008B13BE">
            <w:pPr>
              <w:spacing w:before="100" w:beforeAutospacing="1" w:after="100" w:afterAutospacing="1"/>
              <w:rPr>
                <w:sz w:val="20"/>
                <w:szCs w:val="20"/>
              </w:rPr>
            </w:pPr>
            <w:r w:rsidRPr="00154D53">
              <w:rPr>
                <w:sz w:val="20"/>
                <w:szCs w:val="20"/>
              </w:rPr>
              <w:t>{{ d.tier }}</w:t>
            </w:r>
          </w:p>
        </w:tc>
        <w:tc>
          <w:tcPr>
            <w:tcW w:w="2781" w:type="dxa"/>
            <w:tcMar>
              <w:top w:w="72" w:type="dxa"/>
              <w:left w:w="72" w:type="dxa"/>
              <w:bottom w:w="72" w:type="dxa"/>
              <w:right w:w="72" w:type="dxa"/>
            </w:tcMar>
          </w:tcPr>
          <w:p w14:paraId="3FBFBC9D" w14:textId="77777777" w:rsidR="007F26EA" w:rsidRPr="00154D53" w:rsidRDefault="007F26EA" w:rsidP="008B13BE">
            <w:pPr>
              <w:spacing w:before="100" w:beforeAutospacing="1" w:after="100" w:afterAutospacing="1"/>
              <w:rPr>
                <w:sz w:val="20"/>
                <w:szCs w:val="20"/>
              </w:rPr>
            </w:pPr>
            <w:r>
              <w:rPr>
                <w:sz w:val="20"/>
                <w:szCs w:val="20"/>
              </w:rPr>
              <w:t>{{ d.score_display }}</w:t>
            </w:r>
          </w:p>
        </w:tc>
      </w:tr>
      <w:tr w:rsidR="007F26EA" w:rsidRPr="00154D53" w14:paraId="31A6C26E" w14:textId="77777777" w:rsidTr="008B13BE">
        <w:tc>
          <w:tcPr>
            <w:tcW w:w="3955" w:type="dxa"/>
            <w:tcMar>
              <w:top w:w="72" w:type="dxa"/>
              <w:left w:w="72" w:type="dxa"/>
              <w:bottom w:w="72" w:type="dxa"/>
              <w:right w:w="72" w:type="dxa"/>
            </w:tcMar>
          </w:tcPr>
          <w:p w14:paraId="3D40DBF2" w14:textId="77777777" w:rsidR="007F26EA" w:rsidRDefault="007F26EA" w:rsidP="008B13BE">
            <w:pPr>
              <w:spacing w:before="100" w:beforeAutospacing="1" w:after="100" w:afterAutospacing="1"/>
              <w:rPr>
                <w:sz w:val="20"/>
                <w:szCs w:val="20"/>
              </w:rPr>
            </w:pPr>
            <w:r w:rsidRPr="00154D53">
              <w:rPr>
                <w:sz w:val="20"/>
                <w:szCs w:val="20"/>
              </w:rPr>
              <w:t>{%</w:t>
            </w:r>
            <w:r>
              <w:rPr>
                <w:sz w:val="20"/>
                <w:szCs w:val="20"/>
              </w:rPr>
              <w:t>tr</w:t>
            </w:r>
            <w:r w:rsidRPr="00154D53">
              <w:rPr>
                <w:sz w:val="20"/>
                <w:szCs w:val="20"/>
              </w:rPr>
              <w:t xml:space="preserve"> endfor %}</w:t>
            </w:r>
          </w:p>
        </w:tc>
        <w:tc>
          <w:tcPr>
            <w:tcW w:w="2280" w:type="dxa"/>
            <w:tcMar>
              <w:top w:w="72" w:type="dxa"/>
              <w:left w:w="72" w:type="dxa"/>
              <w:bottom w:w="72" w:type="dxa"/>
              <w:right w:w="72" w:type="dxa"/>
            </w:tcMar>
          </w:tcPr>
          <w:p w14:paraId="7C42961F" w14:textId="77777777" w:rsidR="007F26EA" w:rsidRPr="00154D53"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218620D8" w14:textId="77777777" w:rsidR="007F26EA" w:rsidRDefault="007F26EA" w:rsidP="008B13BE">
            <w:pPr>
              <w:spacing w:before="100" w:beforeAutospacing="1" w:after="100" w:afterAutospacing="1"/>
              <w:rPr>
                <w:sz w:val="20"/>
                <w:szCs w:val="20"/>
              </w:rPr>
            </w:pPr>
          </w:p>
        </w:tc>
      </w:tr>
    </w:tbl>
    <w:p w14:paraId="3070217B" w14:textId="51AC52E8" w:rsidR="001B326F" w:rsidRPr="00F91932" w:rsidRDefault="001B326F" w:rsidP="002A7BDD">
      <w:pPr>
        <w:spacing w:before="100" w:beforeAutospacing="1" w:after="100" w:afterAutospacing="1" w:line="240" w:lineRule="auto"/>
      </w:pPr>
      <w:r w:rsidRPr="001B326F">
        <w:rPr>
          <w:highlight w:val="yellow"/>
        </w:rPr>
        <w:t>The visual summaries provided illustrate how maturity is distributed across domains, highlighting areas of relative strength and constraint. These results should be interpreted collectively, as organisational maturity is influenced by the weakest domains as much as by the strongest.</w:t>
      </w:r>
      <w:r w:rsidR="00367B8A">
        <w:t xml:space="preserve"> (DELETE)</w:t>
      </w:r>
    </w:p>
    <w:p w14:paraId="67A659B7" w14:textId="4E0901E1" w:rsidR="000C0904" w:rsidRDefault="000C0904" w:rsidP="000C45D3">
      <w:pPr>
        <w:pStyle w:val="Heading01"/>
        <w:rPr>
          <w:lang w:val="en-AU" w:eastAsia="en-AU"/>
        </w:rPr>
      </w:pPr>
      <w:bookmarkStart w:id="5" w:name="_Toc219659830"/>
      <w:r>
        <w:rPr>
          <w:lang w:val="en-AU" w:eastAsia="en-AU"/>
        </w:rPr>
        <w:t>Cross-Domain Maturity Patterns &amp; Observations</w:t>
      </w:r>
    </w:p>
    <w:p w14:paraId="0DA7B686" w14:textId="77777777" w:rsidR="00282194" w:rsidRDefault="00282194" w:rsidP="00282194">
      <w:pPr>
        <w:spacing w:before="100" w:beforeAutospacing="1" w:after="100" w:afterAutospacing="1" w:line="240" w:lineRule="auto"/>
        <w:rPr>
          <w:highlight w:val="green"/>
        </w:rPr>
      </w:pPr>
      <w:r w:rsidRPr="00282194">
        <w:rPr>
          <w:highlight w:val="green"/>
        </w:rPr>
        <w:t>This section interprets the maturity results across domains to identify broader organisational patterns. It focuses on consistency, fragmentation, and dependencies between domains, highlighting where uneven maturity may create structural challenges. The observations in this section help explain how maturity gaps in one area can influence the organisation’s overall ability to manage AI responsibly and at scale.</w:t>
      </w:r>
    </w:p>
    <w:p w14:paraId="73534864" w14:textId="77777777" w:rsidR="00CD6C7A" w:rsidRDefault="00CD6C7A" w:rsidP="00CD6C7A">
      <w:pPr>
        <w:spacing w:before="100" w:beforeAutospacing="1" w:after="100" w:afterAutospacing="1" w:line="240" w:lineRule="auto"/>
        <w:rPr>
          <w:highlight w:val="green"/>
          <w:lang w:val="en-AU"/>
        </w:rPr>
      </w:pPr>
      <w:r w:rsidRPr="00CD6C7A">
        <w:rPr>
          <w:highlight w:val="green"/>
          <w:lang w:val="en-AU"/>
        </w:rPr>
        <w:t>Analysis of maturity results across domains reveals several notable patterns. Key strengths identified include:</w:t>
      </w:r>
    </w:p>
    <w:p w14:paraId="1BC9508D" w14:textId="77777777" w:rsidR="008C25EB" w:rsidRPr="008C25EB" w:rsidRDefault="008C25EB" w:rsidP="008C25EB">
      <w:pPr>
        <w:pStyle w:val="ListParagraph"/>
        <w:numPr>
          <w:ilvl w:val="0"/>
          <w:numId w:val="56"/>
        </w:numPr>
        <w:spacing w:before="100" w:beforeAutospacing="1" w:after="100" w:afterAutospacing="1" w:line="240" w:lineRule="auto"/>
        <w:rPr>
          <w:rFonts w:eastAsia="Times New Roman" w:cs="Arial"/>
          <w:kern w:val="0"/>
          <w:lang w:val="en-AU" w:eastAsia="en-AU"/>
          <w14:ligatures w14:val="none"/>
        </w:rPr>
      </w:pPr>
      <w:r w:rsidRPr="008C25EB">
        <w:rPr>
          <w:rFonts w:eastAsia="Times New Roman" w:cs="Arial"/>
          <w:kern w:val="0"/>
          <w:lang w:val="en-AU" w:eastAsia="en-AU"/>
          <w14:ligatures w14:val="none"/>
        </w:rPr>
        <w:t>{{strengths_summary}}</w:t>
      </w:r>
    </w:p>
    <w:p w14:paraId="015110DF" w14:textId="716DC91D" w:rsidR="00CD6C7A" w:rsidRPr="00CD6C7A" w:rsidRDefault="00CD6C7A" w:rsidP="00CD6C7A">
      <w:pPr>
        <w:spacing w:before="100" w:beforeAutospacing="1" w:after="100" w:afterAutospacing="1" w:line="240" w:lineRule="auto"/>
        <w:rPr>
          <w:highlight w:val="green"/>
          <w:lang w:val="en-AU"/>
        </w:rPr>
      </w:pPr>
      <w:r w:rsidRPr="00CD6C7A">
        <w:rPr>
          <w:highlight w:val="green"/>
          <w:lang w:val="en-AU"/>
        </w:rPr>
        <w:t>Conversely, maturity constraints were observed in the following areas:</w:t>
      </w:r>
    </w:p>
    <w:p w14:paraId="00840C09" w14:textId="6F9FFA1C" w:rsidR="008C25EB" w:rsidRPr="008C25EB" w:rsidRDefault="008C25EB" w:rsidP="008C25EB">
      <w:pPr>
        <w:pStyle w:val="ListParagraph"/>
        <w:numPr>
          <w:ilvl w:val="0"/>
          <w:numId w:val="56"/>
        </w:numPr>
        <w:spacing w:before="100" w:beforeAutospacing="1" w:after="100" w:afterAutospacing="1" w:line="240" w:lineRule="auto"/>
        <w:rPr>
          <w:rFonts w:eastAsia="Times New Roman" w:cs="Arial"/>
          <w:kern w:val="0"/>
          <w:lang w:val="en-AU" w:eastAsia="en-AU"/>
          <w14:ligatures w14:val="none"/>
        </w:rPr>
      </w:pPr>
      <w:r w:rsidRPr="008C25EB">
        <w:rPr>
          <w:rFonts w:eastAsia="Times New Roman" w:cs="Arial"/>
          <w:kern w:val="0"/>
          <w:lang w:val="en-AU" w:eastAsia="en-AU"/>
          <w14:ligatures w14:val="none"/>
        </w:rPr>
        <w:t>{{gaps_summary}}</w:t>
      </w:r>
    </w:p>
    <w:p w14:paraId="7AD807EC" w14:textId="7BF4FC68" w:rsidR="00CD6C7A" w:rsidRPr="00CD6C7A" w:rsidRDefault="00CD6C7A" w:rsidP="00CD6C7A">
      <w:pPr>
        <w:spacing w:before="100" w:beforeAutospacing="1" w:after="100" w:afterAutospacing="1" w:line="240" w:lineRule="auto"/>
        <w:rPr>
          <w:highlight w:val="green"/>
          <w:lang w:val="en-AU"/>
        </w:rPr>
      </w:pPr>
      <w:r w:rsidRPr="00CD6C7A">
        <w:rPr>
          <w:highlight w:val="green"/>
          <w:lang w:val="en-AU"/>
        </w:rPr>
        <w:t>These patterns indicate the degree to which AI maturity is consistent across the organisation. Where maturity varies significantly between domains, this may introduce structural challenges that affect the organisation’s ability to manage AI reliably and at scale.</w:t>
      </w:r>
    </w:p>
    <w:p w14:paraId="68A6ECC4" w14:textId="77777777" w:rsidR="00043153" w:rsidRPr="00043153" w:rsidRDefault="00043153" w:rsidP="00043153">
      <w:pPr>
        <w:spacing w:before="100" w:beforeAutospacing="1" w:after="100" w:afterAutospacing="1" w:line="240" w:lineRule="auto"/>
        <w:rPr>
          <w:b/>
          <w:bCs/>
        </w:rPr>
      </w:pPr>
      <w:r w:rsidRPr="00043153">
        <w:rPr>
          <w:b/>
          <w:bCs/>
        </w:rPr>
        <w:t>Cross-Domain Maturity Patterns &amp; Observations</w:t>
      </w:r>
    </w:p>
    <w:p w14:paraId="27F0D453" w14:textId="4A5E6675" w:rsidR="00043153" w:rsidRDefault="00043153" w:rsidP="00043153">
      <w:pPr>
        <w:spacing w:before="100" w:beforeAutospacing="1" w:after="100" w:afterAutospacing="1" w:line="240" w:lineRule="auto"/>
      </w:pPr>
      <w:r w:rsidRPr="0094644E">
        <w:rPr>
          <w:highlight w:val="yellow"/>
        </w:rPr>
        <w:t>{{ai.</w:t>
      </w:r>
      <w:r>
        <w:rPr>
          <w:highlight w:val="yellow"/>
        </w:rPr>
        <w:t>o_domain_patterns</w:t>
      </w:r>
      <w:r w:rsidRPr="0094644E">
        <w:rPr>
          <w:highlight w:val="yellow"/>
        </w:rPr>
        <w:t>}}</w:t>
      </w:r>
    </w:p>
    <w:p w14:paraId="28123CE7" w14:textId="77777777" w:rsidR="00CD6C7A" w:rsidRPr="00282194" w:rsidRDefault="00CD6C7A" w:rsidP="00282194">
      <w:pPr>
        <w:spacing w:before="100" w:beforeAutospacing="1" w:after="100" w:afterAutospacing="1" w:line="240" w:lineRule="auto"/>
        <w:rPr>
          <w:highlight w:val="green"/>
        </w:rPr>
      </w:pPr>
    </w:p>
    <w:p w14:paraId="3AF04293" w14:textId="3034762D" w:rsidR="000C45D3" w:rsidRPr="005052FC" w:rsidRDefault="000C45D3" w:rsidP="000C45D3">
      <w:pPr>
        <w:pStyle w:val="Heading01"/>
        <w:rPr>
          <w:lang w:val="en-AU" w:eastAsia="en-AU"/>
        </w:rPr>
      </w:pPr>
      <w:r w:rsidRPr="005052FC">
        <w:rPr>
          <w:lang w:val="en-AU" w:eastAsia="en-AU"/>
        </w:rPr>
        <w:t>Sector Context &amp; Benchmarking (Indicative Only)</w:t>
      </w:r>
      <w:bookmarkEnd w:id="5"/>
    </w:p>
    <w:p w14:paraId="318FE945" w14:textId="21DEEE45" w:rsidR="00DB34F5" w:rsidRDefault="00DB34F5" w:rsidP="00DB34F5">
      <w:pPr>
        <w:spacing w:before="120" w:after="120" w:line="240" w:lineRule="auto"/>
      </w:pPr>
      <w:r w:rsidRPr="002F0077">
        <w:rPr>
          <w:highlight w:val="green"/>
        </w:rPr>
        <w:t xml:space="preserve">This section provides indicative sector benchmarking to help contextualise </w:t>
      </w:r>
      <w:r w:rsidRPr="00A36B5D">
        <w:rPr>
          <w:b/>
          <w:bCs/>
          <w:highlight w:val="green"/>
        </w:rPr>
        <w:t>{{org_name}}</w:t>
      </w:r>
      <w:r w:rsidRPr="002F0077">
        <w:rPr>
          <w:highlight w:val="green"/>
        </w:rPr>
        <w:t xml:space="preserve">’s AI readiness results against typical readiness levels observed across comparable organisations within the </w:t>
      </w:r>
      <w:r w:rsidR="00B27521" w:rsidRPr="00A36B5D">
        <w:rPr>
          <w:b/>
          <w:bCs/>
          <w:highlight w:val="green"/>
        </w:rPr>
        <w:t>{{industry}}</w:t>
      </w:r>
      <w:r w:rsidRPr="002F0077">
        <w:rPr>
          <w:highlight w:val="green"/>
        </w:rPr>
        <w:t xml:space="preserve"> sector. The radar chart below illustrates how domain-level </w:t>
      </w:r>
      <w:r w:rsidR="002F0077" w:rsidRPr="002F0077">
        <w:rPr>
          <w:highlight w:val="green"/>
        </w:rPr>
        <w:t>maturity</w:t>
      </w:r>
      <w:r w:rsidRPr="002F0077">
        <w:rPr>
          <w:highlight w:val="green"/>
        </w:rPr>
        <w:t xml:space="preserve"> compares with sector averages, offering a high-level reference point to identify relative strengths and potential gaps. These benchmarks are provided for guidance only and should not be interpreted as definitive measures of performance or risk.</w:t>
      </w:r>
    </w:p>
    <w:p w14:paraId="728A0BD9" w14:textId="77777777" w:rsidR="006432AD" w:rsidRPr="006432AD" w:rsidRDefault="006432AD" w:rsidP="006432AD">
      <w:pPr>
        <w:spacing w:before="120" w:after="120" w:line="240" w:lineRule="auto"/>
        <w:rPr>
          <w:highlight w:val="green"/>
          <w:lang w:val="en-AU"/>
        </w:rPr>
      </w:pPr>
      <w:r w:rsidRPr="00A36B5D">
        <w:rPr>
          <w:b/>
          <w:bCs/>
          <w:highlight w:val="green"/>
          <w:lang w:val="en-AU"/>
        </w:rPr>
        <w:t>{{org_name}}</w:t>
      </w:r>
      <w:r w:rsidRPr="006432AD">
        <w:rPr>
          <w:highlight w:val="green"/>
          <w:lang w:val="en-AU"/>
        </w:rPr>
        <w:t xml:space="preserve">’s overall AI maturity score of </w:t>
      </w:r>
      <w:r w:rsidRPr="006432AD">
        <w:rPr>
          <w:b/>
          <w:bCs/>
          <w:highlight w:val="green"/>
          <w:lang w:val="en-AU"/>
        </w:rPr>
        <w:t>{{overall.score}}</w:t>
      </w:r>
      <w:r w:rsidRPr="006432AD">
        <w:rPr>
          <w:highlight w:val="green"/>
          <w:lang w:val="en-AU"/>
        </w:rPr>
        <w:t xml:space="preserve"> places it within the </w:t>
      </w:r>
      <w:r w:rsidRPr="006432AD">
        <w:rPr>
          <w:b/>
          <w:bCs/>
          <w:highlight w:val="green"/>
          <w:lang w:val="en-AU"/>
        </w:rPr>
        <w:t>{{overall.tier}}</w:t>
      </w:r>
      <w:r w:rsidRPr="006432AD">
        <w:rPr>
          <w:highlight w:val="green"/>
          <w:lang w:val="en-AU"/>
        </w:rPr>
        <w:t xml:space="preserve"> maturity tier when viewed in the context of the </w:t>
      </w:r>
      <w:r w:rsidRPr="00EE0099">
        <w:rPr>
          <w:b/>
          <w:bCs/>
          <w:highlight w:val="green"/>
          <w:lang w:val="en-AU"/>
        </w:rPr>
        <w:t>{{industry}}</w:t>
      </w:r>
      <w:r w:rsidRPr="006432AD">
        <w:rPr>
          <w:highlight w:val="green"/>
          <w:lang w:val="en-AU"/>
        </w:rPr>
        <w:t xml:space="preserve"> sector. This comparison provides high-level context for interpreting the results.</w:t>
      </w:r>
    </w:p>
    <w:p w14:paraId="34F57B32" w14:textId="77777777" w:rsidR="006432AD" w:rsidRPr="006432AD" w:rsidRDefault="006432AD" w:rsidP="006432AD">
      <w:pPr>
        <w:spacing w:before="120" w:after="120" w:line="240" w:lineRule="auto"/>
        <w:rPr>
          <w:lang w:val="en-AU"/>
        </w:rPr>
      </w:pPr>
      <w:r w:rsidRPr="006432AD">
        <w:rPr>
          <w:highlight w:val="green"/>
          <w:lang w:val="en-AU"/>
        </w:rPr>
        <w:t>Sector benchmarking is provided for indicative purposes only. Sector averages do not represent minimum acceptable maturity levels, nor do they imply readiness to deploy or scale AI. Organisation-specific governance, risk exposure, and capability considerations remain the primary determinants of appropriate next steps.</w:t>
      </w:r>
    </w:p>
    <w:p w14:paraId="2C569137" w14:textId="77777777" w:rsidR="006432AD" w:rsidRDefault="006432AD" w:rsidP="00DB34F5">
      <w:pPr>
        <w:spacing w:before="120" w:after="120" w:line="240" w:lineRule="auto"/>
      </w:pPr>
    </w:p>
    <w:p w14:paraId="1EDAE2BC" w14:textId="2A0F8C8E" w:rsidR="000C45D3" w:rsidRPr="00D37670" w:rsidRDefault="000C45D3" w:rsidP="000C45D3">
      <w:pPr>
        <w:spacing w:before="120" w:after="120" w:line="240" w:lineRule="auto"/>
        <w:rPr>
          <w:lang w:val="en-AU"/>
        </w:rPr>
      </w:pPr>
      <w:r w:rsidRPr="00D37670">
        <w:rPr>
          <w:lang w:val="en-AU"/>
        </w:rPr>
        <w:t>{{radar_chart_image}}</w:t>
      </w:r>
    </w:p>
    <w:p w14:paraId="4E3904DD" w14:textId="2DBA868B" w:rsidR="000C45D3" w:rsidRDefault="000C45D3" w:rsidP="000C45D3">
      <w:pPr>
        <w:spacing w:before="120" w:after="120" w:line="240" w:lineRule="auto"/>
        <w:rPr>
          <w:i/>
          <w:iCs/>
          <w:lang w:val="en-AU"/>
        </w:rPr>
      </w:pPr>
      <w:r w:rsidRPr="00D37670">
        <w:rPr>
          <w:i/>
          <w:iCs/>
          <w:lang w:val="en-AU"/>
        </w:rPr>
        <w:t xml:space="preserve">Figure 2. </w:t>
      </w:r>
      <w:r w:rsidRPr="005B1F27">
        <w:rPr>
          <w:b/>
          <w:bCs/>
          <w:i/>
          <w:iCs/>
          <w:lang w:val="en-AU"/>
        </w:rPr>
        <w:t>{{org_name}}</w:t>
      </w:r>
      <w:r>
        <w:rPr>
          <w:i/>
          <w:iCs/>
          <w:lang w:val="en-AU"/>
        </w:rPr>
        <w:t xml:space="preserve"> AI </w:t>
      </w:r>
      <w:r w:rsidR="00A23958">
        <w:rPr>
          <w:i/>
          <w:iCs/>
          <w:lang w:val="en-AU"/>
        </w:rPr>
        <w:t>readiness</w:t>
      </w:r>
      <w:r>
        <w:rPr>
          <w:i/>
          <w:iCs/>
          <w:lang w:val="en-AU"/>
        </w:rPr>
        <w:t xml:space="preserve"> domain scores compared with </w:t>
      </w:r>
      <w:r w:rsidRPr="00304128">
        <w:rPr>
          <w:b/>
          <w:bCs/>
          <w:i/>
          <w:iCs/>
          <w:lang w:val="en-AU"/>
        </w:rPr>
        <w:t>{{industry}}</w:t>
      </w:r>
      <w:r w:rsidRPr="00D37670">
        <w:rPr>
          <w:i/>
          <w:iCs/>
          <w:lang w:val="en-AU"/>
        </w:rPr>
        <w:t xml:space="preserve"> sector</w:t>
      </w:r>
      <w:r>
        <w:rPr>
          <w:i/>
          <w:iCs/>
          <w:lang w:val="en-AU"/>
        </w:rPr>
        <w:t xml:space="preserve"> averages</w:t>
      </w:r>
      <w:r w:rsidRPr="00D37670">
        <w:rPr>
          <w:i/>
          <w:iCs/>
          <w:lang w:val="en-AU"/>
        </w:rPr>
        <w:t>.</w:t>
      </w:r>
    </w:p>
    <w:p w14:paraId="2058B53C" w14:textId="53EA2190" w:rsidR="00116026" w:rsidRPr="00116026" w:rsidRDefault="00116026" w:rsidP="00116026">
      <w:pPr>
        <w:spacing w:before="120" w:after="120" w:line="240" w:lineRule="auto"/>
        <w:rPr>
          <w:lang w:val="en-AU"/>
        </w:rPr>
      </w:pPr>
      <w:r w:rsidRPr="007A4EC8">
        <w:rPr>
          <w:highlight w:val="yellow"/>
          <w:lang w:val="en-AU"/>
        </w:rPr>
        <w:t>{{ai.</w:t>
      </w:r>
      <w:r w:rsidR="00D41EA5">
        <w:rPr>
          <w:highlight w:val="yellow"/>
          <w:lang w:val="en-AU"/>
        </w:rPr>
        <w:t>o</w:t>
      </w:r>
      <w:r w:rsidRPr="007A4EC8">
        <w:rPr>
          <w:highlight w:val="yellow"/>
          <w:lang w:val="en-AU"/>
        </w:rPr>
        <w:t>_sector_interpretation}}</w:t>
      </w:r>
    </w:p>
    <w:p w14:paraId="57477A0B" w14:textId="77777777" w:rsidR="00116026" w:rsidRPr="00116026" w:rsidRDefault="00116026" w:rsidP="000C45D3">
      <w:pPr>
        <w:spacing w:before="120" w:after="120" w:line="240" w:lineRule="auto"/>
        <w:rPr>
          <w:lang w:val="en-AU"/>
        </w:rPr>
      </w:pPr>
    </w:p>
    <w:p w14:paraId="4BBBB299" w14:textId="0E23ADA8" w:rsidR="00A238B8" w:rsidRPr="00D87DC8" w:rsidRDefault="00FE12D5" w:rsidP="00A238B8">
      <w:pPr>
        <w:pStyle w:val="Heading01"/>
        <w:rPr>
          <w:lang w:val="en-AU" w:eastAsia="en-AU"/>
        </w:rPr>
      </w:pPr>
      <w:bookmarkStart w:id="6" w:name="_Toc219659831"/>
      <w:r>
        <w:rPr>
          <w:lang w:val="en-AU" w:eastAsia="en-AU"/>
        </w:rPr>
        <w:t>Maturity</w:t>
      </w:r>
      <w:r w:rsidR="00A238B8" w:rsidRPr="00D87DC8">
        <w:rPr>
          <w:lang w:val="en-AU" w:eastAsia="en-AU"/>
        </w:rPr>
        <w:t>-Aligned Recommendations &amp; Next Steps</w:t>
      </w:r>
      <w:bookmarkEnd w:id="6"/>
    </w:p>
    <w:p w14:paraId="1AA176AC" w14:textId="56A26A61" w:rsidR="00F91866" w:rsidRPr="00DA1FD0" w:rsidRDefault="008107E5" w:rsidP="00F91866">
      <w:pPr>
        <w:spacing w:before="120" w:after="120" w:line="240" w:lineRule="auto"/>
        <w:rPr>
          <w:highlight w:val="green"/>
        </w:rPr>
      </w:pPr>
      <w:r w:rsidRPr="00DA1FD0">
        <w:rPr>
          <w:highlight w:val="green"/>
        </w:rPr>
        <w:t>This section outlines maturity-aligned areas for uplift based on the assessment results. The recommendations are intended to support more consistent and sustainable management of AI across the organisation, rather than to prescribe specific implementations or controls. Actions are prioritised to reflect organisational maturity constraints and should be scaled in line with capacity, risk appetite, and strategic intent.</w:t>
      </w:r>
      <w:r w:rsidR="00F91866" w:rsidRPr="00DA1FD0">
        <w:rPr>
          <w:highlight w:val="green"/>
        </w:rPr>
        <w:t>.</w:t>
      </w:r>
    </w:p>
    <w:p w14:paraId="3F52532A" w14:textId="6D36F54D" w:rsidR="00F91866" w:rsidRDefault="00F91866" w:rsidP="00F91866">
      <w:pPr>
        <w:spacing w:before="120" w:after="120" w:line="240" w:lineRule="auto"/>
      </w:pPr>
      <w:r w:rsidRPr="00DA1FD0">
        <w:rPr>
          <w:highlight w:val="green"/>
        </w:rPr>
        <w:t xml:space="preserve">High-priority actions represent prerequisites for safe progression beyond early AI exploration, while medium- and low-priority actions reflect enabling or future-state improvements that may be addressed as </w:t>
      </w:r>
      <w:r w:rsidR="008107E5" w:rsidRPr="00DA1FD0">
        <w:rPr>
          <w:highlight w:val="green"/>
        </w:rPr>
        <w:t>maturity develops</w:t>
      </w:r>
      <w:r w:rsidRPr="00DA1FD0">
        <w:rPr>
          <w:highlight w:val="green"/>
        </w:rPr>
        <w:t>. These actions should be scaled to organisational capacity and risk appetite, and should not be interpreted as mandatory or immediate requirements for AI deployment.</w:t>
      </w:r>
    </w:p>
    <w:p w14:paraId="76A6A59C" w14:textId="77777777" w:rsidR="00A1128E" w:rsidRPr="00A1128E" w:rsidRDefault="00A1128E" w:rsidP="00A1128E">
      <w:pPr>
        <w:spacing w:before="120" w:after="120" w:line="240" w:lineRule="auto"/>
        <w:rPr>
          <w:highlight w:val="green"/>
          <w:lang w:val="en-AU"/>
        </w:rPr>
      </w:pPr>
      <w:r w:rsidRPr="00A1128E">
        <w:rPr>
          <w:highlight w:val="green"/>
          <w:lang w:val="en-AU"/>
        </w:rPr>
        <w:t xml:space="preserve">Based on the assessment results, several maturity-aligned areas for uplift have been identified. These areas reflect organisational constraints and enablers associated with a </w:t>
      </w:r>
      <w:r w:rsidRPr="00A1128E">
        <w:rPr>
          <w:b/>
          <w:bCs/>
          <w:highlight w:val="green"/>
          <w:lang w:val="en-AU"/>
        </w:rPr>
        <w:t>{{overall.tier}}</w:t>
      </w:r>
      <w:r w:rsidRPr="00A1128E">
        <w:rPr>
          <w:highlight w:val="green"/>
          <w:lang w:val="en-AU"/>
        </w:rPr>
        <w:t xml:space="preserve"> maturity posture.</w:t>
      </w:r>
    </w:p>
    <w:p w14:paraId="722C377F" w14:textId="77777777" w:rsidR="00A1128E" w:rsidRPr="00A1128E" w:rsidRDefault="00A1128E" w:rsidP="00A1128E">
      <w:pPr>
        <w:spacing w:before="120" w:after="120" w:line="240" w:lineRule="auto"/>
        <w:rPr>
          <w:highlight w:val="green"/>
          <w:lang w:val="en-AU"/>
        </w:rPr>
      </w:pPr>
      <w:r w:rsidRPr="00A1128E">
        <w:rPr>
          <w:highlight w:val="green"/>
          <w:lang w:val="en-AU"/>
        </w:rPr>
        <w:t>Key strengths such as {{strengths_summary}} provide a foundation for future maturity uplift, while gaps including {{gaps_summary}} represent areas that may limit consistent, organisation-wide management of AI if left unaddressed.</w:t>
      </w:r>
    </w:p>
    <w:p w14:paraId="2559FDA5" w14:textId="77777777" w:rsidR="00A1128E" w:rsidRPr="00A1128E" w:rsidRDefault="00A1128E" w:rsidP="00A1128E">
      <w:pPr>
        <w:spacing w:before="120" w:after="120" w:line="240" w:lineRule="auto"/>
        <w:rPr>
          <w:lang w:val="en-AU"/>
        </w:rPr>
      </w:pPr>
      <w:r w:rsidRPr="00A1128E">
        <w:rPr>
          <w:highlight w:val="green"/>
          <w:lang w:val="en-AU"/>
        </w:rPr>
        <w:t>Recommended actions are prioritised to support sustainable maturity improvement and should be scaled in line with organisational capacity, strategic intent, and risk appetite.</w:t>
      </w:r>
    </w:p>
    <w:p w14:paraId="55E69EA9" w14:textId="77777777" w:rsidR="00EA1BE7" w:rsidRDefault="00EA1BE7" w:rsidP="00A33A43">
      <w:pPr>
        <w:spacing w:after="60" w:line="240" w:lineRule="auto"/>
      </w:pPr>
    </w:p>
    <w:p w14:paraId="6171B988" w14:textId="60D13B8E"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2098427A" w:rsidR="005214DD" w:rsidRPr="00776823" w:rsidRDefault="005214DD" w:rsidP="005214DD">
            <w:pPr>
              <w:spacing w:before="100" w:beforeAutospacing="1" w:after="100" w:afterAutospacing="1"/>
              <w:rPr>
                <w:sz w:val="20"/>
                <w:szCs w:val="20"/>
              </w:rPr>
            </w:pPr>
            <w:r w:rsidRPr="00776823">
              <w:rPr>
                <w:sz w:val="20"/>
                <w:szCs w:val="20"/>
              </w:rPr>
              <w:t>{%</w:t>
            </w:r>
            <w:r w:rsidR="00FD5AC1">
              <w:rPr>
                <w:sz w:val="20"/>
                <w:szCs w:val="20"/>
              </w:rPr>
              <w:t>tr</w:t>
            </w:r>
            <w:r w:rsidRPr="00776823">
              <w:rPr>
                <w:sz w:val="20"/>
                <w:szCs w:val="20"/>
              </w:rPr>
              <w:t xml:space="preserve"> for action in sector_actions_high_top5 %}</w:t>
            </w:r>
          </w:p>
        </w:tc>
        <w:tc>
          <w:tcPr>
            <w:tcW w:w="2160" w:type="dxa"/>
            <w:tcMar>
              <w:top w:w="72" w:type="dxa"/>
              <w:left w:w="72" w:type="dxa"/>
              <w:bottom w:w="72" w:type="dxa"/>
              <w:right w:w="72" w:type="dxa"/>
            </w:tcMar>
          </w:tcPr>
          <w:p w14:paraId="66B6BF28" w14:textId="0C3AD08E" w:rsidR="005214DD" w:rsidRPr="00776823"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7FF901EF" w14:textId="2DC39BC6" w:rsidR="005214DD" w:rsidRPr="00776823" w:rsidRDefault="005214DD" w:rsidP="005214DD">
            <w:pPr>
              <w:spacing w:before="100" w:beforeAutospacing="1" w:after="100" w:afterAutospacing="1"/>
              <w:rPr>
                <w:sz w:val="20"/>
                <w:szCs w:val="20"/>
              </w:rPr>
            </w:pPr>
          </w:p>
        </w:tc>
      </w:tr>
      <w:tr w:rsidR="00FD5AC1" w:rsidRPr="00776823" w14:paraId="24A91BB2" w14:textId="77777777" w:rsidTr="002868E4">
        <w:trPr>
          <w:trHeight w:val="341"/>
        </w:trPr>
        <w:tc>
          <w:tcPr>
            <w:tcW w:w="3115" w:type="dxa"/>
            <w:tcMar>
              <w:top w:w="72" w:type="dxa"/>
              <w:left w:w="72" w:type="dxa"/>
              <w:bottom w:w="72" w:type="dxa"/>
              <w:right w:w="72" w:type="dxa"/>
            </w:tcMar>
          </w:tcPr>
          <w:p w14:paraId="14D47C9A" w14:textId="1586B9F0" w:rsidR="00FD5AC1" w:rsidRPr="00776823" w:rsidRDefault="00FD5AC1" w:rsidP="005214DD">
            <w:pPr>
              <w:spacing w:before="100" w:beforeAutospacing="1" w:after="100" w:afterAutospacing="1"/>
              <w:rPr>
                <w:sz w:val="20"/>
                <w:szCs w:val="20"/>
              </w:rPr>
            </w:pPr>
            <w:r w:rsidRPr="00776823">
              <w:rPr>
                <w:sz w:val="20"/>
                <w:szCs w:val="20"/>
              </w:rPr>
              <w:t>{{ action.question_id }}</w:t>
            </w:r>
          </w:p>
        </w:tc>
        <w:tc>
          <w:tcPr>
            <w:tcW w:w="2160" w:type="dxa"/>
            <w:tcMar>
              <w:top w:w="72" w:type="dxa"/>
              <w:left w:w="72" w:type="dxa"/>
              <w:bottom w:w="72" w:type="dxa"/>
              <w:right w:w="72" w:type="dxa"/>
            </w:tcMar>
          </w:tcPr>
          <w:p w14:paraId="36BCDF43" w14:textId="7BB59F29" w:rsidR="00FD5AC1" w:rsidRPr="00776823" w:rsidRDefault="00FD5AC1"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06CDEA7B" w14:textId="32A779A4" w:rsidR="00FD5AC1" w:rsidRPr="0022045D" w:rsidRDefault="00FD5AC1" w:rsidP="005214DD">
            <w:pPr>
              <w:spacing w:before="100" w:beforeAutospacing="1" w:after="100" w:afterAutospacing="1"/>
              <w:rPr>
                <w:sz w:val="20"/>
                <w:szCs w:val="20"/>
              </w:rPr>
            </w:pPr>
            <w:r w:rsidRPr="0022045D">
              <w:rPr>
                <w:sz w:val="20"/>
                <w:szCs w:val="20"/>
              </w:rPr>
              <w:t>{{ action.sector_action }}</w:t>
            </w:r>
          </w:p>
        </w:tc>
      </w:tr>
      <w:tr w:rsidR="00FD5AC1" w:rsidRPr="00776823" w14:paraId="128ABA75" w14:textId="77777777" w:rsidTr="002868E4">
        <w:trPr>
          <w:trHeight w:val="386"/>
        </w:trPr>
        <w:tc>
          <w:tcPr>
            <w:tcW w:w="3115" w:type="dxa"/>
            <w:tcMar>
              <w:top w:w="72" w:type="dxa"/>
              <w:left w:w="72" w:type="dxa"/>
              <w:bottom w:w="72" w:type="dxa"/>
              <w:right w:w="72" w:type="dxa"/>
            </w:tcMar>
          </w:tcPr>
          <w:p w14:paraId="5E39FDA7" w14:textId="7082211C" w:rsidR="00FD5AC1" w:rsidRPr="00776823" w:rsidRDefault="00FD5AC1" w:rsidP="005214DD">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71C4E082" w14:textId="77777777" w:rsidR="00FD5AC1" w:rsidRPr="00776823" w:rsidRDefault="00FD5AC1"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28E5CA32" w14:textId="77777777" w:rsidR="00FD5AC1" w:rsidRPr="0022045D" w:rsidRDefault="00FD5AC1" w:rsidP="005214DD">
            <w:pPr>
              <w:spacing w:before="100" w:beforeAutospacing="1" w:after="100" w:afterAutospacing="1"/>
              <w:rPr>
                <w:sz w:val="20"/>
                <w:szCs w:val="20"/>
              </w:rPr>
            </w:pP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599FD545" w:rsidR="005214DD" w:rsidRPr="0022045D" w:rsidRDefault="005214DD" w:rsidP="005214DD">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sector_actions_medium_top5 %}</w:t>
            </w:r>
          </w:p>
        </w:tc>
        <w:tc>
          <w:tcPr>
            <w:tcW w:w="1920" w:type="dxa"/>
            <w:tcMar>
              <w:top w:w="72" w:type="dxa"/>
              <w:left w:w="72" w:type="dxa"/>
              <w:bottom w:w="72" w:type="dxa"/>
              <w:right w:w="72" w:type="dxa"/>
            </w:tcMar>
          </w:tcPr>
          <w:p w14:paraId="14F0A42F" w14:textId="0E943E7E" w:rsidR="005214DD" w:rsidRPr="0022045D"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6ED75A91" w14:textId="117D7F30" w:rsidR="005214DD" w:rsidRPr="0022045D" w:rsidRDefault="005214DD" w:rsidP="005214DD">
            <w:pPr>
              <w:spacing w:before="100" w:beforeAutospacing="1" w:after="100" w:afterAutospacing="1"/>
              <w:rPr>
                <w:sz w:val="20"/>
                <w:szCs w:val="20"/>
              </w:rPr>
            </w:pPr>
          </w:p>
        </w:tc>
      </w:tr>
      <w:tr w:rsidR="00D11991" w:rsidRPr="0022045D" w14:paraId="21B91079" w14:textId="77777777" w:rsidTr="005A0345">
        <w:trPr>
          <w:trHeight w:val="602"/>
        </w:trPr>
        <w:tc>
          <w:tcPr>
            <w:tcW w:w="3355" w:type="dxa"/>
            <w:tcMar>
              <w:top w:w="72" w:type="dxa"/>
              <w:left w:w="72" w:type="dxa"/>
              <w:bottom w:w="72" w:type="dxa"/>
              <w:right w:w="72" w:type="dxa"/>
            </w:tcMar>
          </w:tcPr>
          <w:p w14:paraId="69B676D5" w14:textId="6FA65E46"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920" w:type="dxa"/>
            <w:tcMar>
              <w:top w:w="72" w:type="dxa"/>
              <w:left w:w="72" w:type="dxa"/>
              <w:bottom w:w="72" w:type="dxa"/>
              <w:right w:w="72" w:type="dxa"/>
            </w:tcMar>
          </w:tcPr>
          <w:p w14:paraId="17F9AB03" w14:textId="76DBC399"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0225F90" w14:textId="59638940"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00E5C25B" w14:textId="77777777" w:rsidTr="002868E4">
        <w:trPr>
          <w:trHeight w:val="278"/>
        </w:trPr>
        <w:tc>
          <w:tcPr>
            <w:tcW w:w="3355" w:type="dxa"/>
            <w:tcMar>
              <w:top w:w="72" w:type="dxa"/>
              <w:left w:w="72" w:type="dxa"/>
              <w:bottom w:w="72" w:type="dxa"/>
              <w:right w:w="72" w:type="dxa"/>
            </w:tcMar>
          </w:tcPr>
          <w:p w14:paraId="445788C7" w14:textId="00933473"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920" w:type="dxa"/>
            <w:tcMar>
              <w:top w:w="72" w:type="dxa"/>
              <w:left w:w="72" w:type="dxa"/>
              <w:bottom w:w="72" w:type="dxa"/>
              <w:right w:w="72" w:type="dxa"/>
            </w:tcMar>
          </w:tcPr>
          <w:p w14:paraId="6D271913"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0FF9E57E" w14:textId="77777777" w:rsidR="00D11991" w:rsidRPr="0022045D" w:rsidRDefault="00D11991" w:rsidP="00D11991">
            <w:pPr>
              <w:spacing w:before="100" w:beforeAutospacing="1" w:after="100" w:afterAutospacing="1"/>
              <w:rPr>
                <w:sz w:val="20"/>
                <w:szCs w:val="20"/>
              </w:rPr>
            </w:pP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5BCBCDD8" w:rsidR="00D93F53" w:rsidRPr="0022045D" w:rsidRDefault="0022045D" w:rsidP="004B134E">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sector_actions_low_top5 %}</w:t>
            </w:r>
          </w:p>
        </w:tc>
        <w:tc>
          <w:tcPr>
            <w:tcW w:w="2160" w:type="dxa"/>
            <w:tcMar>
              <w:top w:w="72" w:type="dxa"/>
              <w:left w:w="72" w:type="dxa"/>
              <w:bottom w:w="72" w:type="dxa"/>
              <w:right w:w="72" w:type="dxa"/>
            </w:tcMar>
          </w:tcPr>
          <w:p w14:paraId="4ECDAD5C" w14:textId="4D159E4A" w:rsidR="00D93F53" w:rsidRPr="0022045D" w:rsidRDefault="00D93F53" w:rsidP="004B134E">
            <w:pPr>
              <w:spacing w:before="100" w:beforeAutospacing="1" w:after="100" w:afterAutospacing="1"/>
              <w:rPr>
                <w:sz w:val="20"/>
                <w:szCs w:val="20"/>
              </w:rPr>
            </w:pPr>
          </w:p>
        </w:tc>
        <w:tc>
          <w:tcPr>
            <w:tcW w:w="3741" w:type="dxa"/>
            <w:tcMar>
              <w:top w:w="72" w:type="dxa"/>
              <w:left w:w="72" w:type="dxa"/>
              <w:bottom w:w="72" w:type="dxa"/>
              <w:right w:w="72" w:type="dxa"/>
            </w:tcMar>
          </w:tcPr>
          <w:p w14:paraId="43807C30" w14:textId="52CB5C96" w:rsidR="00D93F53" w:rsidRPr="0022045D" w:rsidRDefault="00D93F53" w:rsidP="004B134E">
            <w:pPr>
              <w:spacing w:before="100" w:beforeAutospacing="1" w:after="100" w:afterAutospacing="1"/>
              <w:rPr>
                <w:sz w:val="20"/>
                <w:szCs w:val="20"/>
              </w:rPr>
            </w:pPr>
          </w:p>
        </w:tc>
      </w:tr>
      <w:tr w:rsidR="00D11991" w:rsidRPr="0022045D" w14:paraId="6E373BBD" w14:textId="77777777" w:rsidTr="002868E4">
        <w:trPr>
          <w:trHeight w:val="305"/>
        </w:trPr>
        <w:tc>
          <w:tcPr>
            <w:tcW w:w="3115" w:type="dxa"/>
            <w:tcMar>
              <w:top w:w="72" w:type="dxa"/>
              <w:left w:w="72" w:type="dxa"/>
              <w:bottom w:w="72" w:type="dxa"/>
              <w:right w:w="72" w:type="dxa"/>
            </w:tcMar>
          </w:tcPr>
          <w:p w14:paraId="6A8544CB" w14:textId="6019A344"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2160" w:type="dxa"/>
            <w:tcMar>
              <w:top w:w="72" w:type="dxa"/>
              <w:left w:w="72" w:type="dxa"/>
              <w:bottom w:w="72" w:type="dxa"/>
              <w:right w:w="72" w:type="dxa"/>
            </w:tcMar>
          </w:tcPr>
          <w:p w14:paraId="15AD14F0" w14:textId="1ED4166E"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2C08F1F6" w14:textId="3D1D87C3"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49AD21ED" w14:textId="77777777" w:rsidTr="002868E4">
        <w:trPr>
          <w:trHeight w:val="386"/>
        </w:trPr>
        <w:tc>
          <w:tcPr>
            <w:tcW w:w="3115" w:type="dxa"/>
            <w:tcMar>
              <w:top w:w="72" w:type="dxa"/>
              <w:left w:w="72" w:type="dxa"/>
              <w:bottom w:w="72" w:type="dxa"/>
              <w:right w:w="72" w:type="dxa"/>
            </w:tcMar>
          </w:tcPr>
          <w:p w14:paraId="77B5BC67" w14:textId="53CA3B58"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1209B747"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19C8DC03" w14:textId="77777777" w:rsidR="00D11991" w:rsidRPr="0022045D" w:rsidRDefault="00D11991" w:rsidP="00D11991">
            <w:pPr>
              <w:spacing w:before="100" w:beforeAutospacing="1" w:after="100" w:afterAutospacing="1"/>
              <w:rPr>
                <w:sz w:val="20"/>
                <w:szCs w:val="20"/>
              </w:rPr>
            </w:pP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4E0E2C2D" w:rsidR="00945829" w:rsidRPr="00E10F99" w:rsidRDefault="00E10F99" w:rsidP="00CB0337">
      <w:pPr>
        <w:spacing w:before="100" w:beforeAutospacing="1" w:after="100" w:afterAutospacing="1" w:line="240" w:lineRule="auto"/>
        <w:rPr>
          <w:lang w:val="en-AU"/>
        </w:rPr>
      </w:pPr>
      <w:r w:rsidRPr="00A23958">
        <w:rPr>
          <w:highlight w:val="yellow"/>
          <w:lang w:val="en-AU"/>
        </w:rPr>
        <w:t>{{ai.</w:t>
      </w:r>
      <w:r w:rsidR="00F821E8">
        <w:rPr>
          <w:highlight w:val="yellow"/>
          <w:lang w:val="en-AU"/>
        </w:rPr>
        <w:t>o</w:t>
      </w:r>
      <w:r w:rsidR="00443945">
        <w:rPr>
          <w:highlight w:val="yellow"/>
          <w:lang w:val="en-AU"/>
        </w:rPr>
        <w:t>_</w:t>
      </w:r>
      <w:r w:rsidRPr="00A23958">
        <w:rPr>
          <w:highlight w:val="yellow"/>
          <w:lang w:val="en-AU"/>
        </w:rPr>
        <w:t>action_interpretation}}</w:t>
      </w:r>
    </w:p>
    <w:p w14:paraId="0578E390" w14:textId="273AA67E" w:rsidR="00CB0337" w:rsidRPr="00D87DC8" w:rsidRDefault="00CB0337" w:rsidP="00CF79B4">
      <w:pPr>
        <w:pStyle w:val="Heading01"/>
        <w:rPr>
          <w:lang w:val="en-AU" w:eastAsia="en-AU"/>
        </w:rPr>
      </w:pPr>
      <w:bookmarkStart w:id="7" w:name="_Toc219659832"/>
      <w:r w:rsidRPr="00D87DC8">
        <w:rPr>
          <w:lang w:val="en-AU" w:eastAsia="en-AU"/>
        </w:rPr>
        <w:t>Your Pathway Through the AM AI SAFE Framework</w:t>
      </w:r>
      <w:bookmarkEnd w:id="7"/>
    </w:p>
    <w:p w14:paraId="2479BEA6" w14:textId="77777777" w:rsidR="002F44E7" w:rsidRPr="002F44E7" w:rsidRDefault="002F44E7" w:rsidP="002F44E7">
      <w:r>
        <w:t xml:space="preserve">This section explains how the Organisation-wide AI Maturity </w:t>
      </w:r>
      <w:r w:rsidRPr="002F44E7">
        <w:t>Assessment fits within the broader AM AI SAFE framework and outlines appropriate next steps based on the organisation’s demonstrated maturity, scale of AI use, and governance readiness. The intent of this pathway guidance is to support proportionate, risk-aware progression through more detailed assessments, rather than to mandate advancement.</w:t>
      </w:r>
    </w:p>
    <w:p w14:paraId="6D93A8FD" w14:textId="77777777" w:rsidR="002F44E7" w:rsidRPr="002F44E7" w:rsidRDefault="002F44E7" w:rsidP="002F44E7">
      <w:r w:rsidRPr="002F44E7">
        <w:t xml:space="preserve">The Organisation-wide AI Maturity Assessment focuses on how consistently artificial intelligence is governed, managed, and embedded across </w:t>
      </w:r>
      <w:r w:rsidRPr="002F44E7">
        <w:rPr>
          <w:b/>
          <w:bCs/>
        </w:rPr>
        <w:t>{{org_name}}</w:t>
      </w:r>
      <w:r w:rsidRPr="002F44E7">
        <w:t xml:space="preserve"> as an enterprise. It does not assess the safety, compliance, or performance of individual AI systems. Decisions to progress to system-level or risk-focused assessments should therefore be guided by organisational maturity, AI exposure, and the readiness of governance and operating models to support deeper assurance.</w:t>
      </w:r>
    </w:p>
    <w:p w14:paraId="54C6E513" w14:textId="77777777" w:rsidR="002F44E7" w:rsidRPr="002F44E7" w:rsidRDefault="002F44E7" w:rsidP="002F44E7">
      <w:r w:rsidRPr="002F44E7">
        <w:t xml:space="preserve">Based on the assessment results, </w:t>
      </w:r>
      <w:r w:rsidRPr="002F44E7">
        <w:rPr>
          <w:b/>
          <w:bCs/>
        </w:rPr>
        <w:t>{{org_name}}</w:t>
      </w:r>
      <w:r w:rsidRPr="002F44E7">
        <w:t xml:space="preserve"> currently demonstrates a </w:t>
      </w:r>
      <w:r w:rsidRPr="002F44E7">
        <w:rPr>
          <w:rStyle w:val="Strong"/>
        </w:rPr>
        <w:t>{{overall.tier}}</w:t>
      </w:r>
      <w:r w:rsidRPr="002F44E7">
        <w:t xml:space="preserve"> organisation-wide AI maturity posture, with AI activity spanning </w:t>
      </w:r>
      <w:r w:rsidRPr="002F44E7">
        <w:rPr>
          <w:b/>
          <w:bCs/>
        </w:rPr>
        <w:t>{{ai_project_count}}</w:t>
      </w:r>
      <w:r w:rsidRPr="002F44E7">
        <w:t xml:space="preserve"> initiatives and delivered through a </w:t>
      </w:r>
      <w:r w:rsidRPr="002F44E7">
        <w:rPr>
          <w:b/>
          <w:bCs/>
        </w:rPr>
        <w:t>{{ai_sourcing_model}}</w:t>
      </w:r>
      <w:r w:rsidRPr="002F44E7">
        <w:t xml:space="preserve"> sourcing model. These factors inform the recommended pathway outlined below.</w:t>
      </w:r>
    </w:p>
    <w:p w14:paraId="54474B6C" w14:textId="77777777" w:rsidR="00322A70" w:rsidRDefault="00322A70" w:rsidP="00322A70">
      <w:pPr>
        <w:spacing w:before="100" w:beforeAutospacing="1" w:after="0" w:line="240" w:lineRule="auto"/>
      </w:pPr>
      <w:r>
        <w:t>{% if overall.tier == "Foundational" %}</w:t>
      </w:r>
    </w:p>
    <w:p w14:paraId="0622BFE6" w14:textId="77777777" w:rsidR="00322A70" w:rsidRDefault="00322A70" w:rsidP="00322A70">
      <w:pPr>
        <w:spacing w:before="100" w:beforeAutospacing="1" w:after="0" w:line="240" w:lineRule="auto"/>
      </w:pPr>
      <w:r w:rsidRPr="00322A70">
        <w:rPr>
          <w:b/>
          <w:bCs/>
        </w:rPr>
        <w:t>Recommended Pathway:</w:t>
      </w:r>
      <w:r>
        <w:t xml:space="preserve"> Stabilise Organisation-wide Foundations</w:t>
      </w:r>
    </w:p>
    <w:p w14:paraId="752B3715" w14:textId="77777777" w:rsidR="00322A70" w:rsidRDefault="00322A70" w:rsidP="00322A70">
      <w:pPr>
        <w:spacing w:before="100" w:beforeAutospacing="1" w:after="0" w:line="240" w:lineRule="auto"/>
      </w:pPr>
      <w:r>
        <w:t>At a Foundational level, AI activity is emerging but organisation-wide governance, risk discipline, and capability are not yet sufficiently mature to support deeper system-level assurance.</w:t>
      </w:r>
    </w:p>
    <w:p w14:paraId="4595972D" w14:textId="77777777" w:rsidR="00322A70" w:rsidRPr="00322A70" w:rsidRDefault="00322A70" w:rsidP="00322A70">
      <w:pPr>
        <w:spacing w:before="100" w:beforeAutospacing="1" w:after="0" w:line="240" w:lineRule="auto"/>
        <w:rPr>
          <w:b/>
          <w:bCs/>
        </w:rPr>
      </w:pPr>
      <w:r w:rsidRPr="00322A70">
        <w:rPr>
          <w:b/>
          <w:bCs/>
        </w:rPr>
        <w:t>Recommended focus:</w:t>
      </w:r>
    </w:p>
    <w:p w14:paraId="16D57BF5" w14:textId="65EB1EF1" w:rsidR="00322A70" w:rsidRDefault="00322A70" w:rsidP="00322A70">
      <w:pPr>
        <w:pStyle w:val="ListParagraph"/>
        <w:numPr>
          <w:ilvl w:val="0"/>
          <w:numId w:val="57"/>
        </w:numPr>
        <w:spacing w:before="100" w:beforeAutospacing="1" w:after="0" w:line="240" w:lineRule="auto"/>
      </w:pPr>
      <w:r>
        <w:t>Establish clear organisation-wide AI governance, accountability, and decision pathways</w:t>
      </w:r>
    </w:p>
    <w:p w14:paraId="17011AFB" w14:textId="14C8BB8C" w:rsidR="00322A70" w:rsidRDefault="00322A70" w:rsidP="00322A70">
      <w:pPr>
        <w:pStyle w:val="ListParagraph"/>
        <w:numPr>
          <w:ilvl w:val="0"/>
          <w:numId w:val="57"/>
        </w:numPr>
        <w:spacing w:before="100" w:beforeAutospacing="1" w:after="0" w:line="240" w:lineRule="auto"/>
      </w:pPr>
      <w:r>
        <w:t>Improve consistency of risk assessment, policy application, and oversight</w:t>
      </w:r>
    </w:p>
    <w:p w14:paraId="2074D2C5" w14:textId="6C771CFC" w:rsidR="00322A70" w:rsidRDefault="00322A70" w:rsidP="00322A70">
      <w:pPr>
        <w:pStyle w:val="ListParagraph"/>
        <w:numPr>
          <w:ilvl w:val="0"/>
          <w:numId w:val="57"/>
        </w:numPr>
        <w:spacing w:before="100" w:beforeAutospacing="1" w:after="0" w:line="240" w:lineRule="auto"/>
      </w:pPr>
      <w:r>
        <w:t>Build baseline AI capability, awareness, and executive engagement</w:t>
      </w:r>
    </w:p>
    <w:p w14:paraId="2B72170F" w14:textId="77777777" w:rsidR="00322A70" w:rsidRPr="00322A70" w:rsidRDefault="00322A70" w:rsidP="00322A70">
      <w:pPr>
        <w:spacing w:before="100" w:beforeAutospacing="1" w:after="0" w:line="240" w:lineRule="auto"/>
        <w:rPr>
          <w:b/>
          <w:bCs/>
        </w:rPr>
      </w:pPr>
      <w:r w:rsidRPr="00322A70">
        <w:rPr>
          <w:b/>
          <w:bCs/>
        </w:rPr>
        <w:t>Progression guidance:</w:t>
      </w:r>
    </w:p>
    <w:p w14:paraId="52EB6C7F" w14:textId="77777777" w:rsidR="00322A70" w:rsidRDefault="00322A70" w:rsidP="00322A70">
      <w:pPr>
        <w:spacing w:before="100" w:beforeAutospacing="1" w:after="0" w:line="240" w:lineRule="auto"/>
      </w:pPr>
      <w:r>
        <w:t>Progression to AI System Maturity Assessments or FAIRA AI Risk Assessments is not recommended at this stage. Undertaking system-level assessments prematurely may create false confidence or divert effort away from foundational maturity uplift. Reassessment should be considered once organisation-wide practices are more consistent.</w:t>
      </w:r>
    </w:p>
    <w:p w14:paraId="2E287859" w14:textId="77777777" w:rsidR="00322A70" w:rsidRDefault="00322A70" w:rsidP="00322A70">
      <w:pPr>
        <w:spacing w:before="100" w:beforeAutospacing="1" w:after="0" w:line="240" w:lineRule="auto"/>
      </w:pPr>
      <w:r>
        <w:t>{% elif overall.tier == "Developing" %}</w:t>
      </w:r>
    </w:p>
    <w:p w14:paraId="7B4086BC" w14:textId="77777777" w:rsidR="00322A70" w:rsidRDefault="00322A70" w:rsidP="00322A70">
      <w:pPr>
        <w:spacing w:before="100" w:beforeAutospacing="1" w:after="0" w:line="240" w:lineRule="auto"/>
      </w:pPr>
      <w:r w:rsidRPr="00322A70">
        <w:rPr>
          <w:b/>
          <w:bCs/>
        </w:rPr>
        <w:t>Recommended Pathway:</w:t>
      </w:r>
      <w:r>
        <w:t xml:space="preserve"> Consolidate and Embed Organisation-wide Maturity</w:t>
      </w:r>
    </w:p>
    <w:p w14:paraId="7551738E" w14:textId="77777777" w:rsidR="00322A70" w:rsidRDefault="00322A70" w:rsidP="00322A70">
      <w:pPr>
        <w:spacing w:before="100" w:beforeAutospacing="1" w:after="0" w:line="240" w:lineRule="auto"/>
      </w:pPr>
      <w:r>
        <w:t>A Developing maturity posture indicates that governance and risk mechanisms are emerging but are not yet consistently embedded across all business units or AI use cases.</w:t>
      </w:r>
    </w:p>
    <w:p w14:paraId="18C9AFB8" w14:textId="77777777" w:rsidR="00322A70" w:rsidRPr="00322A70" w:rsidRDefault="00322A70" w:rsidP="00322A70">
      <w:pPr>
        <w:spacing w:before="100" w:beforeAutospacing="1" w:after="0" w:line="240" w:lineRule="auto"/>
        <w:rPr>
          <w:b/>
          <w:bCs/>
        </w:rPr>
      </w:pPr>
      <w:r w:rsidRPr="00322A70">
        <w:rPr>
          <w:b/>
          <w:bCs/>
        </w:rPr>
        <w:t>Recommended focus:</w:t>
      </w:r>
    </w:p>
    <w:p w14:paraId="0C66E589" w14:textId="0600AD49" w:rsidR="00322A70" w:rsidRDefault="00322A70" w:rsidP="00322A70">
      <w:pPr>
        <w:pStyle w:val="ListParagraph"/>
        <w:numPr>
          <w:ilvl w:val="0"/>
          <w:numId w:val="59"/>
        </w:numPr>
        <w:spacing w:before="100" w:beforeAutospacing="1" w:after="0" w:line="240" w:lineRule="auto"/>
      </w:pPr>
      <w:r>
        <w:t>Address inconsistencies between policy intent and operational practice</w:t>
      </w:r>
    </w:p>
    <w:p w14:paraId="62807B61" w14:textId="17A9B4F6" w:rsidR="00322A70" w:rsidRDefault="00322A70" w:rsidP="00322A70">
      <w:pPr>
        <w:pStyle w:val="ListParagraph"/>
        <w:numPr>
          <w:ilvl w:val="0"/>
          <w:numId w:val="59"/>
        </w:numPr>
        <w:spacing w:before="100" w:beforeAutospacing="1" w:after="0" w:line="240" w:lineRule="auto"/>
      </w:pPr>
      <w:r>
        <w:t>Strengthen risk assessment coverage across AI initiatives</w:t>
      </w:r>
    </w:p>
    <w:p w14:paraId="760A246F" w14:textId="510BAD0C" w:rsidR="00322A70" w:rsidRDefault="00322A70" w:rsidP="00322A70">
      <w:pPr>
        <w:pStyle w:val="ListParagraph"/>
        <w:numPr>
          <w:ilvl w:val="0"/>
          <w:numId w:val="59"/>
        </w:numPr>
        <w:spacing w:before="100" w:beforeAutospacing="1" w:after="0" w:line="240" w:lineRule="auto"/>
      </w:pPr>
      <w:r>
        <w:t>Improve visibility of AI activity through registers and governance forums</w:t>
      </w:r>
    </w:p>
    <w:p w14:paraId="5D64D9DD" w14:textId="77777777" w:rsidR="00322A70" w:rsidRPr="0064724E" w:rsidRDefault="00322A70" w:rsidP="00322A70">
      <w:pPr>
        <w:spacing w:before="100" w:beforeAutospacing="1" w:after="0" w:line="240" w:lineRule="auto"/>
        <w:rPr>
          <w:b/>
          <w:bCs/>
        </w:rPr>
      </w:pPr>
      <w:r w:rsidRPr="0064724E">
        <w:rPr>
          <w:b/>
          <w:bCs/>
        </w:rPr>
        <w:t>Progression guidance:</w:t>
      </w:r>
    </w:p>
    <w:p w14:paraId="0106D79E" w14:textId="77777777" w:rsidR="00322A70" w:rsidRDefault="00322A70" w:rsidP="00322A70">
      <w:pPr>
        <w:spacing w:before="100" w:beforeAutospacing="1" w:after="0" w:line="240" w:lineRule="auto"/>
      </w:pPr>
      <w:r>
        <w:t>Targeted AI System Maturity Assessments may be appropriate for higher-impact or externally sourced AI solutions, where additional assurance is required. However, broad system-level assessment should remain selective until organisation-wide maturity becomes more uniform.</w:t>
      </w:r>
    </w:p>
    <w:p w14:paraId="22FE23B2" w14:textId="77777777" w:rsidR="00322A70" w:rsidRDefault="00322A70" w:rsidP="00322A70">
      <w:pPr>
        <w:spacing w:before="100" w:beforeAutospacing="1" w:after="0" w:line="240" w:lineRule="auto"/>
      </w:pPr>
      <w:r>
        <w:t>{% elif overall.tier == "Established" %}</w:t>
      </w:r>
    </w:p>
    <w:p w14:paraId="091CF971" w14:textId="77777777" w:rsidR="00322A70" w:rsidRDefault="00322A70" w:rsidP="00322A70">
      <w:pPr>
        <w:spacing w:before="100" w:beforeAutospacing="1" w:after="0" w:line="240" w:lineRule="auto"/>
      </w:pPr>
      <w:r w:rsidRPr="0064724E">
        <w:rPr>
          <w:b/>
          <w:bCs/>
        </w:rPr>
        <w:t>Recommended Pathway:</w:t>
      </w:r>
      <w:r>
        <w:t xml:space="preserve"> Targeted System Assurance and Risk Validation</w:t>
      </w:r>
    </w:p>
    <w:p w14:paraId="2C54B56D" w14:textId="77777777" w:rsidR="00322A70" w:rsidRDefault="00322A70" w:rsidP="00322A70">
      <w:pPr>
        <w:spacing w:before="100" w:beforeAutospacing="1" w:after="0" w:line="240" w:lineRule="auto"/>
      </w:pPr>
      <w:r>
        <w:t>An Established maturity posture indicates that the organisation has largely consistent governance, risk, and capability foundations in place to support more detailed assurance activities.</w:t>
      </w:r>
    </w:p>
    <w:p w14:paraId="293CF3BF" w14:textId="77777777" w:rsidR="00322A70" w:rsidRPr="0064724E" w:rsidRDefault="00322A70" w:rsidP="00322A70">
      <w:pPr>
        <w:spacing w:before="100" w:beforeAutospacing="1" w:after="0" w:line="240" w:lineRule="auto"/>
        <w:rPr>
          <w:b/>
          <w:bCs/>
        </w:rPr>
      </w:pPr>
      <w:r w:rsidRPr="0064724E">
        <w:rPr>
          <w:b/>
          <w:bCs/>
        </w:rPr>
        <w:t>Recommended focus:</w:t>
      </w:r>
    </w:p>
    <w:p w14:paraId="225FA7CD" w14:textId="6B4EF6CF" w:rsidR="00322A70" w:rsidRDefault="00322A70" w:rsidP="0064724E">
      <w:pPr>
        <w:pStyle w:val="ListParagraph"/>
        <w:numPr>
          <w:ilvl w:val="0"/>
          <w:numId w:val="61"/>
        </w:numPr>
        <w:spacing w:before="100" w:beforeAutospacing="1" w:after="0" w:line="240" w:lineRule="auto"/>
      </w:pPr>
      <w:r>
        <w:t>Validate that organisation-wide controls are operating effectively at system level</w:t>
      </w:r>
    </w:p>
    <w:p w14:paraId="4AB52CE7" w14:textId="118A97A1" w:rsidR="00322A70" w:rsidRDefault="00322A70" w:rsidP="0064724E">
      <w:pPr>
        <w:pStyle w:val="ListParagraph"/>
        <w:numPr>
          <w:ilvl w:val="0"/>
          <w:numId w:val="61"/>
        </w:numPr>
        <w:spacing w:before="100" w:beforeAutospacing="1" w:after="0" w:line="240" w:lineRule="auto"/>
      </w:pPr>
      <w:r>
        <w:t>Identify maturity gaps that may emerge as AI use scales or becomes more complex</w:t>
      </w:r>
    </w:p>
    <w:p w14:paraId="2388740F" w14:textId="509454F8" w:rsidR="00322A70" w:rsidRDefault="00322A70" w:rsidP="0064724E">
      <w:pPr>
        <w:pStyle w:val="ListParagraph"/>
        <w:numPr>
          <w:ilvl w:val="0"/>
          <w:numId w:val="61"/>
        </w:numPr>
        <w:spacing w:before="100" w:beforeAutospacing="1" w:after="0" w:line="240" w:lineRule="auto"/>
      </w:pPr>
      <w:r>
        <w:t>Prepare for increased scrutiny of higher-impact AI use cases</w:t>
      </w:r>
    </w:p>
    <w:p w14:paraId="5A4551C1" w14:textId="77777777" w:rsidR="00322A70" w:rsidRPr="00024A14" w:rsidRDefault="00322A70" w:rsidP="00322A70">
      <w:pPr>
        <w:spacing w:before="100" w:beforeAutospacing="1" w:after="0" w:line="240" w:lineRule="auto"/>
        <w:rPr>
          <w:b/>
          <w:bCs/>
        </w:rPr>
      </w:pPr>
      <w:r w:rsidRPr="00024A14">
        <w:rPr>
          <w:b/>
          <w:bCs/>
        </w:rPr>
        <w:t>Progression guidance:</w:t>
      </w:r>
    </w:p>
    <w:p w14:paraId="305E4F34" w14:textId="77777777" w:rsidR="00322A70" w:rsidRDefault="00322A70" w:rsidP="00322A70">
      <w:pPr>
        <w:spacing w:before="100" w:beforeAutospacing="1" w:after="0" w:line="240" w:lineRule="auto"/>
      </w:pPr>
      <w:r>
        <w:t>Targeted AI System Maturity Assessments are recommended for priority AI solutions, particularly those supporting critical services, sensitive decisions, or external stakeholders. FAIRA AI Risk Assessments may also be appropriate where public impact, regulatory expectations, or ethical considerations apply.</w:t>
      </w:r>
    </w:p>
    <w:p w14:paraId="2D113B8F" w14:textId="77777777" w:rsidR="00322A70" w:rsidRDefault="00322A70" w:rsidP="00322A70">
      <w:pPr>
        <w:spacing w:before="100" w:beforeAutospacing="1" w:after="0" w:line="240" w:lineRule="auto"/>
      </w:pPr>
    </w:p>
    <w:p w14:paraId="0926A33C" w14:textId="77777777" w:rsidR="00322A70" w:rsidRDefault="00322A70" w:rsidP="00322A70">
      <w:pPr>
        <w:spacing w:before="100" w:beforeAutospacing="1" w:after="0" w:line="240" w:lineRule="auto"/>
      </w:pPr>
      <w:r>
        <w:t>{% elif overall.tier == "Leading" %}</w:t>
      </w:r>
    </w:p>
    <w:p w14:paraId="7F193E02" w14:textId="77777777" w:rsidR="00322A70" w:rsidRDefault="00322A70" w:rsidP="00322A70">
      <w:pPr>
        <w:spacing w:before="100" w:beforeAutospacing="1" w:after="0" w:line="240" w:lineRule="auto"/>
      </w:pPr>
      <w:r w:rsidRPr="00024A14">
        <w:rPr>
          <w:b/>
          <w:bCs/>
        </w:rPr>
        <w:t>Recommended Pathway:</w:t>
      </w:r>
      <w:r>
        <w:t xml:space="preserve"> Ongoing System-Level Assurance and Risk Governance</w:t>
      </w:r>
    </w:p>
    <w:p w14:paraId="18BF3C62" w14:textId="77777777" w:rsidR="00322A70" w:rsidRDefault="00322A70" w:rsidP="00322A70">
      <w:pPr>
        <w:spacing w:before="100" w:beforeAutospacing="1" w:after="0" w:line="240" w:lineRule="auto"/>
      </w:pPr>
      <w:r>
        <w:t>A Leading maturity posture indicates strong organisation-wide AI governance, executive oversight, and cultural capability, enabling confident progression to detailed assurance activities.</w:t>
      </w:r>
    </w:p>
    <w:p w14:paraId="662F838C" w14:textId="77777777" w:rsidR="00322A70" w:rsidRPr="00024A14" w:rsidRDefault="00322A70" w:rsidP="00322A70">
      <w:pPr>
        <w:spacing w:before="100" w:beforeAutospacing="1" w:after="0" w:line="240" w:lineRule="auto"/>
        <w:rPr>
          <w:b/>
          <w:bCs/>
        </w:rPr>
      </w:pPr>
      <w:r w:rsidRPr="00024A14">
        <w:rPr>
          <w:b/>
          <w:bCs/>
        </w:rPr>
        <w:t>Recommended focus:</w:t>
      </w:r>
    </w:p>
    <w:p w14:paraId="47D68553" w14:textId="651E0035" w:rsidR="00322A70" w:rsidRDefault="00322A70" w:rsidP="00024A14">
      <w:pPr>
        <w:pStyle w:val="ListParagraph"/>
        <w:numPr>
          <w:ilvl w:val="0"/>
          <w:numId w:val="63"/>
        </w:numPr>
        <w:spacing w:before="100" w:beforeAutospacing="1" w:after="0" w:line="240" w:lineRule="auto"/>
      </w:pPr>
      <w:r>
        <w:t>Shift from maturity uplift to continuous assurance and risk validation</w:t>
      </w:r>
    </w:p>
    <w:p w14:paraId="0BC59779" w14:textId="4F227820" w:rsidR="00322A70" w:rsidRDefault="00322A70" w:rsidP="00024A14">
      <w:pPr>
        <w:pStyle w:val="ListParagraph"/>
        <w:numPr>
          <w:ilvl w:val="0"/>
          <w:numId w:val="63"/>
        </w:numPr>
        <w:spacing w:before="100" w:beforeAutospacing="1" w:after="0" w:line="240" w:lineRule="auto"/>
      </w:pPr>
      <w:r>
        <w:t>Demonstrate defensible governance and oversight of high-impact AI systems</w:t>
      </w:r>
    </w:p>
    <w:p w14:paraId="3650BA06" w14:textId="2C18148C" w:rsidR="00322A70" w:rsidRDefault="00322A70" w:rsidP="00024A14">
      <w:pPr>
        <w:pStyle w:val="ListParagraph"/>
        <w:numPr>
          <w:ilvl w:val="0"/>
          <w:numId w:val="63"/>
        </w:numPr>
        <w:spacing w:before="100" w:beforeAutospacing="1" w:after="0" w:line="240" w:lineRule="auto"/>
      </w:pPr>
      <w:r>
        <w:t>Maintain alignment with regulatory, ethical, and sector expectations</w:t>
      </w:r>
    </w:p>
    <w:p w14:paraId="7E76F907" w14:textId="77777777" w:rsidR="00322A70" w:rsidRPr="00024A14" w:rsidRDefault="00322A70" w:rsidP="00322A70">
      <w:pPr>
        <w:spacing w:before="100" w:beforeAutospacing="1" w:after="0" w:line="240" w:lineRule="auto"/>
        <w:rPr>
          <w:b/>
          <w:bCs/>
        </w:rPr>
      </w:pPr>
      <w:r w:rsidRPr="00024A14">
        <w:rPr>
          <w:b/>
          <w:bCs/>
        </w:rPr>
        <w:t>Progression guidance:</w:t>
      </w:r>
    </w:p>
    <w:p w14:paraId="353C7FB9" w14:textId="77777777" w:rsidR="00322A70" w:rsidRDefault="00322A70" w:rsidP="00322A70">
      <w:pPr>
        <w:spacing w:before="100" w:beforeAutospacing="1" w:after="0" w:line="240" w:lineRule="auto"/>
      </w:pPr>
      <w:r>
        <w:t>AI System Maturity Assessments and FAIRA AI Risk Assessments are recommended as standard practice for significant or high-risk AI systems. These assessments support defensible assurance, transparency, and accountability as AI becomes more embedded in organisational decision-making.</w:t>
      </w:r>
    </w:p>
    <w:p w14:paraId="353443CB" w14:textId="77777777" w:rsidR="00322A70" w:rsidRDefault="00322A70" w:rsidP="00322A70">
      <w:pPr>
        <w:spacing w:before="100" w:beforeAutospacing="1" w:after="0" w:line="240" w:lineRule="auto"/>
      </w:pPr>
      <w:r>
        <w:t>{% else %}</w:t>
      </w:r>
    </w:p>
    <w:p w14:paraId="3B5D1D69" w14:textId="77777777" w:rsidR="00322A70" w:rsidRDefault="00322A70" w:rsidP="00322A70">
      <w:pPr>
        <w:spacing w:before="100" w:beforeAutospacing="1" w:after="0" w:line="240" w:lineRule="auto"/>
      </w:pPr>
      <w:r w:rsidRPr="00024A14">
        <w:rPr>
          <w:b/>
          <w:bCs/>
        </w:rPr>
        <w:t>Recommended Pathway:</w:t>
      </w:r>
      <w:r>
        <w:t xml:space="preserve"> Review and Reconfirm Baseline</w:t>
      </w:r>
    </w:p>
    <w:p w14:paraId="2FCA4022" w14:textId="77777777" w:rsidR="00322A70" w:rsidRDefault="00322A70" w:rsidP="00322A70">
      <w:pPr>
        <w:spacing w:before="100" w:beforeAutospacing="1" w:after="0" w:line="240" w:lineRule="auto"/>
      </w:pPr>
      <w:r>
        <w:t>An organisation-wide maturity tier has not been clearly established. It is recommended that the assessment results and domain-level scores be reviewed and validated before determining an appropriate pathway through subsequent AM AI SAFE assessments.</w:t>
      </w:r>
    </w:p>
    <w:p w14:paraId="25F02B2E" w14:textId="31F8CED1" w:rsidR="00CB0337" w:rsidRDefault="00322A70" w:rsidP="00322A70">
      <w:pPr>
        <w:spacing w:before="100" w:beforeAutospacing="1" w:after="0" w:line="240" w:lineRule="auto"/>
      </w:pPr>
      <w:r>
        <w:t>{% endif %}</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0AB74019" w14:textId="646DF839" w:rsidR="00F52E70" w:rsidRDefault="00F52E70" w:rsidP="000A64F8">
      <w:pPr>
        <w:spacing w:before="100" w:beforeAutospacing="1" w:after="100" w:afterAutospacing="1" w:line="240" w:lineRule="auto"/>
        <w:rPr>
          <w:b/>
          <w:bCs/>
        </w:rPr>
      </w:pPr>
      <w:r w:rsidRPr="00F52E70">
        <w:rPr>
          <w:b/>
          <w:bCs/>
        </w:rPr>
        <w:t>Pathway Rationale</w:t>
      </w:r>
    </w:p>
    <w:p w14:paraId="17655ECB" w14:textId="1452EA6E" w:rsidR="00F52E70" w:rsidRPr="00F52E70" w:rsidRDefault="00F52E70" w:rsidP="00F52E70">
      <w:pPr>
        <w:spacing w:before="100" w:beforeAutospacing="1" w:after="100" w:afterAutospacing="1" w:line="240" w:lineRule="auto"/>
        <w:rPr>
          <w:lang w:val="en-AU"/>
        </w:rPr>
      </w:pPr>
      <w:r w:rsidRPr="00F52E70">
        <w:rPr>
          <w:highlight w:val="yellow"/>
          <w:lang w:val="en-AU"/>
        </w:rPr>
        <w:t>{{ai.</w:t>
      </w:r>
      <w:r w:rsidR="00114A1E">
        <w:rPr>
          <w:highlight w:val="yellow"/>
          <w:lang w:val="en-AU"/>
        </w:rPr>
        <w:t>o</w:t>
      </w:r>
      <w:r w:rsidRPr="00F52E70">
        <w:rPr>
          <w:highlight w:val="yellow"/>
          <w:lang w:val="en-AU"/>
        </w:rPr>
        <w:t>_pathway_rationale}}</w:t>
      </w:r>
    </w:p>
    <w:p w14:paraId="33E3995D" w14:textId="77777777" w:rsidR="00F52E70" w:rsidRPr="00F52E70" w:rsidRDefault="00F52E70" w:rsidP="000A64F8">
      <w:pPr>
        <w:spacing w:before="100" w:beforeAutospacing="1" w:after="100" w:afterAutospacing="1" w:line="240" w:lineRule="auto"/>
        <w:rPr>
          <w:b/>
          <w:bCs/>
        </w:rPr>
      </w:pPr>
    </w:p>
    <w:p w14:paraId="5DF03FBA" w14:textId="50EA015D" w:rsidR="00CB0337" w:rsidRPr="003A2633" w:rsidRDefault="00CB0337" w:rsidP="00595EFE">
      <w:pPr>
        <w:pStyle w:val="Heading01"/>
        <w:rPr>
          <w:lang w:val="en-AU" w:eastAsia="en-AU"/>
        </w:rPr>
      </w:pPr>
      <w:bookmarkStart w:id="8" w:name="_Toc219659833"/>
      <w:r w:rsidRPr="003A2633">
        <w:rPr>
          <w:lang w:val="en-AU" w:eastAsia="en-AU"/>
        </w:rPr>
        <w:t>Appendix A – Detailed Responses</w:t>
      </w:r>
      <w:bookmarkEnd w:id="8"/>
    </w:p>
    <w:p w14:paraId="6BE1B4F4" w14:textId="77777777" w:rsidR="006D21CA" w:rsidRPr="006D21CA" w:rsidRDefault="006D21CA" w:rsidP="006D21CA">
      <w:pPr>
        <w:pStyle w:val="Heading01"/>
        <w:numPr>
          <w:ilvl w:val="0"/>
          <w:numId w:val="0"/>
        </w:numPr>
        <w:rPr>
          <w:b w:val="0"/>
          <w:bCs w:val="0"/>
          <w:sz w:val="24"/>
          <w:szCs w:val="24"/>
          <w:highlight w:val="green"/>
        </w:rPr>
      </w:pPr>
      <w:r w:rsidRPr="006D21CA">
        <w:rPr>
          <w:b w:val="0"/>
          <w:bCs w:val="0"/>
          <w:sz w:val="24"/>
          <w:szCs w:val="24"/>
          <w:highlight w:val="green"/>
        </w:rPr>
        <w:t>This appendix presents the detailed question-level responses that underpin the Organisation-wide AI Maturity Assessment. It is provided to support transparency, traceability, and internal review of the assessment results.</w:t>
      </w:r>
    </w:p>
    <w:p w14:paraId="4CE7EB07" w14:textId="77777777" w:rsidR="006D21CA" w:rsidRDefault="006D21CA" w:rsidP="006D21CA">
      <w:pPr>
        <w:pStyle w:val="Heading01"/>
        <w:numPr>
          <w:ilvl w:val="0"/>
          <w:numId w:val="0"/>
        </w:numPr>
        <w:rPr>
          <w:b w:val="0"/>
          <w:bCs w:val="0"/>
          <w:sz w:val="24"/>
          <w:szCs w:val="24"/>
        </w:rPr>
      </w:pPr>
      <w:r w:rsidRPr="006D21CA">
        <w:rPr>
          <w:b w:val="0"/>
          <w:bCs w:val="0"/>
          <w:sz w:val="24"/>
          <w:szCs w:val="24"/>
          <w:highlight w:val="green"/>
        </w:rPr>
        <w:t>The information in this appendix is descriptive only. Individual responses should be interpreted in the context of the overall maturity results and should not be viewed in isolation as indicators of compliance, control effectiveness, or system-level assurance.</w:t>
      </w:r>
    </w:p>
    <w:p w14:paraId="7CC9DFB2" w14:textId="190E3C41" w:rsidR="00895CCD" w:rsidRPr="00355583" w:rsidRDefault="00895CCD" w:rsidP="00895CCD">
      <w:pPr>
        <w:pStyle w:val="Heading01"/>
        <w:numPr>
          <w:ilvl w:val="0"/>
          <w:numId w:val="0"/>
        </w:numPr>
        <w:rPr>
          <w:b w:val="0"/>
          <w:bCs w:val="0"/>
          <w:sz w:val="24"/>
          <w:szCs w:val="24"/>
          <w:highlight w:val="green"/>
          <w:lang w:val="en-AU"/>
        </w:rPr>
      </w:pPr>
      <w:r w:rsidRPr="00355583">
        <w:rPr>
          <w:b w:val="0"/>
          <w:bCs w:val="0"/>
          <w:sz w:val="24"/>
          <w:szCs w:val="24"/>
          <w:highlight w:val="green"/>
          <w:lang w:val="en-AU"/>
        </w:rPr>
        <w:t>Each item in the list below represents a single assessment question and includes:</w:t>
      </w:r>
    </w:p>
    <w:p w14:paraId="6797981D" w14:textId="77777777" w:rsidR="00895CCD" w:rsidRPr="00355583" w:rsidRDefault="00895CCD" w:rsidP="00355583">
      <w:pPr>
        <w:pStyle w:val="Heading01"/>
        <w:numPr>
          <w:ilvl w:val="0"/>
          <w:numId w:val="51"/>
        </w:numPr>
        <w:spacing w:before="60"/>
        <w:rPr>
          <w:b w:val="0"/>
          <w:bCs w:val="0"/>
          <w:sz w:val="24"/>
          <w:szCs w:val="24"/>
          <w:highlight w:val="green"/>
          <w:lang w:val="en-AU"/>
        </w:rPr>
      </w:pPr>
      <w:r w:rsidRPr="00355583">
        <w:rPr>
          <w:b w:val="0"/>
          <w:bCs w:val="0"/>
          <w:sz w:val="24"/>
          <w:szCs w:val="24"/>
          <w:highlight w:val="green"/>
          <w:lang w:val="en-AU"/>
        </w:rPr>
        <w:t>The assessment domain to which the question relates</w:t>
      </w:r>
    </w:p>
    <w:p w14:paraId="3DB37278" w14:textId="77777777" w:rsidR="00895CCD" w:rsidRPr="00355583" w:rsidRDefault="00895CCD" w:rsidP="00355583">
      <w:pPr>
        <w:pStyle w:val="Heading01"/>
        <w:numPr>
          <w:ilvl w:val="0"/>
          <w:numId w:val="51"/>
        </w:numPr>
        <w:spacing w:before="60"/>
        <w:rPr>
          <w:b w:val="0"/>
          <w:bCs w:val="0"/>
          <w:sz w:val="24"/>
          <w:szCs w:val="24"/>
          <w:highlight w:val="green"/>
          <w:lang w:val="en-AU"/>
        </w:rPr>
      </w:pPr>
      <w:r w:rsidRPr="00355583">
        <w:rPr>
          <w:b w:val="0"/>
          <w:bCs w:val="0"/>
          <w:sz w:val="24"/>
          <w:szCs w:val="24"/>
          <w:highlight w:val="green"/>
          <w:lang w:val="en-AU"/>
        </w:rPr>
        <w:t>The selected response and associated maturity level</w:t>
      </w:r>
    </w:p>
    <w:p w14:paraId="283B2895" w14:textId="77777777" w:rsidR="00895CCD" w:rsidRPr="00355583" w:rsidRDefault="00895CCD" w:rsidP="00355583">
      <w:pPr>
        <w:pStyle w:val="Heading01"/>
        <w:numPr>
          <w:ilvl w:val="0"/>
          <w:numId w:val="51"/>
        </w:numPr>
        <w:spacing w:before="60"/>
        <w:rPr>
          <w:b w:val="0"/>
          <w:bCs w:val="0"/>
          <w:sz w:val="24"/>
          <w:szCs w:val="24"/>
          <w:highlight w:val="green"/>
          <w:lang w:val="en-AU"/>
        </w:rPr>
      </w:pPr>
      <w:r w:rsidRPr="00355583">
        <w:rPr>
          <w:b w:val="0"/>
          <w:bCs w:val="0"/>
          <w:sz w:val="24"/>
          <w:szCs w:val="24"/>
          <w:highlight w:val="green"/>
          <w:lang w:val="en-AU"/>
        </w:rPr>
        <w:t>Any supporting contextual notes captured during the assessment</w:t>
      </w:r>
    </w:p>
    <w:p w14:paraId="00909E72" w14:textId="77777777" w:rsidR="00895CCD" w:rsidRPr="00355583" w:rsidRDefault="00895CCD" w:rsidP="00895CCD">
      <w:pPr>
        <w:pStyle w:val="Heading01"/>
        <w:numPr>
          <w:ilvl w:val="0"/>
          <w:numId w:val="0"/>
        </w:numPr>
        <w:rPr>
          <w:b w:val="0"/>
          <w:bCs w:val="0"/>
          <w:sz w:val="24"/>
          <w:szCs w:val="24"/>
          <w:highlight w:val="green"/>
          <w:lang w:val="en-AU"/>
        </w:rPr>
      </w:pPr>
      <w:r w:rsidRPr="00355583">
        <w:rPr>
          <w:b w:val="0"/>
          <w:bCs w:val="0"/>
          <w:sz w:val="24"/>
          <w:szCs w:val="24"/>
          <w:highlight w:val="green"/>
          <w:lang w:val="en-AU"/>
        </w:rPr>
        <w:t>The question-level responses reflect the organisation’s position at the time of assessment ({{assessment_date}}) and are based on information provided by participants across the business units and roles in scope.</w:t>
      </w:r>
    </w:p>
    <w:p w14:paraId="471B2560" w14:textId="77777777" w:rsidR="00895CCD" w:rsidRPr="00895CCD" w:rsidRDefault="00895CCD" w:rsidP="00895CCD">
      <w:pPr>
        <w:pStyle w:val="Heading01"/>
        <w:numPr>
          <w:ilvl w:val="0"/>
          <w:numId w:val="0"/>
        </w:numPr>
        <w:rPr>
          <w:b w:val="0"/>
          <w:bCs w:val="0"/>
          <w:sz w:val="24"/>
          <w:szCs w:val="24"/>
          <w:lang w:val="en-AU"/>
        </w:rPr>
      </w:pPr>
      <w:r w:rsidRPr="00355583">
        <w:rPr>
          <w:b w:val="0"/>
          <w:bCs w:val="0"/>
          <w:sz w:val="24"/>
          <w:szCs w:val="24"/>
          <w:highlight w:val="green"/>
          <w:lang w:val="en-AU"/>
        </w:rPr>
        <w:t>Where responses vary across business areas or roles, the recorded response represents the consolidated organisational view used for maturity scoring. Future reassessments may result in different responses as organisational practices evolve.</w:t>
      </w:r>
    </w:p>
    <w:p w14:paraId="022A0E76" w14:textId="77777777" w:rsidR="00384E8B" w:rsidRDefault="00384E8B" w:rsidP="0068193C">
      <w:pPr>
        <w:spacing w:after="0" w:line="240" w:lineRule="auto"/>
        <w:rPr>
          <w:rFonts w:cs="Arial"/>
        </w:rPr>
      </w:pPr>
    </w:p>
    <w:p w14:paraId="45445D1C" w14:textId="64E7AB67" w:rsidR="0068193C" w:rsidRPr="0068193C" w:rsidRDefault="0068193C" w:rsidP="0068193C">
      <w:pPr>
        <w:spacing w:after="0" w:line="240" w:lineRule="auto"/>
        <w:rPr>
          <w:rFonts w:cs="Arial"/>
        </w:rPr>
      </w:pPr>
      <w:r w:rsidRPr="0068193C">
        <w:rPr>
          <w:rFonts w:cs="Arial"/>
        </w:rPr>
        <w:t>{% if show_detailed_responses %}</w:t>
      </w:r>
    </w:p>
    <w:p w14:paraId="6AB4C4AD" w14:textId="77777777" w:rsidR="0068193C" w:rsidRPr="0068193C" w:rsidRDefault="0068193C" w:rsidP="0068193C">
      <w:pPr>
        <w:spacing w:after="0" w:line="240" w:lineRule="auto"/>
        <w:rPr>
          <w:rFonts w:cs="Arial"/>
        </w:rPr>
      </w:pPr>
      <w:r w:rsidRPr="0068193C">
        <w:rPr>
          <w:rFonts w:cs="Arial"/>
        </w:rPr>
        <w:t>{% for q in questions %}</w:t>
      </w:r>
    </w:p>
    <w:p w14:paraId="33EA01F5" w14:textId="77777777" w:rsidR="0068193C" w:rsidRPr="0068193C" w:rsidRDefault="0068193C" w:rsidP="0068193C">
      <w:pPr>
        <w:spacing w:after="0" w:line="240" w:lineRule="auto"/>
        <w:rPr>
          <w:rFonts w:cs="Arial"/>
          <w:b/>
          <w:bCs/>
        </w:rPr>
      </w:pPr>
      <w:r w:rsidRPr="0068193C">
        <w:rPr>
          <w:rFonts w:cs="Arial"/>
          <w:b/>
          <w:bCs/>
        </w:rPr>
        <w:t>{{ q.code }} – {{ q.text }}</w:t>
      </w:r>
    </w:p>
    <w:p w14:paraId="3359D711" w14:textId="77777777" w:rsidR="0068193C" w:rsidRPr="0068193C" w:rsidRDefault="0068193C" w:rsidP="0068193C">
      <w:pPr>
        <w:spacing w:after="0" w:line="240" w:lineRule="auto"/>
        <w:rPr>
          <w:rFonts w:cs="Arial"/>
        </w:rPr>
      </w:pPr>
      <w:r w:rsidRPr="0068193C">
        <w:rPr>
          <w:rFonts w:cs="Arial"/>
        </w:rPr>
        <w:t>- Your response: {{ q.selected_option_text }}</w:t>
      </w:r>
    </w:p>
    <w:p w14:paraId="189C7075" w14:textId="77777777" w:rsidR="0068193C" w:rsidRPr="0068193C" w:rsidRDefault="0068193C" w:rsidP="0068193C">
      <w:pPr>
        <w:spacing w:after="0" w:line="240" w:lineRule="auto"/>
        <w:rPr>
          <w:rFonts w:cs="Arial"/>
        </w:rPr>
      </w:pPr>
      <w:r w:rsidRPr="0068193C">
        <w:rPr>
          <w:rFonts w:cs="Arial"/>
        </w:rPr>
        <w:t>- Domain: {{ q.domain }}</w:t>
      </w:r>
    </w:p>
    <w:p w14:paraId="449304B5" w14:textId="77777777" w:rsidR="0068193C" w:rsidRPr="0068193C" w:rsidRDefault="0068193C" w:rsidP="0068193C">
      <w:pPr>
        <w:spacing w:after="0" w:line="240" w:lineRule="auto"/>
        <w:rPr>
          <w:rFonts w:cs="Arial"/>
        </w:rPr>
      </w:pPr>
      <w:r w:rsidRPr="0068193C">
        <w:rPr>
          <w:rFonts w:cs="Arial"/>
        </w:rPr>
        <w:t>- Maturity level: {{ q.maturity_level }}</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q.score }}/4</w:t>
      </w:r>
    </w:p>
    <w:p w14:paraId="4371A3DE" w14:textId="77777777" w:rsidR="0068193C" w:rsidRPr="0068193C" w:rsidRDefault="0068193C" w:rsidP="0068193C">
      <w:pPr>
        <w:spacing w:after="0" w:line="240" w:lineRule="auto"/>
        <w:rPr>
          <w:rFonts w:cs="Arial"/>
        </w:rPr>
      </w:pPr>
      <w:r w:rsidRPr="0068193C">
        <w:rPr>
          <w:rFonts w:cs="Arial"/>
        </w:rPr>
        <w:t>{%p if q.comment %}</w:t>
      </w:r>
    </w:p>
    <w:p w14:paraId="79A8526A" w14:textId="77777777" w:rsidR="0068193C" w:rsidRPr="0068193C" w:rsidRDefault="0068193C" w:rsidP="0068193C">
      <w:pPr>
        <w:spacing w:after="0" w:line="240" w:lineRule="auto"/>
        <w:rPr>
          <w:rFonts w:cs="Arial"/>
        </w:rPr>
      </w:pPr>
      <w:r w:rsidRPr="0068193C">
        <w:rPr>
          <w:rFonts w:cs="Arial"/>
        </w:rPr>
        <w:t>- Comment: {{ q.comment }}</w:t>
      </w:r>
    </w:p>
    <w:p w14:paraId="496E9362" w14:textId="77777777" w:rsidR="0068193C" w:rsidRPr="0068193C" w:rsidRDefault="0068193C" w:rsidP="0068193C">
      <w:pPr>
        <w:spacing w:after="0" w:line="240" w:lineRule="auto"/>
        <w:rPr>
          <w:rFonts w:cs="Arial"/>
        </w:rPr>
      </w:pPr>
      <w:r w:rsidRPr="0068193C">
        <w:rPr>
          <w:rFonts w:cs="Arial"/>
        </w:rPr>
        <w:t>{%p endif %}</w:t>
      </w:r>
    </w:p>
    <w:p w14:paraId="3218FF94" w14:textId="77777777" w:rsidR="0068193C" w:rsidRPr="0068193C" w:rsidRDefault="0068193C" w:rsidP="0068193C">
      <w:pPr>
        <w:spacing w:after="0" w:line="240" w:lineRule="auto"/>
        <w:rPr>
          <w:rFonts w:cs="Arial"/>
        </w:rPr>
      </w:pPr>
      <w:r w:rsidRPr="0068193C">
        <w:rPr>
          <w:rFonts w:cs="Arial"/>
        </w:rPr>
        <w:t>{% endfor %}</w:t>
      </w:r>
    </w:p>
    <w:p w14:paraId="29070827" w14:textId="5A1E03C4" w:rsidR="002A1C33" w:rsidRDefault="0068193C" w:rsidP="0068193C">
      <w:pPr>
        <w:spacing w:after="0" w:line="240" w:lineRule="auto"/>
        <w:rPr>
          <w:rFonts w:cs="Arial"/>
        </w:rPr>
      </w:pPr>
      <w:r w:rsidRPr="0068193C">
        <w:rPr>
          <w:rFonts w:cs="Arial"/>
        </w:rPr>
        <w:t>{% endif %}</w:t>
      </w:r>
    </w:p>
    <w:p w14:paraId="68E5C696" w14:textId="77777777" w:rsidR="00F50156" w:rsidRDefault="00F50156" w:rsidP="00811856">
      <w:pPr>
        <w:spacing w:after="0" w:line="240" w:lineRule="auto"/>
        <w:rPr>
          <w:rFonts w:cs="Arial"/>
        </w:rPr>
      </w:pPr>
    </w:p>
    <w:p w14:paraId="7119F03C" w14:textId="5C85EA10" w:rsidR="00F50156" w:rsidRPr="000778DF" w:rsidRDefault="00E06A2E" w:rsidP="00811856">
      <w:pPr>
        <w:spacing w:after="0" w:line="240" w:lineRule="auto"/>
        <w:rPr>
          <w:rFonts w:cs="Arial"/>
          <w:i/>
          <w:iCs/>
          <w:color w:val="215E99" w:themeColor="text2" w:themeTint="BF"/>
        </w:rPr>
      </w:pPr>
      <w:r w:rsidRPr="000778DF">
        <w:rPr>
          <w:rFonts w:cs="Arial"/>
          <w:b/>
          <w:bCs/>
          <w:i/>
          <w:iCs/>
          <w:color w:val="215E99" w:themeColor="text2" w:themeTint="BF"/>
          <w:u w:val="single"/>
        </w:rPr>
        <w:t>Note:</w:t>
      </w:r>
      <w:r w:rsidRPr="000778DF">
        <w:rPr>
          <w:rFonts w:cs="Arial"/>
          <w:i/>
          <w:iCs/>
          <w:color w:val="215E99" w:themeColor="text2" w:themeTint="BF"/>
        </w:rPr>
        <w:t xml:space="preserve"> This appendix is intended to support understanding of how maturity results were derived. It is not intended to be used as a checklist or audit artefact.</w:t>
      </w:r>
    </w:p>
    <w:sectPr w:rsidR="00F50156" w:rsidRPr="000778DF"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70BF6" w14:textId="77777777" w:rsidR="009A222D" w:rsidRDefault="009A222D" w:rsidP="006D69CC">
      <w:pPr>
        <w:spacing w:after="0" w:line="240" w:lineRule="auto"/>
      </w:pPr>
      <w:r>
        <w:separator/>
      </w:r>
    </w:p>
  </w:endnote>
  <w:endnote w:type="continuationSeparator" w:id="0">
    <w:p w14:paraId="4CC40F6D" w14:textId="77777777" w:rsidR="009A222D" w:rsidRDefault="009A222D"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2A2B080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7030A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50A19E"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2/HqQIAAOEFAAAOAAAAZHJzL2Uyb0RvYy54bWysVFtv2yAUfp+0/4B4X21nvaRRnSpq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" fillcolor="#7030a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BB0E7" w14:textId="77777777" w:rsidR="009A222D" w:rsidRDefault="009A222D" w:rsidP="006D69CC">
      <w:pPr>
        <w:spacing w:after="0" w:line="240" w:lineRule="auto"/>
      </w:pPr>
      <w:r>
        <w:separator/>
      </w:r>
    </w:p>
  </w:footnote>
  <w:footnote w:type="continuationSeparator" w:id="0">
    <w:p w14:paraId="381C94A3" w14:textId="77777777" w:rsidR="009A222D" w:rsidRDefault="009A222D"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3A775519">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7030A0"/>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10F6FC"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" fillcolor="#7030a0"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452D2A29" w:rsidR="008E14BE" w:rsidRPr="008B64F4" w:rsidRDefault="008B64F4">
                          <w:pPr>
                            <w:rPr>
                              <w:b/>
                              <w:bCs/>
                              <w:color w:val="7030A0"/>
                              <w:sz w:val="36"/>
                              <w:szCs w:val="36"/>
                            </w:rPr>
                          </w:pPr>
                          <w:r w:rsidRPr="008B64F4">
                            <w:rPr>
                              <w:b/>
                              <w:bCs/>
                              <w:color w:val="7030A0"/>
                              <w:sz w:val="36"/>
                              <w:szCs w:val="36"/>
                            </w:rPr>
                            <w:t xml:space="preserve">Organisation-wide AI Maturity </w:t>
                          </w:r>
                          <w:r w:rsidR="008E14BE" w:rsidRPr="008B64F4">
                            <w:rPr>
                              <w:b/>
                              <w:bCs/>
                              <w:color w:val="7030A0"/>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452D2A29" w:rsidR="008E14BE" w:rsidRPr="008B64F4" w:rsidRDefault="008B64F4">
                    <w:pPr>
                      <w:rPr>
                        <w:b/>
                        <w:bCs/>
                        <w:color w:val="7030A0"/>
                        <w:sz w:val="36"/>
                        <w:szCs w:val="36"/>
                      </w:rPr>
                    </w:pPr>
                    <w:r w:rsidRPr="008B64F4">
                      <w:rPr>
                        <w:b/>
                        <w:bCs/>
                        <w:color w:val="7030A0"/>
                        <w:sz w:val="36"/>
                        <w:szCs w:val="36"/>
                      </w:rPr>
                      <w:t xml:space="preserve">Organisation-wide AI Maturity </w:t>
                    </w:r>
                    <w:r w:rsidR="008E14BE" w:rsidRPr="008B64F4">
                      <w:rPr>
                        <w:b/>
                        <w:bCs/>
                        <w:color w:val="7030A0"/>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A5575C"/>
    <w:multiLevelType w:val="hybridMultilevel"/>
    <w:tmpl w:val="532042D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02005C"/>
    <w:multiLevelType w:val="hybridMultilevel"/>
    <w:tmpl w:val="A418B93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2C4E50"/>
    <w:multiLevelType w:val="multilevel"/>
    <w:tmpl w:val="231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34B4E20"/>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27945"/>
    <w:multiLevelType w:val="hybridMultilevel"/>
    <w:tmpl w:val="C68430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9126B5A"/>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85C81"/>
    <w:multiLevelType w:val="multilevel"/>
    <w:tmpl w:val="1C2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31790"/>
    <w:multiLevelType w:val="hybridMultilevel"/>
    <w:tmpl w:val="F76C7D96"/>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41C6E50"/>
    <w:multiLevelType w:val="multilevel"/>
    <w:tmpl w:val="9BB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9E859E3"/>
    <w:multiLevelType w:val="hybridMultilevel"/>
    <w:tmpl w:val="E4B46D8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CA033E5"/>
    <w:multiLevelType w:val="hybridMultilevel"/>
    <w:tmpl w:val="35FEC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0612C5A"/>
    <w:multiLevelType w:val="hybridMultilevel"/>
    <w:tmpl w:val="B3ECD30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33E514D4"/>
    <w:multiLevelType w:val="hybridMultilevel"/>
    <w:tmpl w:val="47B8DD72"/>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51F18E8"/>
    <w:multiLevelType w:val="hybridMultilevel"/>
    <w:tmpl w:val="7EC6E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E4B0FE7"/>
    <w:multiLevelType w:val="hybridMultilevel"/>
    <w:tmpl w:val="3648BC14"/>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E811417"/>
    <w:multiLevelType w:val="hybridMultilevel"/>
    <w:tmpl w:val="DA741100"/>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6" w15:restartNumberingAfterBreak="0">
    <w:nsid w:val="424212FA"/>
    <w:multiLevelType w:val="hybridMultilevel"/>
    <w:tmpl w:val="5D96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4F24B54"/>
    <w:multiLevelType w:val="hybridMultilevel"/>
    <w:tmpl w:val="2334E76E"/>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6EE6A45"/>
    <w:multiLevelType w:val="hybridMultilevel"/>
    <w:tmpl w:val="AC8E7714"/>
    <w:lvl w:ilvl="0" w:tplc="F81028E8">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46F86798"/>
    <w:multiLevelType w:val="multilevel"/>
    <w:tmpl w:val="91665F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B779E2"/>
    <w:multiLevelType w:val="hybridMultilevel"/>
    <w:tmpl w:val="4CA0F5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493B1348"/>
    <w:multiLevelType w:val="hybridMultilevel"/>
    <w:tmpl w:val="AD08B27E"/>
    <w:lvl w:ilvl="0" w:tplc="CD84D68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4" w15:restartNumberingAfterBreak="0">
    <w:nsid w:val="4AA027EB"/>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987077"/>
    <w:multiLevelType w:val="hybridMultilevel"/>
    <w:tmpl w:val="C47E8D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510868C4"/>
    <w:multiLevelType w:val="multilevel"/>
    <w:tmpl w:val="F2C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14C053E"/>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182EDA"/>
    <w:multiLevelType w:val="multilevel"/>
    <w:tmpl w:val="5762C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880932"/>
    <w:multiLevelType w:val="hybridMultilevel"/>
    <w:tmpl w:val="DEAE4F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63EF1F7B"/>
    <w:multiLevelType w:val="multilevel"/>
    <w:tmpl w:val="E61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65F4032B"/>
    <w:multiLevelType w:val="hybridMultilevel"/>
    <w:tmpl w:val="70862AF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BFF57C1"/>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472FD3"/>
    <w:multiLevelType w:val="hybridMultilevel"/>
    <w:tmpl w:val="FB72F7D6"/>
    <w:lvl w:ilvl="0" w:tplc="C0B6AB6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6DB63C7C"/>
    <w:multiLevelType w:val="hybridMultilevel"/>
    <w:tmpl w:val="3D36C0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73363EA1"/>
    <w:multiLevelType w:val="hybridMultilevel"/>
    <w:tmpl w:val="DF1494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15:restartNumberingAfterBreak="0">
    <w:nsid w:val="74CE4572"/>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799B756F"/>
    <w:multiLevelType w:val="multilevel"/>
    <w:tmpl w:val="D684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6719CD"/>
    <w:multiLevelType w:val="multilevel"/>
    <w:tmpl w:val="07F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29"/>
  </w:num>
  <w:num w:numId="3" w16cid:durableId="2010522140">
    <w:abstractNumId w:val="6"/>
  </w:num>
  <w:num w:numId="4" w16cid:durableId="1079134156">
    <w:abstractNumId w:val="54"/>
  </w:num>
  <w:num w:numId="5" w16cid:durableId="347021345">
    <w:abstractNumId w:val="13"/>
  </w:num>
  <w:num w:numId="6" w16cid:durableId="629408757">
    <w:abstractNumId w:val="5"/>
  </w:num>
  <w:num w:numId="7" w16cid:durableId="250163549">
    <w:abstractNumId w:val="20"/>
  </w:num>
  <w:num w:numId="8" w16cid:durableId="889345641">
    <w:abstractNumId w:val="22"/>
  </w:num>
  <w:num w:numId="9" w16cid:durableId="739714298">
    <w:abstractNumId w:val="27"/>
  </w:num>
  <w:num w:numId="10" w16cid:durableId="1709839996">
    <w:abstractNumId w:val="57"/>
  </w:num>
  <w:num w:numId="11" w16cid:durableId="1511993961">
    <w:abstractNumId w:val="14"/>
  </w:num>
  <w:num w:numId="12" w16cid:durableId="227225655">
    <w:abstractNumId w:val="42"/>
  </w:num>
  <w:num w:numId="13" w16cid:durableId="1803038471">
    <w:abstractNumId w:val="44"/>
  </w:num>
  <w:num w:numId="14" w16cid:durableId="1912424534">
    <w:abstractNumId w:val="41"/>
  </w:num>
  <w:num w:numId="15" w16cid:durableId="487132551">
    <w:abstractNumId w:val="19"/>
  </w:num>
  <w:num w:numId="16" w16cid:durableId="981426188">
    <w:abstractNumId w:val="48"/>
  </w:num>
  <w:num w:numId="17" w16cid:durableId="1304575948">
    <w:abstractNumId w:val="4"/>
  </w:num>
  <w:num w:numId="18" w16cid:durableId="939679642">
    <w:abstractNumId w:val="31"/>
  </w:num>
  <w:num w:numId="19" w16cid:durableId="1048067840">
    <w:abstractNumId w:val="39"/>
  </w:num>
  <w:num w:numId="20" w16cid:durableId="833302635">
    <w:abstractNumId w:val="52"/>
  </w:num>
  <w:num w:numId="21" w16cid:durableId="1403985437">
    <w:abstractNumId w:val="53"/>
  </w:num>
  <w:num w:numId="22" w16cid:durableId="2013297653">
    <w:abstractNumId w:val="23"/>
  </w:num>
  <w:num w:numId="23" w16cid:durableId="1400901932">
    <w:abstractNumId w:val="0"/>
  </w:num>
  <w:num w:numId="24" w16cid:durableId="1931766240">
    <w:abstractNumId w:val="0"/>
  </w:num>
  <w:num w:numId="25" w16cid:durableId="931356145">
    <w:abstractNumId w:val="0"/>
  </w:num>
  <w:num w:numId="26" w16cid:durableId="1492721937">
    <w:abstractNumId w:val="26"/>
  </w:num>
  <w:num w:numId="27" w16cid:durableId="624309133">
    <w:abstractNumId w:val="11"/>
  </w:num>
  <w:num w:numId="28" w16cid:durableId="730494818">
    <w:abstractNumId w:val="33"/>
  </w:num>
  <w:num w:numId="29" w16cid:durableId="1042095628">
    <w:abstractNumId w:val="17"/>
  </w:num>
  <w:num w:numId="30" w16cid:durableId="1785465430">
    <w:abstractNumId w:val="21"/>
  </w:num>
  <w:num w:numId="31" w16cid:durableId="1365910190">
    <w:abstractNumId w:val="24"/>
  </w:num>
  <w:num w:numId="32" w16cid:durableId="750741513">
    <w:abstractNumId w:val="8"/>
  </w:num>
  <w:num w:numId="33" w16cid:durableId="1090152987">
    <w:abstractNumId w:val="35"/>
  </w:num>
  <w:num w:numId="34" w16cid:durableId="1461652951">
    <w:abstractNumId w:val="28"/>
  </w:num>
  <w:num w:numId="35" w16cid:durableId="471555574">
    <w:abstractNumId w:val="15"/>
  </w:num>
  <w:num w:numId="36" w16cid:durableId="291860671">
    <w:abstractNumId w:val="16"/>
  </w:num>
  <w:num w:numId="37" w16cid:durableId="1663849498">
    <w:abstractNumId w:val="18"/>
  </w:num>
  <w:num w:numId="38" w16cid:durableId="1780565648">
    <w:abstractNumId w:val="2"/>
  </w:num>
  <w:num w:numId="39" w16cid:durableId="170342353">
    <w:abstractNumId w:val="36"/>
  </w:num>
  <w:num w:numId="40" w16cid:durableId="1094861838">
    <w:abstractNumId w:val="3"/>
  </w:num>
  <w:num w:numId="41" w16cid:durableId="776674921">
    <w:abstractNumId w:val="0"/>
  </w:num>
  <w:num w:numId="42" w16cid:durableId="49814601">
    <w:abstractNumId w:val="43"/>
  </w:num>
  <w:num w:numId="43" w16cid:durableId="1406880810">
    <w:abstractNumId w:val="12"/>
  </w:num>
  <w:num w:numId="44" w16cid:durableId="1233850564">
    <w:abstractNumId w:val="40"/>
  </w:num>
  <w:num w:numId="45" w16cid:durableId="1806123212">
    <w:abstractNumId w:val="0"/>
  </w:num>
  <w:num w:numId="46" w16cid:durableId="2136413021">
    <w:abstractNumId w:val="56"/>
  </w:num>
  <w:num w:numId="47" w16cid:durableId="830756644">
    <w:abstractNumId w:val="55"/>
  </w:num>
  <w:num w:numId="48" w16cid:durableId="1950771042">
    <w:abstractNumId w:val="10"/>
  </w:num>
  <w:num w:numId="49" w16cid:durableId="706875588">
    <w:abstractNumId w:val="50"/>
  </w:num>
  <w:num w:numId="50" w16cid:durableId="2052798018">
    <w:abstractNumId w:val="25"/>
  </w:num>
  <w:num w:numId="51" w16cid:durableId="1867592823">
    <w:abstractNumId w:val="49"/>
  </w:num>
  <w:num w:numId="52" w16cid:durableId="1892231785">
    <w:abstractNumId w:val="32"/>
  </w:num>
  <w:num w:numId="53" w16cid:durableId="145439637">
    <w:abstractNumId w:val="30"/>
  </w:num>
  <w:num w:numId="54" w16cid:durableId="793211416">
    <w:abstractNumId w:val="1"/>
  </w:num>
  <w:num w:numId="55" w16cid:durableId="287974124">
    <w:abstractNumId w:val="47"/>
  </w:num>
  <w:num w:numId="56" w16cid:durableId="1148327846">
    <w:abstractNumId w:val="45"/>
  </w:num>
  <w:num w:numId="57" w16cid:durableId="856506272">
    <w:abstractNumId w:val="9"/>
  </w:num>
  <w:num w:numId="58" w16cid:durableId="811556651">
    <w:abstractNumId w:val="34"/>
  </w:num>
  <w:num w:numId="59" w16cid:durableId="1955332124">
    <w:abstractNumId w:val="51"/>
  </w:num>
  <w:num w:numId="60" w16cid:durableId="116873297">
    <w:abstractNumId w:val="37"/>
  </w:num>
  <w:num w:numId="61" w16cid:durableId="1575310956">
    <w:abstractNumId w:val="7"/>
  </w:num>
  <w:num w:numId="62" w16cid:durableId="1886678062">
    <w:abstractNumId w:val="46"/>
  </w:num>
  <w:num w:numId="63" w16cid:durableId="720135729">
    <w:abstractNumId w:val="3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1CFF"/>
    <w:rsid w:val="000047E7"/>
    <w:rsid w:val="000048C9"/>
    <w:rsid w:val="0000611B"/>
    <w:rsid w:val="00006430"/>
    <w:rsid w:val="00007570"/>
    <w:rsid w:val="00014773"/>
    <w:rsid w:val="000153A2"/>
    <w:rsid w:val="0001737C"/>
    <w:rsid w:val="00017821"/>
    <w:rsid w:val="00022B51"/>
    <w:rsid w:val="00023A83"/>
    <w:rsid w:val="000242C4"/>
    <w:rsid w:val="000246E7"/>
    <w:rsid w:val="000247F4"/>
    <w:rsid w:val="00024A14"/>
    <w:rsid w:val="00035648"/>
    <w:rsid w:val="0003727C"/>
    <w:rsid w:val="00037A6C"/>
    <w:rsid w:val="00043153"/>
    <w:rsid w:val="00044970"/>
    <w:rsid w:val="000466D9"/>
    <w:rsid w:val="000533C0"/>
    <w:rsid w:val="0005436D"/>
    <w:rsid w:val="00060546"/>
    <w:rsid w:val="0006486C"/>
    <w:rsid w:val="00065198"/>
    <w:rsid w:val="0007207B"/>
    <w:rsid w:val="00072265"/>
    <w:rsid w:val="0007670A"/>
    <w:rsid w:val="000778DF"/>
    <w:rsid w:val="00080A6B"/>
    <w:rsid w:val="0008197F"/>
    <w:rsid w:val="0008435B"/>
    <w:rsid w:val="00084CEC"/>
    <w:rsid w:val="00086078"/>
    <w:rsid w:val="00090E6B"/>
    <w:rsid w:val="00094BA7"/>
    <w:rsid w:val="00095A03"/>
    <w:rsid w:val="00096699"/>
    <w:rsid w:val="000A5AAA"/>
    <w:rsid w:val="000A648A"/>
    <w:rsid w:val="000A64F8"/>
    <w:rsid w:val="000A75C7"/>
    <w:rsid w:val="000B38A0"/>
    <w:rsid w:val="000B5169"/>
    <w:rsid w:val="000B602D"/>
    <w:rsid w:val="000B7215"/>
    <w:rsid w:val="000C0904"/>
    <w:rsid w:val="000C45D3"/>
    <w:rsid w:val="000D0E93"/>
    <w:rsid w:val="000D1556"/>
    <w:rsid w:val="000E19A4"/>
    <w:rsid w:val="000E19CB"/>
    <w:rsid w:val="000E4EB3"/>
    <w:rsid w:val="000E584E"/>
    <w:rsid w:val="000F1FFC"/>
    <w:rsid w:val="000F33C9"/>
    <w:rsid w:val="000F4866"/>
    <w:rsid w:val="000F7EFD"/>
    <w:rsid w:val="00104314"/>
    <w:rsid w:val="00104C3B"/>
    <w:rsid w:val="00107F5D"/>
    <w:rsid w:val="00110B5F"/>
    <w:rsid w:val="00114A1E"/>
    <w:rsid w:val="00116026"/>
    <w:rsid w:val="00116204"/>
    <w:rsid w:val="001254D9"/>
    <w:rsid w:val="00125D67"/>
    <w:rsid w:val="00130790"/>
    <w:rsid w:val="00131629"/>
    <w:rsid w:val="001357CB"/>
    <w:rsid w:val="00136BEF"/>
    <w:rsid w:val="0014135A"/>
    <w:rsid w:val="001454E9"/>
    <w:rsid w:val="00146E75"/>
    <w:rsid w:val="0014744B"/>
    <w:rsid w:val="00147AF4"/>
    <w:rsid w:val="001522CF"/>
    <w:rsid w:val="00154D53"/>
    <w:rsid w:val="001560A4"/>
    <w:rsid w:val="0015635D"/>
    <w:rsid w:val="00160F12"/>
    <w:rsid w:val="00161A7D"/>
    <w:rsid w:val="0016222B"/>
    <w:rsid w:val="0016232C"/>
    <w:rsid w:val="00162D7D"/>
    <w:rsid w:val="0016442F"/>
    <w:rsid w:val="00164D15"/>
    <w:rsid w:val="001655C1"/>
    <w:rsid w:val="00165BBE"/>
    <w:rsid w:val="00165C98"/>
    <w:rsid w:val="00167E14"/>
    <w:rsid w:val="001753B5"/>
    <w:rsid w:val="001779AB"/>
    <w:rsid w:val="001815AC"/>
    <w:rsid w:val="00183845"/>
    <w:rsid w:val="0019083C"/>
    <w:rsid w:val="00192295"/>
    <w:rsid w:val="001935C1"/>
    <w:rsid w:val="0019711B"/>
    <w:rsid w:val="001979E1"/>
    <w:rsid w:val="001A2F28"/>
    <w:rsid w:val="001A41E9"/>
    <w:rsid w:val="001B07D1"/>
    <w:rsid w:val="001B326F"/>
    <w:rsid w:val="001B3BDC"/>
    <w:rsid w:val="001C07FD"/>
    <w:rsid w:val="001C0835"/>
    <w:rsid w:val="001C293D"/>
    <w:rsid w:val="001C296C"/>
    <w:rsid w:val="001C3D44"/>
    <w:rsid w:val="001C5E8D"/>
    <w:rsid w:val="001D0B19"/>
    <w:rsid w:val="001D204B"/>
    <w:rsid w:val="001D3A46"/>
    <w:rsid w:val="001D40DC"/>
    <w:rsid w:val="001D7D7E"/>
    <w:rsid w:val="001E2FF2"/>
    <w:rsid w:val="001F102B"/>
    <w:rsid w:val="001F5648"/>
    <w:rsid w:val="001F6420"/>
    <w:rsid w:val="001F6CA1"/>
    <w:rsid w:val="001F7FFA"/>
    <w:rsid w:val="00204D0E"/>
    <w:rsid w:val="00210E3F"/>
    <w:rsid w:val="00212D75"/>
    <w:rsid w:val="0021747C"/>
    <w:rsid w:val="0022045D"/>
    <w:rsid w:val="002205B7"/>
    <w:rsid w:val="00220736"/>
    <w:rsid w:val="00223767"/>
    <w:rsid w:val="00224095"/>
    <w:rsid w:val="00225BCF"/>
    <w:rsid w:val="002279E0"/>
    <w:rsid w:val="00230F3C"/>
    <w:rsid w:val="0023345E"/>
    <w:rsid w:val="00233837"/>
    <w:rsid w:val="00236217"/>
    <w:rsid w:val="00240825"/>
    <w:rsid w:val="00241645"/>
    <w:rsid w:val="00244D11"/>
    <w:rsid w:val="00247D84"/>
    <w:rsid w:val="0025028A"/>
    <w:rsid w:val="00250D38"/>
    <w:rsid w:val="00253386"/>
    <w:rsid w:val="0025609F"/>
    <w:rsid w:val="00257181"/>
    <w:rsid w:val="00257AF5"/>
    <w:rsid w:val="00260CA6"/>
    <w:rsid w:val="0026295C"/>
    <w:rsid w:val="0026391C"/>
    <w:rsid w:val="00264C41"/>
    <w:rsid w:val="00264F36"/>
    <w:rsid w:val="0026528B"/>
    <w:rsid w:val="00266C09"/>
    <w:rsid w:val="00270D3C"/>
    <w:rsid w:val="00270F34"/>
    <w:rsid w:val="002719D1"/>
    <w:rsid w:val="00274112"/>
    <w:rsid w:val="002746DB"/>
    <w:rsid w:val="002764A4"/>
    <w:rsid w:val="0027792D"/>
    <w:rsid w:val="00282194"/>
    <w:rsid w:val="002843E6"/>
    <w:rsid w:val="00285523"/>
    <w:rsid w:val="002868E4"/>
    <w:rsid w:val="00290AAF"/>
    <w:rsid w:val="00291F9A"/>
    <w:rsid w:val="0029200D"/>
    <w:rsid w:val="00292096"/>
    <w:rsid w:val="00292A90"/>
    <w:rsid w:val="00295242"/>
    <w:rsid w:val="00297A33"/>
    <w:rsid w:val="002A0946"/>
    <w:rsid w:val="002A0D92"/>
    <w:rsid w:val="002A1343"/>
    <w:rsid w:val="002A1C33"/>
    <w:rsid w:val="002A244D"/>
    <w:rsid w:val="002A2D36"/>
    <w:rsid w:val="002A4D7D"/>
    <w:rsid w:val="002A5BC6"/>
    <w:rsid w:val="002A7BDD"/>
    <w:rsid w:val="002A7C77"/>
    <w:rsid w:val="002A7C7A"/>
    <w:rsid w:val="002C013D"/>
    <w:rsid w:val="002C0BB6"/>
    <w:rsid w:val="002C18B7"/>
    <w:rsid w:val="002C35BA"/>
    <w:rsid w:val="002C4197"/>
    <w:rsid w:val="002C7631"/>
    <w:rsid w:val="002D167C"/>
    <w:rsid w:val="002D68DD"/>
    <w:rsid w:val="002E247F"/>
    <w:rsid w:val="002E3245"/>
    <w:rsid w:val="002E39D2"/>
    <w:rsid w:val="002E3F79"/>
    <w:rsid w:val="002E60D6"/>
    <w:rsid w:val="002F0077"/>
    <w:rsid w:val="002F0C46"/>
    <w:rsid w:val="002F44E7"/>
    <w:rsid w:val="002F4E2E"/>
    <w:rsid w:val="002F5C17"/>
    <w:rsid w:val="002F6BA4"/>
    <w:rsid w:val="00304128"/>
    <w:rsid w:val="00304C10"/>
    <w:rsid w:val="0030628A"/>
    <w:rsid w:val="00322A70"/>
    <w:rsid w:val="00323003"/>
    <w:rsid w:val="0032360B"/>
    <w:rsid w:val="003327F7"/>
    <w:rsid w:val="00333E49"/>
    <w:rsid w:val="003359AE"/>
    <w:rsid w:val="003441FD"/>
    <w:rsid w:val="00352900"/>
    <w:rsid w:val="00353AC8"/>
    <w:rsid w:val="0035503B"/>
    <w:rsid w:val="00355583"/>
    <w:rsid w:val="00361A06"/>
    <w:rsid w:val="00361DE1"/>
    <w:rsid w:val="00367B8A"/>
    <w:rsid w:val="0037780B"/>
    <w:rsid w:val="00384C4F"/>
    <w:rsid w:val="00384E8B"/>
    <w:rsid w:val="00386E14"/>
    <w:rsid w:val="00390107"/>
    <w:rsid w:val="003908A3"/>
    <w:rsid w:val="003916B9"/>
    <w:rsid w:val="003950AB"/>
    <w:rsid w:val="00396CB6"/>
    <w:rsid w:val="003A1D51"/>
    <w:rsid w:val="003A210E"/>
    <w:rsid w:val="003A2633"/>
    <w:rsid w:val="003A32D4"/>
    <w:rsid w:val="003A547E"/>
    <w:rsid w:val="003B255A"/>
    <w:rsid w:val="003B2876"/>
    <w:rsid w:val="003B6548"/>
    <w:rsid w:val="003B69BE"/>
    <w:rsid w:val="003B72A0"/>
    <w:rsid w:val="003B7BC8"/>
    <w:rsid w:val="003C009F"/>
    <w:rsid w:val="003C29BC"/>
    <w:rsid w:val="003C37FA"/>
    <w:rsid w:val="003C4DAB"/>
    <w:rsid w:val="003C705F"/>
    <w:rsid w:val="003D4376"/>
    <w:rsid w:val="003D5C4E"/>
    <w:rsid w:val="003D608C"/>
    <w:rsid w:val="003D6351"/>
    <w:rsid w:val="003D706A"/>
    <w:rsid w:val="003D76EC"/>
    <w:rsid w:val="003E084D"/>
    <w:rsid w:val="003E1E31"/>
    <w:rsid w:val="003E2B6D"/>
    <w:rsid w:val="003E2D4F"/>
    <w:rsid w:val="003E38EA"/>
    <w:rsid w:val="003E394C"/>
    <w:rsid w:val="003E517F"/>
    <w:rsid w:val="003F1637"/>
    <w:rsid w:val="003F6D36"/>
    <w:rsid w:val="003F73E9"/>
    <w:rsid w:val="00402999"/>
    <w:rsid w:val="00410EC7"/>
    <w:rsid w:val="00414B98"/>
    <w:rsid w:val="00415A2D"/>
    <w:rsid w:val="00421B88"/>
    <w:rsid w:val="004229B4"/>
    <w:rsid w:val="004256BA"/>
    <w:rsid w:val="004321BD"/>
    <w:rsid w:val="00433596"/>
    <w:rsid w:val="00433662"/>
    <w:rsid w:val="0043376A"/>
    <w:rsid w:val="004348C6"/>
    <w:rsid w:val="0043707C"/>
    <w:rsid w:val="004374AA"/>
    <w:rsid w:val="0043797F"/>
    <w:rsid w:val="004379BA"/>
    <w:rsid w:val="00440406"/>
    <w:rsid w:val="00441C54"/>
    <w:rsid w:val="00441D5D"/>
    <w:rsid w:val="00443945"/>
    <w:rsid w:val="00444C57"/>
    <w:rsid w:val="004456FC"/>
    <w:rsid w:val="00445E53"/>
    <w:rsid w:val="004472B6"/>
    <w:rsid w:val="00461B5D"/>
    <w:rsid w:val="00462CEE"/>
    <w:rsid w:val="00466213"/>
    <w:rsid w:val="004666A9"/>
    <w:rsid w:val="00467A3B"/>
    <w:rsid w:val="004705B6"/>
    <w:rsid w:val="004711FD"/>
    <w:rsid w:val="0047250D"/>
    <w:rsid w:val="00474A77"/>
    <w:rsid w:val="00474C31"/>
    <w:rsid w:val="004912DB"/>
    <w:rsid w:val="004925D2"/>
    <w:rsid w:val="004928DC"/>
    <w:rsid w:val="004A4824"/>
    <w:rsid w:val="004B155A"/>
    <w:rsid w:val="004B1648"/>
    <w:rsid w:val="004B20C0"/>
    <w:rsid w:val="004B3FEC"/>
    <w:rsid w:val="004C37EC"/>
    <w:rsid w:val="004C60C2"/>
    <w:rsid w:val="004C70CA"/>
    <w:rsid w:val="004D1389"/>
    <w:rsid w:val="004D31C6"/>
    <w:rsid w:val="004D6302"/>
    <w:rsid w:val="004D6779"/>
    <w:rsid w:val="004E028A"/>
    <w:rsid w:val="004F4078"/>
    <w:rsid w:val="004F57CC"/>
    <w:rsid w:val="004F5F8F"/>
    <w:rsid w:val="004F6B70"/>
    <w:rsid w:val="004F7B9F"/>
    <w:rsid w:val="00504CD8"/>
    <w:rsid w:val="005052FC"/>
    <w:rsid w:val="005111F4"/>
    <w:rsid w:val="00511F4D"/>
    <w:rsid w:val="00512AE2"/>
    <w:rsid w:val="00513067"/>
    <w:rsid w:val="0051321C"/>
    <w:rsid w:val="00515B58"/>
    <w:rsid w:val="005160AC"/>
    <w:rsid w:val="005214DD"/>
    <w:rsid w:val="00521D0D"/>
    <w:rsid w:val="005304B5"/>
    <w:rsid w:val="00530B81"/>
    <w:rsid w:val="00534F09"/>
    <w:rsid w:val="00535856"/>
    <w:rsid w:val="00536EC9"/>
    <w:rsid w:val="0053721F"/>
    <w:rsid w:val="0054184E"/>
    <w:rsid w:val="00542B8D"/>
    <w:rsid w:val="0054571A"/>
    <w:rsid w:val="005464F8"/>
    <w:rsid w:val="00547340"/>
    <w:rsid w:val="00555E65"/>
    <w:rsid w:val="00556143"/>
    <w:rsid w:val="005648BA"/>
    <w:rsid w:val="005707AE"/>
    <w:rsid w:val="005748FC"/>
    <w:rsid w:val="0057548F"/>
    <w:rsid w:val="00577334"/>
    <w:rsid w:val="00583523"/>
    <w:rsid w:val="00584EEA"/>
    <w:rsid w:val="005861C3"/>
    <w:rsid w:val="005863B2"/>
    <w:rsid w:val="00590317"/>
    <w:rsid w:val="005931E8"/>
    <w:rsid w:val="0059591B"/>
    <w:rsid w:val="00595C2C"/>
    <w:rsid w:val="00595EFE"/>
    <w:rsid w:val="005A0345"/>
    <w:rsid w:val="005A16EA"/>
    <w:rsid w:val="005A39AE"/>
    <w:rsid w:val="005A4312"/>
    <w:rsid w:val="005A6F74"/>
    <w:rsid w:val="005B02F4"/>
    <w:rsid w:val="005B1F27"/>
    <w:rsid w:val="005B312B"/>
    <w:rsid w:val="005B7386"/>
    <w:rsid w:val="005B7CEF"/>
    <w:rsid w:val="005C2368"/>
    <w:rsid w:val="005C4DF5"/>
    <w:rsid w:val="005C70B2"/>
    <w:rsid w:val="005D1102"/>
    <w:rsid w:val="005D18B7"/>
    <w:rsid w:val="005D5EC2"/>
    <w:rsid w:val="005D61DD"/>
    <w:rsid w:val="005D72C1"/>
    <w:rsid w:val="005D76E5"/>
    <w:rsid w:val="005E20E0"/>
    <w:rsid w:val="005E240F"/>
    <w:rsid w:val="005E3CE0"/>
    <w:rsid w:val="005F0986"/>
    <w:rsid w:val="005F7075"/>
    <w:rsid w:val="00600C60"/>
    <w:rsid w:val="00604FF6"/>
    <w:rsid w:val="0060504E"/>
    <w:rsid w:val="00606BEA"/>
    <w:rsid w:val="00612538"/>
    <w:rsid w:val="00613171"/>
    <w:rsid w:val="006178C9"/>
    <w:rsid w:val="006212D3"/>
    <w:rsid w:val="00623FBF"/>
    <w:rsid w:val="00624C55"/>
    <w:rsid w:val="00624F85"/>
    <w:rsid w:val="00631FAF"/>
    <w:rsid w:val="006347E7"/>
    <w:rsid w:val="006373F4"/>
    <w:rsid w:val="006402E3"/>
    <w:rsid w:val="0064153D"/>
    <w:rsid w:val="0064203B"/>
    <w:rsid w:val="006432AD"/>
    <w:rsid w:val="0064724E"/>
    <w:rsid w:val="00652438"/>
    <w:rsid w:val="00653112"/>
    <w:rsid w:val="00653DC3"/>
    <w:rsid w:val="00653F2F"/>
    <w:rsid w:val="006573A6"/>
    <w:rsid w:val="00660152"/>
    <w:rsid w:val="006712F7"/>
    <w:rsid w:val="00673E8F"/>
    <w:rsid w:val="0067717B"/>
    <w:rsid w:val="0068193C"/>
    <w:rsid w:val="00691AFD"/>
    <w:rsid w:val="00691D9E"/>
    <w:rsid w:val="00693798"/>
    <w:rsid w:val="00695DAB"/>
    <w:rsid w:val="0069617A"/>
    <w:rsid w:val="0069781B"/>
    <w:rsid w:val="006A0EB1"/>
    <w:rsid w:val="006A1644"/>
    <w:rsid w:val="006A6E4D"/>
    <w:rsid w:val="006B07E3"/>
    <w:rsid w:val="006B228E"/>
    <w:rsid w:val="006B22F6"/>
    <w:rsid w:val="006C1626"/>
    <w:rsid w:val="006D21CA"/>
    <w:rsid w:val="006D33CF"/>
    <w:rsid w:val="006D4BED"/>
    <w:rsid w:val="006D555D"/>
    <w:rsid w:val="006D69CC"/>
    <w:rsid w:val="006E1779"/>
    <w:rsid w:val="006E6486"/>
    <w:rsid w:val="006F100E"/>
    <w:rsid w:val="006F13CA"/>
    <w:rsid w:val="006F1D2E"/>
    <w:rsid w:val="006F3138"/>
    <w:rsid w:val="006F33BE"/>
    <w:rsid w:val="006F59F0"/>
    <w:rsid w:val="007031EE"/>
    <w:rsid w:val="007076AA"/>
    <w:rsid w:val="007145FC"/>
    <w:rsid w:val="0072386D"/>
    <w:rsid w:val="007252D7"/>
    <w:rsid w:val="007360E6"/>
    <w:rsid w:val="0074238C"/>
    <w:rsid w:val="00743D47"/>
    <w:rsid w:val="00745D34"/>
    <w:rsid w:val="00746DC4"/>
    <w:rsid w:val="00747A40"/>
    <w:rsid w:val="007570E1"/>
    <w:rsid w:val="00760F8F"/>
    <w:rsid w:val="007651D4"/>
    <w:rsid w:val="00775608"/>
    <w:rsid w:val="00776823"/>
    <w:rsid w:val="00776FDF"/>
    <w:rsid w:val="00780CD7"/>
    <w:rsid w:val="00780D0B"/>
    <w:rsid w:val="00781365"/>
    <w:rsid w:val="00783744"/>
    <w:rsid w:val="00786811"/>
    <w:rsid w:val="0079492A"/>
    <w:rsid w:val="00797B3A"/>
    <w:rsid w:val="00797C1E"/>
    <w:rsid w:val="007A3CD7"/>
    <w:rsid w:val="007A4C72"/>
    <w:rsid w:val="007A4EC8"/>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7313"/>
    <w:rsid w:val="007E7F9D"/>
    <w:rsid w:val="007F0F64"/>
    <w:rsid w:val="007F1A0A"/>
    <w:rsid w:val="007F22F2"/>
    <w:rsid w:val="007F26EA"/>
    <w:rsid w:val="007F29F9"/>
    <w:rsid w:val="007F57A7"/>
    <w:rsid w:val="007F6AB5"/>
    <w:rsid w:val="007F7BF9"/>
    <w:rsid w:val="008025FF"/>
    <w:rsid w:val="0080331D"/>
    <w:rsid w:val="008050CD"/>
    <w:rsid w:val="0080607A"/>
    <w:rsid w:val="0080681C"/>
    <w:rsid w:val="008107E5"/>
    <w:rsid w:val="008110BC"/>
    <w:rsid w:val="00811856"/>
    <w:rsid w:val="008159CE"/>
    <w:rsid w:val="008171F6"/>
    <w:rsid w:val="0082189E"/>
    <w:rsid w:val="00821CC6"/>
    <w:rsid w:val="00824623"/>
    <w:rsid w:val="00826D6B"/>
    <w:rsid w:val="008303FB"/>
    <w:rsid w:val="00830C72"/>
    <w:rsid w:val="0083596C"/>
    <w:rsid w:val="00837B56"/>
    <w:rsid w:val="0084139B"/>
    <w:rsid w:val="00845151"/>
    <w:rsid w:val="00850319"/>
    <w:rsid w:val="0085042A"/>
    <w:rsid w:val="00850A7E"/>
    <w:rsid w:val="00852541"/>
    <w:rsid w:val="00853E15"/>
    <w:rsid w:val="00855B82"/>
    <w:rsid w:val="00862A0E"/>
    <w:rsid w:val="008642FE"/>
    <w:rsid w:val="00864EFD"/>
    <w:rsid w:val="008655CB"/>
    <w:rsid w:val="00866635"/>
    <w:rsid w:val="008746B3"/>
    <w:rsid w:val="0087552D"/>
    <w:rsid w:val="00876A2D"/>
    <w:rsid w:val="00876B27"/>
    <w:rsid w:val="00877F1E"/>
    <w:rsid w:val="00882DC8"/>
    <w:rsid w:val="0088407A"/>
    <w:rsid w:val="00886087"/>
    <w:rsid w:val="00891631"/>
    <w:rsid w:val="00894394"/>
    <w:rsid w:val="00895CCD"/>
    <w:rsid w:val="008960AE"/>
    <w:rsid w:val="008964F5"/>
    <w:rsid w:val="008A083B"/>
    <w:rsid w:val="008A1F99"/>
    <w:rsid w:val="008A6924"/>
    <w:rsid w:val="008B333A"/>
    <w:rsid w:val="008B4CF6"/>
    <w:rsid w:val="008B5569"/>
    <w:rsid w:val="008B56CC"/>
    <w:rsid w:val="008B64F4"/>
    <w:rsid w:val="008B6F08"/>
    <w:rsid w:val="008C25EB"/>
    <w:rsid w:val="008C34D6"/>
    <w:rsid w:val="008C4660"/>
    <w:rsid w:val="008C584F"/>
    <w:rsid w:val="008C6008"/>
    <w:rsid w:val="008C6128"/>
    <w:rsid w:val="008C6E1E"/>
    <w:rsid w:val="008C7773"/>
    <w:rsid w:val="008C7DAB"/>
    <w:rsid w:val="008D4667"/>
    <w:rsid w:val="008D6B51"/>
    <w:rsid w:val="008E14BE"/>
    <w:rsid w:val="008E16C9"/>
    <w:rsid w:val="008E4D45"/>
    <w:rsid w:val="008F1A69"/>
    <w:rsid w:val="008F6321"/>
    <w:rsid w:val="008F7B7E"/>
    <w:rsid w:val="009005F0"/>
    <w:rsid w:val="009008AE"/>
    <w:rsid w:val="00900D95"/>
    <w:rsid w:val="009019CC"/>
    <w:rsid w:val="0090202E"/>
    <w:rsid w:val="00904983"/>
    <w:rsid w:val="00907C23"/>
    <w:rsid w:val="00912214"/>
    <w:rsid w:val="00914450"/>
    <w:rsid w:val="00914878"/>
    <w:rsid w:val="00915E11"/>
    <w:rsid w:val="00916E0B"/>
    <w:rsid w:val="00923900"/>
    <w:rsid w:val="00932AAB"/>
    <w:rsid w:val="00940B40"/>
    <w:rsid w:val="00945829"/>
    <w:rsid w:val="0094644E"/>
    <w:rsid w:val="009506C2"/>
    <w:rsid w:val="0095093A"/>
    <w:rsid w:val="00951462"/>
    <w:rsid w:val="00953A18"/>
    <w:rsid w:val="0096141C"/>
    <w:rsid w:val="009678BA"/>
    <w:rsid w:val="00975E83"/>
    <w:rsid w:val="00977A9E"/>
    <w:rsid w:val="00981678"/>
    <w:rsid w:val="00983F55"/>
    <w:rsid w:val="0098553E"/>
    <w:rsid w:val="0098717C"/>
    <w:rsid w:val="0099232E"/>
    <w:rsid w:val="009946D4"/>
    <w:rsid w:val="009A222D"/>
    <w:rsid w:val="009A29C1"/>
    <w:rsid w:val="009A3C09"/>
    <w:rsid w:val="009B1125"/>
    <w:rsid w:val="009B213B"/>
    <w:rsid w:val="009B5A09"/>
    <w:rsid w:val="009C62A9"/>
    <w:rsid w:val="009C7877"/>
    <w:rsid w:val="009D17BE"/>
    <w:rsid w:val="009D30C3"/>
    <w:rsid w:val="009D3F05"/>
    <w:rsid w:val="009D5DE9"/>
    <w:rsid w:val="009E1F9E"/>
    <w:rsid w:val="009E3A5B"/>
    <w:rsid w:val="009F0D24"/>
    <w:rsid w:val="009F0F6F"/>
    <w:rsid w:val="009F2DA2"/>
    <w:rsid w:val="009F5EB9"/>
    <w:rsid w:val="00A04867"/>
    <w:rsid w:val="00A05BEE"/>
    <w:rsid w:val="00A06BF5"/>
    <w:rsid w:val="00A1128E"/>
    <w:rsid w:val="00A2110F"/>
    <w:rsid w:val="00A22C4B"/>
    <w:rsid w:val="00A22E17"/>
    <w:rsid w:val="00A238B8"/>
    <w:rsid w:val="00A23958"/>
    <w:rsid w:val="00A2413A"/>
    <w:rsid w:val="00A2432C"/>
    <w:rsid w:val="00A2680A"/>
    <w:rsid w:val="00A30706"/>
    <w:rsid w:val="00A31E73"/>
    <w:rsid w:val="00A335D4"/>
    <w:rsid w:val="00A33A43"/>
    <w:rsid w:val="00A343A2"/>
    <w:rsid w:val="00A35A72"/>
    <w:rsid w:val="00A35E7E"/>
    <w:rsid w:val="00A36B5D"/>
    <w:rsid w:val="00A44291"/>
    <w:rsid w:val="00A4458C"/>
    <w:rsid w:val="00A446A1"/>
    <w:rsid w:val="00A461F2"/>
    <w:rsid w:val="00A51A4A"/>
    <w:rsid w:val="00A51C13"/>
    <w:rsid w:val="00A52913"/>
    <w:rsid w:val="00A537EA"/>
    <w:rsid w:val="00A55D2E"/>
    <w:rsid w:val="00A563FE"/>
    <w:rsid w:val="00A6046F"/>
    <w:rsid w:val="00A62DFB"/>
    <w:rsid w:val="00A62E4A"/>
    <w:rsid w:val="00A63976"/>
    <w:rsid w:val="00A64090"/>
    <w:rsid w:val="00A6656A"/>
    <w:rsid w:val="00A67119"/>
    <w:rsid w:val="00A72DBC"/>
    <w:rsid w:val="00A75E84"/>
    <w:rsid w:val="00A771F3"/>
    <w:rsid w:val="00A808E0"/>
    <w:rsid w:val="00A81713"/>
    <w:rsid w:val="00A86786"/>
    <w:rsid w:val="00A87181"/>
    <w:rsid w:val="00A873E7"/>
    <w:rsid w:val="00A91D56"/>
    <w:rsid w:val="00A92743"/>
    <w:rsid w:val="00A92EF0"/>
    <w:rsid w:val="00A96268"/>
    <w:rsid w:val="00AA4477"/>
    <w:rsid w:val="00AB167F"/>
    <w:rsid w:val="00AB7DCA"/>
    <w:rsid w:val="00AC03E6"/>
    <w:rsid w:val="00AC4A1C"/>
    <w:rsid w:val="00AC6F8B"/>
    <w:rsid w:val="00AD1509"/>
    <w:rsid w:val="00AD3A3F"/>
    <w:rsid w:val="00AD3BCA"/>
    <w:rsid w:val="00AD3FF1"/>
    <w:rsid w:val="00AD75AE"/>
    <w:rsid w:val="00AE20C1"/>
    <w:rsid w:val="00AE5271"/>
    <w:rsid w:val="00AE6C4F"/>
    <w:rsid w:val="00AF1A0F"/>
    <w:rsid w:val="00B00180"/>
    <w:rsid w:val="00B027B9"/>
    <w:rsid w:val="00B02A8D"/>
    <w:rsid w:val="00B16011"/>
    <w:rsid w:val="00B20C57"/>
    <w:rsid w:val="00B210D2"/>
    <w:rsid w:val="00B27521"/>
    <w:rsid w:val="00B27B5D"/>
    <w:rsid w:val="00B27C9B"/>
    <w:rsid w:val="00B36A0A"/>
    <w:rsid w:val="00B404D6"/>
    <w:rsid w:val="00B41DC0"/>
    <w:rsid w:val="00B4248E"/>
    <w:rsid w:val="00B42C81"/>
    <w:rsid w:val="00B42DB8"/>
    <w:rsid w:val="00B46B84"/>
    <w:rsid w:val="00B503D0"/>
    <w:rsid w:val="00B5044E"/>
    <w:rsid w:val="00B53591"/>
    <w:rsid w:val="00B61AD0"/>
    <w:rsid w:val="00B64DD0"/>
    <w:rsid w:val="00B65B5D"/>
    <w:rsid w:val="00B66E42"/>
    <w:rsid w:val="00B71F14"/>
    <w:rsid w:val="00B72803"/>
    <w:rsid w:val="00B73F3A"/>
    <w:rsid w:val="00B746E5"/>
    <w:rsid w:val="00B76D75"/>
    <w:rsid w:val="00B851C4"/>
    <w:rsid w:val="00B85D28"/>
    <w:rsid w:val="00B87D41"/>
    <w:rsid w:val="00B91A93"/>
    <w:rsid w:val="00B91B17"/>
    <w:rsid w:val="00B91F53"/>
    <w:rsid w:val="00B947A7"/>
    <w:rsid w:val="00B975FC"/>
    <w:rsid w:val="00BA5DB8"/>
    <w:rsid w:val="00BA5ED8"/>
    <w:rsid w:val="00BA6A4F"/>
    <w:rsid w:val="00BA6D04"/>
    <w:rsid w:val="00BB0172"/>
    <w:rsid w:val="00BB0AE0"/>
    <w:rsid w:val="00BB1485"/>
    <w:rsid w:val="00BB4889"/>
    <w:rsid w:val="00BB55E9"/>
    <w:rsid w:val="00BB6207"/>
    <w:rsid w:val="00BB7FF3"/>
    <w:rsid w:val="00BD05E0"/>
    <w:rsid w:val="00BD3C3D"/>
    <w:rsid w:val="00BD48A7"/>
    <w:rsid w:val="00BD4D22"/>
    <w:rsid w:val="00BD4EF8"/>
    <w:rsid w:val="00BD516B"/>
    <w:rsid w:val="00BD5556"/>
    <w:rsid w:val="00BD591C"/>
    <w:rsid w:val="00BD7423"/>
    <w:rsid w:val="00BD7880"/>
    <w:rsid w:val="00BE04DB"/>
    <w:rsid w:val="00BE0E0A"/>
    <w:rsid w:val="00BE4793"/>
    <w:rsid w:val="00BF0062"/>
    <w:rsid w:val="00BF0B39"/>
    <w:rsid w:val="00BF6A33"/>
    <w:rsid w:val="00C00118"/>
    <w:rsid w:val="00C00ECB"/>
    <w:rsid w:val="00C012B6"/>
    <w:rsid w:val="00C02633"/>
    <w:rsid w:val="00C0762E"/>
    <w:rsid w:val="00C07B95"/>
    <w:rsid w:val="00C1108D"/>
    <w:rsid w:val="00C12004"/>
    <w:rsid w:val="00C13F1E"/>
    <w:rsid w:val="00C148C7"/>
    <w:rsid w:val="00C1638F"/>
    <w:rsid w:val="00C2106B"/>
    <w:rsid w:val="00C27D67"/>
    <w:rsid w:val="00C35827"/>
    <w:rsid w:val="00C36E2C"/>
    <w:rsid w:val="00C42E9E"/>
    <w:rsid w:val="00C43F81"/>
    <w:rsid w:val="00C44529"/>
    <w:rsid w:val="00C45D8F"/>
    <w:rsid w:val="00C52DA4"/>
    <w:rsid w:val="00C63D00"/>
    <w:rsid w:val="00C63FFB"/>
    <w:rsid w:val="00C646A8"/>
    <w:rsid w:val="00C70D93"/>
    <w:rsid w:val="00C71934"/>
    <w:rsid w:val="00C82D2E"/>
    <w:rsid w:val="00C83FF9"/>
    <w:rsid w:val="00C85A5F"/>
    <w:rsid w:val="00C9676A"/>
    <w:rsid w:val="00C96A40"/>
    <w:rsid w:val="00CA21FB"/>
    <w:rsid w:val="00CA626F"/>
    <w:rsid w:val="00CA6613"/>
    <w:rsid w:val="00CB0337"/>
    <w:rsid w:val="00CB0A6A"/>
    <w:rsid w:val="00CB18B8"/>
    <w:rsid w:val="00CB402E"/>
    <w:rsid w:val="00CB5474"/>
    <w:rsid w:val="00CB56A5"/>
    <w:rsid w:val="00CC64D0"/>
    <w:rsid w:val="00CC71F0"/>
    <w:rsid w:val="00CC77A5"/>
    <w:rsid w:val="00CC7C6C"/>
    <w:rsid w:val="00CD0744"/>
    <w:rsid w:val="00CD6C7A"/>
    <w:rsid w:val="00CE08E5"/>
    <w:rsid w:val="00CE220D"/>
    <w:rsid w:val="00CE239F"/>
    <w:rsid w:val="00CE2CA9"/>
    <w:rsid w:val="00CE5CD1"/>
    <w:rsid w:val="00CF1653"/>
    <w:rsid w:val="00CF39D7"/>
    <w:rsid w:val="00CF3C8E"/>
    <w:rsid w:val="00CF79B4"/>
    <w:rsid w:val="00D00DE3"/>
    <w:rsid w:val="00D042BB"/>
    <w:rsid w:val="00D069F0"/>
    <w:rsid w:val="00D11991"/>
    <w:rsid w:val="00D1307A"/>
    <w:rsid w:val="00D26668"/>
    <w:rsid w:val="00D30937"/>
    <w:rsid w:val="00D31ECB"/>
    <w:rsid w:val="00D344A4"/>
    <w:rsid w:val="00D364AB"/>
    <w:rsid w:val="00D36EE0"/>
    <w:rsid w:val="00D37670"/>
    <w:rsid w:val="00D40E44"/>
    <w:rsid w:val="00D41EA5"/>
    <w:rsid w:val="00D424A6"/>
    <w:rsid w:val="00D446EE"/>
    <w:rsid w:val="00D4578D"/>
    <w:rsid w:val="00D46ADD"/>
    <w:rsid w:val="00D47E99"/>
    <w:rsid w:val="00D56749"/>
    <w:rsid w:val="00D62A61"/>
    <w:rsid w:val="00D66E2F"/>
    <w:rsid w:val="00D704A3"/>
    <w:rsid w:val="00D70C0D"/>
    <w:rsid w:val="00D71780"/>
    <w:rsid w:val="00D73A7A"/>
    <w:rsid w:val="00D777FC"/>
    <w:rsid w:val="00D81AB7"/>
    <w:rsid w:val="00D85234"/>
    <w:rsid w:val="00D87DC8"/>
    <w:rsid w:val="00D90789"/>
    <w:rsid w:val="00D9193B"/>
    <w:rsid w:val="00D93F53"/>
    <w:rsid w:val="00D96028"/>
    <w:rsid w:val="00DA1FD0"/>
    <w:rsid w:val="00DA4A15"/>
    <w:rsid w:val="00DB0DFB"/>
    <w:rsid w:val="00DB2D59"/>
    <w:rsid w:val="00DB34F5"/>
    <w:rsid w:val="00DC053A"/>
    <w:rsid w:val="00DC2F25"/>
    <w:rsid w:val="00DC3D47"/>
    <w:rsid w:val="00DC66EC"/>
    <w:rsid w:val="00DD063E"/>
    <w:rsid w:val="00DE0D60"/>
    <w:rsid w:val="00DE1268"/>
    <w:rsid w:val="00DE4317"/>
    <w:rsid w:val="00DE6183"/>
    <w:rsid w:val="00DE66E1"/>
    <w:rsid w:val="00DE6E68"/>
    <w:rsid w:val="00DE715A"/>
    <w:rsid w:val="00DE7687"/>
    <w:rsid w:val="00DF22D0"/>
    <w:rsid w:val="00DF35FF"/>
    <w:rsid w:val="00DF3F48"/>
    <w:rsid w:val="00E06A2E"/>
    <w:rsid w:val="00E10D99"/>
    <w:rsid w:val="00E10F99"/>
    <w:rsid w:val="00E137D0"/>
    <w:rsid w:val="00E16485"/>
    <w:rsid w:val="00E16B70"/>
    <w:rsid w:val="00E172B7"/>
    <w:rsid w:val="00E17762"/>
    <w:rsid w:val="00E231C3"/>
    <w:rsid w:val="00E26E36"/>
    <w:rsid w:val="00E26EA1"/>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82CF6"/>
    <w:rsid w:val="00E92A54"/>
    <w:rsid w:val="00E943F9"/>
    <w:rsid w:val="00E97ED2"/>
    <w:rsid w:val="00EA1BE7"/>
    <w:rsid w:val="00EA635D"/>
    <w:rsid w:val="00EB0749"/>
    <w:rsid w:val="00EB1955"/>
    <w:rsid w:val="00EB7D99"/>
    <w:rsid w:val="00EC3141"/>
    <w:rsid w:val="00EC444E"/>
    <w:rsid w:val="00ED374F"/>
    <w:rsid w:val="00EE0099"/>
    <w:rsid w:val="00EE524D"/>
    <w:rsid w:val="00EE5534"/>
    <w:rsid w:val="00EE7180"/>
    <w:rsid w:val="00F03C73"/>
    <w:rsid w:val="00F05A00"/>
    <w:rsid w:val="00F05B77"/>
    <w:rsid w:val="00F06F85"/>
    <w:rsid w:val="00F1076F"/>
    <w:rsid w:val="00F12006"/>
    <w:rsid w:val="00F13611"/>
    <w:rsid w:val="00F14094"/>
    <w:rsid w:val="00F145D9"/>
    <w:rsid w:val="00F1621F"/>
    <w:rsid w:val="00F1678A"/>
    <w:rsid w:val="00F23065"/>
    <w:rsid w:val="00F23A5E"/>
    <w:rsid w:val="00F23E01"/>
    <w:rsid w:val="00F2636A"/>
    <w:rsid w:val="00F33C24"/>
    <w:rsid w:val="00F3725F"/>
    <w:rsid w:val="00F43412"/>
    <w:rsid w:val="00F44415"/>
    <w:rsid w:val="00F50156"/>
    <w:rsid w:val="00F515DD"/>
    <w:rsid w:val="00F52E70"/>
    <w:rsid w:val="00F53D47"/>
    <w:rsid w:val="00F63FD5"/>
    <w:rsid w:val="00F65DD4"/>
    <w:rsid w:val="00F67285"/>
    <w:rsid w:val="00F715D7"/>
    <w:rsid w:val="00F72FDD"/>
    <w:rsid w:val="00F739F0"/>
    <w:rsid w:val="00F81772"/>
    <w:rsid w:val="00F821E8"/>
    <w:rsid w:val="00F82B4B"/>
    <w:rsid w:val="00F85CCA"/>
    <w:rsid w:val="00F87A1A"/>
    <w:rsid w:val="00F87BBE"/>
    <w:rsid w:val="00F91866"/>
    <w:rsid w:val="00F91932"/>
    <w:rsid w:val="00F919B3"/>
    <w:rsid w:val="00F92E57"/>
    <w:rsid w:val="00FA1C1F"/>
    <w:rsid w:val="00FA2461"/>
    <w:rsid w:val="00FA4F0B"/>
    <w:rsid w:val="00FA64BD"/>
    <w:rsid w:val="00FA66DC"/>
    <w:rsid w:val="00FB1516"/>
    <w:rsid w:val="00FB3393"/>
    <w:rsid w:val="00FB33C7"/>
    <w:rsid w:val="00FB33E1"/>
    <w:rsid w:val="00FB3E85"/>
    <w:rsid w:val="00FB774A"/>
    <w:rsid w:val="00FC0202"/>
    <w:rsid w:val="00FC235B"/>
    <w:rsid w:val="00FC5F10"/>
    <w:rsid w:val="00FD0416"/>
    <w:rsid w:val="00FD5634"/>
    <w:rsid w:val="00FD5AC1"/>
    <w:rsid w:val="00FD61ED"/>
    <w:rsid w:val="00FD6932"/>
    <w:rsid w:val="00FE12D5"/>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153"/>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052FC"/>
    <w:pPr>
      <w:tabs>
        <w:tab w:val="left" w:pos="480"/>
        <w:tab w:val="right" w:leader="dot" w:pos="9016"/>
      </w:tabs>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styleId="Strong">
    <w:name w:val="Strong"/>
    <w:basedOn w:val="DefaultParagraphFont"/>
    <w:uiPriority w:val="22"/>
    <w:qFormat/>
    <w:rsid w:val="002F44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13</Pages>
  <Words>3062</Words>
  <Characters>19878</Characters>
  <Application>Microsoft Office Word</Application>
  <DocSecurity>0</DocSecurity>
  <Lines>484</Lines>
  <Paragraphs>279</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Executive Snapshot</vt:lpstr>
      <vt:lpstr>Assessment Scope &amp; Context</vt:lpstr>
      <vt:lpstr>AI Landscape Overview</vt:lpstr>
      <vt:lpstr>Governance, Oversight &amp; Accountability Maturity</vt:lpstr>
      <vt:lpstr>Risk, Policy &amp; Framework Alignment Maturity</vt:lpstr>
      <vt:lpstr>This section explores how AI-related risk, policy, and framework considerations </vt:lpstr>
      <vt:lpstr>{{org_name}} references the following AI-related frameworks and guidance when ma</vt:lpstr>
      <vt:lpstr>{{#each ai_frameworks}}</vt:lpstr>
      <vt:lpstr>{{this}} {{/each}}</vt:lpstr>
      <vt:lpstr>AI risk assessments are applied at a level described as {{ai_risk_assessment_usa</vt:lpstr>
      <vt:lpstr>The maturity reflected in this domain indicates the extent to which AI risk mana</vt:lpstr>
      <vt:lpstr>Culture, Capability &amp; Operating Model Maturity</vt:lpstr>
      <vt:lpstr>This section considers the cultural and capability foundations required to susta</vt:lpstr>
      <vt:lpstr>dOrganisational capability and culture play a significant role in sustaining AI </vt:lpstr>
      <vt:lpstr>The organisation’s self-assessed AI maturity rating is {{ai_maturity_self_rating</vt:lpstr>
      <vt:lpstr>This section reflects how cultural readiness, leadership tone, and operating mod</vt:lpstr>
      <vt:lpstr/>
      <vt:lpstr>Organisation-wide AI Maturity Results</vt:lpstr>
      <vt:lpstr>Cross-Domain Maturity Patterns &amp; Observations</vt:lpstr>
      <vt:lpstr>Sector Context &amp; Benchmarking (Indicative Only)</vt:lpstr>
      <vt:lpstr>Maturity-Aligned Recommendations &amp; Next Steps</vt:lpstr>
      <vt:lpstr>Your Pathway Through the AM AI SAFE Framework</vt:lpstr>
      <vt:lpstr>Appendix A – Detailed Responses</vt:lpstr>
      <vt:lpstr>This appendix presents the detailed question-level responses that underpin the O</vt:lpstr>
      <vt:lpstr>The information in this appendix is descriptive only. Individual responses shoul</vt:lpstr>
      <vt:lpstr>Each item in the list below represents a single assessment question and includes</vt:lpstr>
      <vt:lpstr>The assessment domain to which the question relates</vt:lpstr>
      <vt:lpstr>The selected response and associated maturity level</vt:lpstr>
      <vt:lpstr>Any supporting contextual notes captured during the assessment</vt:lpstr>
      <vt:lpstr>The question-level responses reflect the organisation’s position at the time of </vt:lpstr>
      <vt:lpstr>Where responses vary across business areas or roles, the recorded response repre</vt:lpstr>
    </vt:vector>
  </TitlesOfParts>
  <Company/>
  <LinksUpToDate>false</LinksUpToDate>
  <CharactersWithSpaces>22661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32</cp:revision>
  <cp:lastPrinted>2025-01-17T07:38:00Z</cp:lastPrinted>
  <dcterms:created xsi:type="dcterms:W3CDTF">2026-01-21T00:39:00Z</dcterms:created>
  <dcterms:modified xsi:type="dcterms:W3CDTF">2026-01-21T01:34:00Z</dcterms:modified>
</cp:coreProperties>
</file>