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30FB999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sidR="00D338FB">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D338FB">
      <w:pPr>
        <w:pStyle w:val="Heading01"/>
        <w:rPr>
          <w:lang w:val="en-AU" w:eastAsia="en-AU"/>
        </w:rPr>
      </w:pPr>
      <w:bookmarkStart w:id="0" w:name="_Toc220351587"/>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D338FB">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D338FB">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D338FB">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pPr>
        <w:spacing w:before="120" w:after="120" w:line="240" w:lineRule="auto"/>
        <w:rPr>
          <w:b/>
          <w:bCs/>
        </w:rPr>
      </w:pPr>
      <w:r>
        <w:rPr>
          <w:b/>
          <w:bCs/>
        </w:rPr>
        <w:t>Overall AI Risk Rating</w:t>
      </w:r>
    </w:p>
    <w:p w14:paraId="685120B0" w14:textId="77777777" w:rsidR="00C61D99" w:rsidRDefault="00D338FB">
      <w:pPr>
        <w:spacing w:before="120" w:after="120" w:line="240" w:lineRule="auto"/>
      </w:pPr>
      <w:r>
        <w:t>{{risk_gauge_image}}</w:t>
      </w:r>
    </w:p>
    <w:p w14:paraId="0B5FE685" w14:textId="77777777" w:rsidR="00C61D99" w:rsidRDefault="00D338FB">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D338FB">
      <w:pPr>
        <w:spacing w:before="120" w:after="120" w:line="240" w:lineRule="auto"/>
        <w:rPr>
          <w:b/>
          <w:bCs/>
        </w:rPr>
      </w:pPr>
      <w:r>
        <w:rPr>
          <w:b/>
          <w:bCs/>
        </w:rPr>
        <w:t>Inherent AI Risk by FAIRA Domain</w:t>
      </w:r>
    </w:p>
    <w:p w14:paraId="74E23707" w14:textId="77777777" w:rsidR="00C61D99" w:rsidRDefault="00D338FB">
      <w:pPr>
        <w:spacing w:before="120" w:after="120" w:line="240" w:lineRule="auto"/>
      </w:pPr>
      <w:r>
        <w:t>The radar chart below shows the risk levels for each of the domains prior to the application of controls.</w:t>
      </w:r>
    </w:p>
    <w:p w14:paraId="25660FC4" w14:textId="77777777" w:rsidR="00C61D99" w:rsidRDefault="00D338FB">
      <w:pPr>
        <w:spacing w:before="120" w:after="120" w:line="240" w:lineRule="auto"/>
      </w:pPr>
      <w:r>
        <w:t>{{inherent_risk_radar}}</w:t>
      </w:r>
    </w:p>
    <w:p w14:paraId="57778E5F" w14:textId="77777777" w:rsidR="00C61D99" w:rsidRDefault="00D338FB">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D338FB">
      <w:pPr>
        <w:spacing w:before="120" w:after="120" w:line="240" w:lineRule="auto"/>
        <w:rPr>
          <w:b/>
          <w:bCs/>
        </w:rPr>
      </w:pPr>
      <w:r>
        <w:rPr>
          <w:b/>
          <w:bCs/>
        </w:rPr>
        <w:t>Residual AI Risk by FAIRA Domain</w:t>
      </w:r>
    </w:p>
    <w:p w14:paraId="40F11F85" w14:textId="77777777" w:rsidR="00C61D99" w:rsidRDefault="00D338FB">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D338FB">
      <w:pPr>
        <w:spacing w:before="120" w:after="120" w:line="240" w:lineRule="auto"/>
      </w:pPr>
      <w:r>
        <w:t>{{domain_radar_risk}}</w:t>
      </w:r>
    </w:p>
    <w:p w14:paraId="33E9884E" w14:textId="77777777" w:rsidR="00C61D99" w:rsidRDefault="00D338FB">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D338FB">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72A725B4" w14:textId="77777777" w:rsidR="00C61D99" w:rsidRDefault="00D338FB">
      <w:pPr>
        <w:pStyle w:val="Heading02"/>
        <w:rPr>
          <w:lang w:val="en-AU" w:eastAsia="en-AU"/>
        </w:rPr>
      </w:pPr>
      <w:bookmarkStart w:id="4" w:name="_Toc220351591"/>
      <w:r>
        <w:rPr>
          <w:lang w:val="en-AU" w:eastAsia="en-AU"/>
        </w:rPr>
        <w:t>AI Solution Fundamentals</w:t>
      </w:r>
      <w:bookmarkEnd w:id="4"/>
    </w:p>
    <w:p w14:paraId="115E5385"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D338FB">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565C885E" w:rsidR="00C61D99" w:rsidRDefault="00D338FB">
      <w:pPr>
        <w:pStyle w:val="Caption"/>
        <w:rPr>
          <w:lang w:eastAsia="en-AU"/>
        </w:rPr>
      </w:pPr>
      <w:bookmarkStart w:id="5" w:name="_Toc220351592"/>
      <w:r>
        <w:t xml:space="preserve">Table </w:t>
      </w:r>
      <w:fldSimple w:instr=" SEQ Table \* ARABIC ">
        <w:r w:rsidR="00723E07">
          <w:rPr>
            <w:noProof/>
          </w:rPr>
          <w:t>1</w:t>
        </w:r>
      </w:fldSimple>
      <w:r>
        <w:t xml:space="preserve"> - System Overview summary</w:t>
      </w:r>
      <w:bookmarkEnd w:id="5"/>
    </w:p>
    <w:p w14:paraId="3B3EEAAA" w14:textId="77777777" w:rsidR="00C61D99" w:rsidRDefault="00D338FB">
      <w:pPr>
        <w:pStyle w:val="Heading02"/>
        <w:rPr>
          <w:lang w:val="en-AU" w:eastAsia="en-AU"/>
        </w:rPr>
      </w:pPr>
      <w:bookmarkStart w:id="6" w:name="_Toc220351593"/>
      <w:r>
        <w:rPr>
          <w:lang w:val="en-AU" w:eastAsia="en-AU"/>
        </w:rPr>
        <w:t>Data and Inputs</w:t>
      </w:r>
      <w:bookmarkEnd w:id="6"/>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1CE2B098" w:rsidR="00C61D99" w:rsidRDefault="00D338FB">
      <w:pPr>
        <w:pStyle w:val="Caption"/>
        <w:rPr>
          <w:lang w:eastAsia="en-AU"/>
        </w:rPr>
      </w:pPr>
      <w:bookmarkStart w:id="7" w:name="_Toc220351594"/>
      <w:r>
        <w:t xml:space="preserve">Table </w:t>
      </w:r>
      <w:fldSimple w:instr=" SEQ Table \* ARABIC ">
        <w:r w:rsidR="00723E07">
          <w:rPr>
            <w:noProof/>
          </w:rPr>
          <w:t>2</w:t>
        </w:r>
      </w:fldSimple>
      <w:r>
        <w:t xml:space="preserve"> – Data Characteristics summary</w:t>
      </w:r>
      <w:bookmarkEnd w:id="7"/>
    </w:p>
    <w:p w14:paraId="2E532602" w14:textId="77777777" w:rsidR="00C61D99" w:rsidRDefault="00D338FB">
      <w:pPr>
        <w:pStyle w:val="Heading02"/>
        <w:rPr>
          <w:lang w:val="en-AU" w:eastAsia="en-AU"/>
        </w:rPr>
      </w:pPr>
      <w:bookmarkStart w:id="8" w:name="_Toc220351595"/>
      <w:r>
        <w:rPr>
          <w:lang w:val="en-AU" w:eastAsia="en-AU"/>
        </w:rPr>
        <w:t>Human Interface and Impact</w:t>
      </w:r>
      <w:bookmarkEnd w:id="8"/>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D338FB">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C57FE50" w:rsidR="00C61D99" w:rsidRDefault="00D338FB">
      <w:pPr>
        <w:pStyle w:val="Caption"/>
      </w:pPr>
      <w:bookmarkStart w:id="9" w:name="_Toc220351596"/>
      <w:r>
        <w:t xml:space="preserve">Table </w:t>
      </w:r>
      <w:fldSimple w:instr=" SEQ Table \* ARABIC ">
        <w:r w:rsidR="00723E07">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10" w:name="_Toc220351597"/>
      <w:r>
        <w:rPr>
          <w:lang w:val="en-AU" w:eastAsia="en-AU"/>
        </w:rPr>
        <w:t>Outputs and Actions</w:t>
      </w:r>
      <w:bookmarkEnd w:id="10"/>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02DBC0D4" w14:textId="77777777" w:rsidR="00C61D99" w:rsidRDefault="00D338FB">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78058CED" w14:textId="77777777" w:rsidR="00C61D99" w:rsidRDefault="00D338FB">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D338FB">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D338FB">
      <w:pPr>
        <w:rPr>
          <w:highlight w:val="green"/>
        </w:rPr>
      </w:pPr>
      <w:r>
        <w:rPr>
          <w:highlight w:val="green"/>
        </w:rPr>
        <w:t>{%p if faira_form.A4_8_review_appeal %}</w:t>
      </w:r>
    </w:p>
    <w:p w14:paraId="48E559A7" w14:textId="77777777" w:rsidR="00C61D99" w:rsidRDefault="00D338FB">
      <w:pPr>
        <w:rPr>
          <w:highlight w:val="green"/>
        </w:rPr>
      </w:pPr>
      <w:r>
        <w:rPr>
          <w:highlight w:val="green"/>
        </w:rPr>
        <w:t>Review or appeal mechanisms for affected parties are described as {{ faira_form.A4_8_review_appeal }}.</w:t>
      </w:r>
    </w:p>
    <w:p w14:paraId="21AD2DB7" w14:textId="77777777" w:rsidR="00C61D99" w:rsidRDefault="00D338FB">
      <w:pPr>
        <w:rPr>
          <w:highlight w:val="green"/>
        </w:rPr>
      </w:pPr>
      <w:r>
        <w:rPr>
          <w:highlight w:val="green"/>
        </w:rPr>
        <w:t>{%p endif %}</w:t>
      </w:r>
    </w:p>
    <w:p w14:paraId="0BBF9B5A" w14:textId="77777777"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D44DADD" w:rsidR="00C61D99" w:rsidRDefault="00D338FB">
      <w:pPr>
        <w:pStyle w:val="Caption"/>
      </w:pPr>
      <w:bookmarkStart w:id="11" w:name="_Toc220351598"/>
      <w:r>
        <w:t xml:space="preserve">Table </w:t>
      </w:r>
      <w:fldSimple w:instr=" SEQ Table \* ARABIC ">
        <w:r w:rsidR="00723E07">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12" w:name="_Toc220351599"/>
      <w:r>
        <w:rPr>
          <w:lang w:val="en-AU" w:eastAsia="en-AU"/>
        </w:rPr>
        <w:t>Governance and Oversight</w:t>
      </w:r>
      <w:bookmarkEnd w:id="12"/>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39419A43" w:rsidR="00C61D99" w:rsidRDefault="00D338FB">
      <w:pPr>
        <w:pStyle w:val="Caption"/>
        <w:rPr>
          <w:lang w:eastAsia="en-AU"/>
        </w:rPr>
      </w:pPr>
      <w:bookmarkStart w:id="13" w:name="_Toc220351600"/>
      <w:r>
        <w:t xml:space="preserve">Table </w:t>
      </w:r>
      <w:fldSimple w:instr=" SEQ Table \* ARABIC ">
        <w:r w:rsidR="00723E07">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D338FB">
      <w:pPr>
        <w:rPr>
          <w:lang w:val="en-AU" w:eastAsia="en-AU"/>
        </w:rPr>
      </w:pPr>
      <w:r>
        <w:rPr>
          <w:lang w:val="en-AU" w:eastAsia="en-AU"/>
        </w:rPr>
        <w:t xml:space="preserve">{{ai.f_domain_analysis}} </w:t>
      </w:r>
    </w:p>
    <w:p w14:paraId="72F010E5" w14:textId="77777777" w:rsidR="00C61D99" w:rsidRDefault="00D338FB">
      <w:pPr>
        <w:pStyle w:val="Heading02"/>
        <w:rPr>
          <w:lang w:val="en-AU" w:eastAsia="en-AU"/>
        </w:rPr>
      </w:pPr>
      <w:bookmarkStart w:id="15" w:name="_Toc220351602"/>
      <w:r>
        <w:rPr>
          <w:lang w:val="en-AU" w:eastAsia="en-AU"/>
        </w:rPr>
        <w:t>Accountability</w:t>
      </w:r>
      <w:bookmarkEnd w:id="15"/>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5D52B5A"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21547EF1" w:rsidR="00C61D99" w:rsidRDefault="00D338FB">
      <w:pPr>
        <w:pStyle w:val="Caption"/>
        <w:rPr>
          <w:lang w:val="en-AU" w:eastAsia="en-AU"/>
        </w:rPr>
      </w:pPr>
      <w:bookmarkStart w:id="16" w:name="_Toc220351603"/>
      <w:r>
        <w:t xml:space="preserve">Table </w:t>
      </w:r>
      <w:fldSimple w:instr=" SEQ Table \* ARABIC ">
        <w:r w:rsidR="00723E07">
          <w:rPr>
            <w:noProof/>
          </w:rPr>
          <w:t>6</w:t>
        </w:r>
      </w:fldSimple>
      <w:r>
        <w:t xml:space="preserve"> - Accountability FAIRA domain risk profile</w:t>
      </w:r>
      <w:bookmarkEnd w:id="16"/>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7" w:name="_Toc220351604"/>
      <w:r>
        <w:rPr>
          <w:lang w:val="en-AU" w:eastAsia="en-AU"/>
        </w:rPr>
        <w:t>Contestability</w:t>
      </w:r>
      <w:bookmarkEnd w:id="17"/>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87CE4A7"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7EF7090" w:rsidR="00C61D99" w:rsidRDefault="00D338FB">
      <w:pPr>
        <w:pStyle w:val="Caption"/>
      </w:pPr>
      <w:bookmarkStart w:id="18" w:name="_Toc220351605"/>
      <w:r>
        <w:t xml:space="preserve">Table </w:t>
      </w:r>
      <w:fldSimple w:instr=" SEQ Table \* ARABIC ">
        <w:r w:rsidR="00723E07">
          <w:rPr>
            <w:noProof/>
          </w:rPr>
          <w:t>7</w:t>
        </w:r>
      </w:fldSimple>
      <w:r>
        <w:t xml:space="preserve"> - Contestability FAIRA domain risk profile</w:t>
      </w:r>
      <w:bookmarkEnd w:id="18"/>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3A85F6EA" w:rsidR="00C61D99" w:rsidRDefault="00D338FB">
      <w:pPr>
        <w:pStyle w:val="Caption"/>
        <w:rPr>
          <w:b/>
          <w:bCs/>
          <w:lang w:val="en-AU" w:eastAsia="en-AU"/>
        </w:rPr>
      </w:pPr>
      <w:r>
        <w:t xml:space="preserve">Table </w:t>
      </w:r>
      <w:fldSimple w:instr=" SEQ Table \* ARABIC ">
        <w:r w:rsidR="00723E07">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9" w:name="_Toc220351606"/>
      <w:r>
        <w:rPr>
          <w:lang w:val="en-AU" w:eastAsia="en-AU"/>
        </w:rPr>
        <w:t>Fairness</w:t>
      </w:r>
      <w:bookmarkEnd w:id="19"/>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DD52D4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41988431" w:rsidR="00C61D99" w:rsidRDefault="00D338FB">
      <w:pPr>
        <w:pStyle w:val="Caption"/>
      </w:pPr>
      <w:bookmarkStart w:id="20" w:name="_Toc220351607"/>
      <w:r>
        <w:t xml:space="preserve">Table </w:t>
      </w:r>
      <w:fldSimple w:instr=" SEQ Table \* ARABIC ">
        <w:r w:rsidR="00723E07">
          <w:rPr>
            <w:noProof/>
          </w:rPr>
          <w:t>9</w:t>
        </w:r>
      </w:fldSimple>
      <w:r>
        <w:t xml:space="preserve"> - Fairness FAIRA domain risk profile</w:t>
      </w:r>
      <w:bookmarkEnd w:id="20"/>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B6AD43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06781E3" w:rsidR="00C61D99" w:rsidRDefault="00D338FB">
      <w:pPr>
        <w:pStyle w:val="Caption"/>
        <w:rPr>
          <w:lang w:eastAsia="en-AU"/>
        </w:rPr>
      </w:pPr>
      <w:bookmarkStart w:id="22" w:name="_Toc220351609"/>
      <w:r>
        <w:t xml:space="preserve">Table </w:t>
      </w:r>
      <w:fldSimple w:instr=" SEQ Table \* ARABIC ">
        <w:r w:rsidR="00723E07">
          <w:rPr>
            <w:noProof/>
          </w:rPr>
          <w:t>10</w:t>
        </w:r>
      </w:fldSimple>
      <w:r>
        <w:t xml:space="preserve"> - Human, Societal and Environmental Wellbeing FAIRA domain risk profile</w:t>
      </w:r>
      <w:bookmarkEnd w:id="22"/>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23" w:name="_Toc220351610"/>
      <w:r>
        <w:rPr>
          <w:lang w:val="en-AU" w:eastAsia="en-AU"/>
        </w:rPr>
        <w:t>Human-Centred Values</w:t>
      </w:r>
      <w:bookmarkEnd w:id="23"/>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C394AF"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670DDF70" w:rsidR="00C61D99" w:rsidRDefault="00D338FB">
      <w:pPr>
        <w:pStyle w:val="Caption"/>
        <w:rPr>
          <w:lang w:val="en-AU" w:eastAsia="en-AU"/>
        </w:rPr>
      </w:pPr>
      <w:bookmarkStart w:id="24" w:name="_Toc220351611"/>
      <w:r>
        <w:t xml:space="preserve">Table </w:t>
      </w:r>
      <w:fldSimple w:instr=" SEQ Table \* ARABIC ">
        <w:r w:rsidR="00723E07">
          <w:rPr>
            <w:noProof/>
          </w:rPr>
          <w:t>11</w:t>
        </w:r>
      </w:fldSimple>
      <w:r>
        <w:t xml:space="preserve"> - Human-Centred Values FAIRA domain risk profile</w:t>
      </w:r>
      <w:bookmarkEnd w:id="24"/>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F947981"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26" w:name="_Toc220351613"/>
      <w:r>
        <w:rPr>
          <w:lang w:val="en-AU" w:eastAsia="en-AU"/>
        </w:rPr>
        <w:t>Reliability and Safety</w:t>
      </w:r>
      <w:bookmarkEnd w:id="2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FAA4240"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D338FB">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A91BED"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7713B6A5" w:rsidR="00C61D99" w:rsidRDefault="00D338FB">
      <w:pPr>
        <w:pStyle w:val="Caption"/>
        <w:rPr>
          <w:lang w:val="en-AU" w:eastAsia="en-AU"/>
        </w:rPr>
      </w:pPr>
      <w:bookmarkStart w:id="28" w:name="_Toc220351615"/>
      <w:r>
        <w:t xml:space="preserve">Table </w:t>
      </w:r>
      <w:fldSimple w:instr=" SEQ Table \* ARABIC ">
        <w:r w:rsidR="00723E07">
          <w:rPr>
            <w:noProof/>
          </w:rPr>
          <w:t>12</w:t>
        </w:r>
      </w:fldSimple>
      <w:r>
        <w:t xml:space="preserve"> - Transparency and Explainability FAIRA risk domain profile</w:t>
      </w:r>
      <w:bookmarkEnd w:id="28"/>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D685328" w:rsidR="00C61D99" w:rsidRDefault="00D338FB">
      <w:pPr>
        <w:pStyle w:val="Caption"/>
        <w:rPr>
          <w:b/>
          <w:bCs/>
          <w:lang w:val="en-AU" w:eastAsia="en-AU"/>
        </w:rPr>
      </w:pPr>
      <w:r>
        <w:t xml:space="preserve">Table </w:t>
      </w:r>
      <w:fldSimple w:instr=" SEQ Table \* ARABIC ">
        <w:r w:rsidR="00723E07">
          <w:rPr>
            <w:noProof/>
          </w:rPr>
          <w:t>13</w:t>
        </w:r>
      </w:fldSimple>
      <w:r>
        <w:t xml:space="preserve"> - Disclosure of AI Use summary</w:t>
      </w:r>
    </w:p>
    <w:p w14:paraId="4A4B5A90" w14:textId="77777777" w:rsidR="00C61D99" w:rsidRDefault="00D338FB">
      <w:pPr>
        <w:rPr>
          <w:b/>
          <w:bCs/>
          <w:lang w:val="en-AU" w:eastAsia="en-AU"/>
        </w:rPr>
      </w:pPr>
      <w:r>
        <w:rPr>
          <w:b/>
          <w:bCs/>
          <w:lang w:val="en-AU" w:eastAsia="en-AU"/>
        </w:rPr>
        <w:t>Explainability of Outcomes</w:t>
      </w:r>
    </w:p>
    <w:p w14:paraId="47DE2638" w14:textId="77777777" w:rsidR="00C61D99" w:rsidRDefault="00D338FB">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6E4294D2" w:rsidR="00C61D99" w:rsidRDefault="00D338FB">
      <w:pPr>
        <w:pStyle w:val="Caption"/>
        <w:rPr>
          <w:b/>
          <w:bCs/>
          <w:lang w:val="en-AU" w:eastAsia="en-AU"/>
        </w:rPr>
      </w:pPr>
      <w:r>
        <w:t xml:space="preserve">Table </w:t>
      </w:r>
      <w:fldSimple w:instr=" SEQ Table \* ARABIC ">
        <w:r w:rsidR="00723E07">
          <w:rPr>
            <w:noProof/>
          </w:rPr>
          <w:t>14</w:t>
        </w:r>
      </w:fldSimple>
      <w:r>
        <w:t xml:space="preserve"> - Explainability of 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29" w:name="_Toc220351616"/>
      <w:r>
        <w:rPr>
          <w:lang w:val="en-AU" w:eastAsia="en-AU"/>
        </w:rPr>
        <w:t>Top Risk Areas</w:t>
      </w:r>
      <w:bookmarkEnd w:id="29"/>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D338FB">
      <w:pPr>
        <w:rPr>
          <w:lang w:val="en-AU" w:eastAsia="en-AU"/>
        </w:rPr>
      </w:pPr>
      <w:r>
        <w:rPr>
          <w:lang w:val="en-AU" w:eastAsia="en-AU"/>
        </w:rPr>
        <w:t xml:space="preserve">{{ai.f_top_risk_areas_analysis}} </w:t>
      </w:r>
    </w:p>
    <w:p w14:paraId="6076F153" w14:textId="77777777" w:rsidR="00C61D99" w:rsidRDefault="00D338FB">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77777777" w:rsidR="00C61D99" w:rsidRDefault="00D338FB">
      <w:pPr>
        <w:rPr>
          <w:lang w:val="en-AU" w:eastAsia="en-AU"/>
        </w:rPr>
      </w:pPr>
      <w:r>
        <w:rPr>
          <w:lang w:val="en-AU" w:eastAsia="en-AU"/>
        </w:rPr>
        <w:t xml:space="preserve">{{ai.f_controls_overview}} </w:t>
      </w:r>
    </w:p>
    <w:p w14:paraId="03BCEA64" w14:textId="77777777" w:rsidR="00C61D99" w:rsidRDefault="00D338FB">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D338FB">
      <w:pPr>
        <w:rPr>
          <w:b/>
          <w:bCs/>
          <w:lang w:eastAsia="en-AU"/>
        </w:rPr>
      </w:pPr>
      <w:r>
        <w:rPr>
          <w:b/>
          <w:bCs/>
          <w:lang w:eastAsia="en-AU"/>
        </w:rPr>
        <w:t>Domain Control Rationale</w:t>
      </w:r>
    </w:p>
    <w:p w14:paraId="4E5AE53D" w14:textId="77777777" w:rsidR="00C61D99" w:rsidRDefault="00D338FB">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D338FB">
      <w:pPr>
        <w:rPr>
          <w:b/>
          <w:bCs/>
          <w:lang w:eastAsia="en-AU"/>
        </w:rPr>
      </w:pPr>
      <w:r>
        <w:rPr>
          <w:b/>
          <w:bCs/>
          <w:lang w:eastAsia="en-AU"/>
        </w:rPr>
        <w:t>Domain Control Rationale</w:t>
      </w:r>
    </w:p>
    <w:p w14:paraId="04B28A71" w14:textId="77777777" w:rsidR="00C61D99" w:rsidRDefault="00D338FB">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D338FB">
      <w:pPr>
        <w:rPr>
          <w:b/>
          <w:bCs/>
          <w:lang w:eastAsia="en-AU"/>
        </w:rPr>
      </w:pPr>
      <w:r>
        <w:rPr>
          <w:b/>
          <w:bCs/>
          <w:lang w:eastAsia="en-AU"/>
        </w:rPr>
        <w:t>Domain Control Rationale</w:t>
      </w:r>
    </w:p>
    <w:p w14:paraId="2AA2689E" w14:textId="77777777" w:rsidR="00C61D99" w:rsidRDefault="00D338FB">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D338FB">
      <w:pPr>
        <w:rPr>
          <w:b/>
          <w:bCs/>
          <w:lang w:eastAsia="en-AU"/>
        </w:rPr>
      </w:pPr>
      <w:r>
        <w:rPr>
          <w:b/>
          <w:bCs/>
          <w:lang w:eastAsia="en-AU"/>
        </w:rPr>
        <w:t>Domain Control Rationale</w:t>
      </w:r>
    </w:p>
    <w:p w14:paraId="64B902D1" w14:textId="77777777" w:rsidR="00C61D99" w:rsidRDefault="00D338FB">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D338FB">
      <w:pPr>
        <w:rPr>
          <w:b/>
          <w:bCs/>
          <w:lang w:eastAsia="en-AU"/>
        </w:rPr>
      </w:pPr>
      <w:r>
        <w:rPr>
          <w:b/>
          <w:bCs/>
          <w:lang w:eastAsia="en-AU"/>
        </w:rPr>
        <w:t>Domain Control Rationale</w:t>
      </w:r>
    </w:p>
    <w:p w14:paraId="2A6DA7FA" w14:textId="77777777" w:rsidR="00C61D99" w:rsidRDefault="00D338FB">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D338FB">
      <w:pPr>
        <w:rPr>
          <w:b/>
          <w:bCs/>
          <w:lang w:eastAsia="en-AU"/>
        </w:rPr>
      </w:pPr>
      <w:r>
        <w:rPr>
          <w:b/>
          <w:bCs/>
          <w:lang w:eastAsia="en-AU"/>
        </w:rPr>
        <w:t>Domain Control Rationale</w:t>
      </w:r>
    </w:p>
    <w:p w14:paraId="554E4AF0" w14:textId="77777777" w:rsidR="00C61D99" w:rsidRDefault="00D338FB">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D338FB">
      <w:pPr>
        <w:rPr>
          <w:b/>
          <w:bCs/>
          <w:lang w:eastAsia="en-AU"/>
        </w:rPr>
      </w:pPr>
      <w:r>
        <w:rPr>
          <w:b/>
          <w:bCs/>
          <w:lang w:eastAsia="en-AU"/>
        </w:rPr>
        <w:t>Domain Control Rationale</w:t>
      </w:r>
    </w:p>
    <w:p w14:paraId="439F7D73" w14:textId="77777777" w:rsidR="00C61D99" w:rsidRDefault="00D338FB">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77777777" w:rsidR="00C61D99" w:rsidRDefault="00D338FB">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p w14:paraId="72F8875F" w14:textId="6C8B4C7E" w:rsidR="00C61D99" w:rsidRDefault="00D338FB">
      <w:pPr>
        <w:rPr>
          <w:lang w:val="en-AU" w:eastAsia="en-AU"/>
        </w:rPr>
      </w:pPr>
      <w:r>
        <w:rPr>
          <w:highlight w:val="yellow"/>
          <w:lang w:val="en-AU" w:eastAsia="en-AU"/>
        </w:rPr>
        <w:t>{{ai.f_gap_and_next_steps_summary}}</w:t>
      </w:r>
    </w:p>
    <w:p w14:paraId="436E40BF" w14:textId="77777777" w:rsidR="00C61D99" w:rsidRDefault="00D338FB">
      <w:pPr>
        <w:rPr>
          <w:lang w:eastAsia="en-AU"/>
        </w:rPr>
      </w:pPr>
      <w:r>
        <w:rPr>
          <w:lang w:eastAsia="en-AU"/>
        </w:rPr>
        <w:t>Addressing identified gaps through proportionate and targeted controls can help reduce residual AI risk over time while supporting responsible and trusted use of AI systems.</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671073" w14:paraId="1482C57D" w14:textId="77777777" w:rsidTr="00372068">
        <w:tc>
          <w:tcPr>
            <w:tcW w:w="1255" w:type="dxa"/>
          </w:tcPr>
          <w:p w14:paraId="48252623" w14:textId="29D56581" w:rsidR="00671073" w:rsidRDefault="00671073">
            <w:pPr>
              <w:rPr>
                <w:lang w:val="en-AU" w:eastAsia="en-AU"/>
              </w:rPr>
            </w:pPr>
            <w:r w:rsidRPr="00701642">
              <w:rPr>
                <w:sz w:val="16"/>
                <w:szCs w:val="16"/>
                <w:lang w:val="en-AU" w:eastAsia="en-AU"/>
              </w:rPr>
              <w:t>{%tr for gap in gaps %}</w:t>
            </w:r>
          </w:p>
        </w:tc>
        <w:tc>
          <w:tcPr>
            <w:tcW w:w="1980" w:type="dxa"/>
          </w:tcPr>
          <w:p w14:paraId="5434EDBF" w14:textId="77777777" w:rsidR="00671073" w:rsidRDefault="00671073">
            <w:pPr>
              <w:rPr>
                <w:lang w:val="en-AU" w:eastAsia="en-AU"/>
              </w:rPr>
            </w:pPr>
          </w:p>
        </w:tc>
        <w:tc>
          <w:tcPr>
            <w:tcW w:w="1800" w:type="dxa"/>
          </w:tcPr>
          <w:p w14:paraId="0D919AD9" w14:textId="77777777" w:rsidR="00671073" w:rsidRDefault="00671073">
            <w:pPr>
              <w:rPr>
                <w:lang w:val="en-AU" w:eastAsia="en-AU"/>
              </w:rPr>
            </w:pPr>
          </w:p>
        </w:tc>
        <w:tc>
          <w:tcPr>
            <w:tcW w:w="1260" w:type="dxa"/>
          </w:tcPr>
          <w:p w14:paraId="25EE1DDF" w14:textId="77777777" w:rsidR="00671073" w:rsidRDefault="00671073">
            <w:pPr>
              <w:rPr>
                <w:lang w:val="en-AU" w:eastAsia="en-AU"/>
              </w:rPr>
            </w:pPr>
          </w:p>
        </w:tc>
        <w:tc>
          <w:tcPr>
            <w:tcW w:w="1440" w:type="dxa"/>
          </w:tcPr>
          <w:p w14:paraId="3AFCBFD7" w14:textId="77777777" w:rsidR="00671073" w:rsidRDefault="00671073">
            <w:pPr>
              <w:rPr>
                <w:lang w:val="en-AU" w:eastAsia="en-AU"/>
              </w:rPr>
            </w:pPr>
          </w:p>
        </w:tc>
        <w:tc>
          <w:tcPr>
            <w:tcW w:w="1281" w:type="dxa"/>
          </w:tcPr>
          <w:p w14:paraId="0D586E0E" w14:textId="77777777" w:rsidR="00671073" w:rsidRDefault="00671073">
            <w:pPr>
              <w:rPr>
                <w:lang w:val="en-AU" w:eastAsia="en-AU"/>
              </w:rPr>
            </w:pPr>
          </w:p>
        </w:tc>
      </w:tr>
      <w:tr w:rsidR="00671073" w14:paraId="2D8A6385" w14:textId="77777777" w:rsidTr="00372068">
        <w:tc>
          <w:tcPr>
            <w:tcW w:w="1255" w:type="dxa"/>
          </w:tcPr>
          <w:p w14:paraId="77DEFAF0" w14:textId="21553473" w:rsidR="00671073" w:rsidRDefault="00671073" w:rsidP="00671073">
            <w:pPr>
              <w:rPr>
                <w:lang w:val="en-AU" w:eastAsia="en-AU"/>
              </w:rPr>
            </w:pPr>
            <w:r w:rsidRPr="00701642">
              <w:rPr>
                <w:sz w:val="16"/>
                <w:szCs w:val="16"/>
              </w:rPr>
              <w:t>{{gap.domain}}</w:t>
            </w:r>
          </w:p>
        </w:tc>
        <w:tc>
          <w:tcPr>
            <w:tcW w:w="1980" w:type="dxa"/>
          </w:tcPr>
          <w:p w14:paraId="404DC1AC" w14:textId="5CC9E635" w:rsidR="00671073" w:rsidRDefault="00671073" w:rsidP="00671073">
            <w:pPr>
              <w:rPr>
                <w:lang w:val="en-AU" w:eastAsia="en-AU"/>
              </w:rPr>
            </w:pPr>
            <w:r w:rsidRPr="00701642">
              <w:rPr>
                <w:sz w:val="16"/>
                <w:szCs w:val="16"/>
              </w:rPr>
              <w:t>{{gap.existing_controls}}</w:t>
            </w:r>
          </w:p>
        </w:tc>
        <w:tc>
          <w:tcPr>
            <w:tcW w:w="1800" w:type="dxa"/>
          </w:tcPr>
          <w:p w14:paraId="020BC053" w14:textId="48917591" w:rsidR="00671073" w:rsidRDefault="00671073" w:rsidP="00671073">
            <w:pPr>
              <w:rPr>
                <w:lang w:val="en-AU" w:eastAsia="en-AU"/>
              </w:rPr>
            </w:pPr>
            <w:r w:rsidRPr="00701642">
              <w:rPr>
                <w:sz w:val="16"/>
                <w:szCs w:val="16"/>
              </w:rPr>
              <w:t>{{gap.gaps}}</w:t>
            </w:r>
          </w:p>
        </w:tc>
        <w:tc>
          <w:tcPr>
            <w:tcW w:w="1260" w:type="dxa"/>
          </w:tcPr>
          <w:p w14:paraId="17DDE5A7" w14:textId="0F580E40" w:rsidR="00671073" w:rsidRDefault="00671073" w:rsidP="00671073">
            <w:pPr>
              <w:rPr>
                <w:lang w:val="en-AU" w:eastAsia="en-AU"/>
              </w:rPr>
            </w:pPr>
            <w:r w:rsidRPr="00701642">
              <w:rPr>
                <w:sz w:val="16"/>
                <w:szCs w:val="16"/>
              </w:rPr>
              <w:t>{{gap.priority}}</w:t>
            </w:r>
          </w:p>
        </w:tc>
        <w:tc>
          <w:tcPr>
            <w:tcW w:w="1440" w:type="dxa"/>
          </w:tcPr>
          <w:p w14:paraId="36C005AC" w14:textId="4027672B" w:rsidR="00671073" w:rsidRDefault="00671073" w:rsidP="00671073">
            <w:pPr>
              <w:rPr>
                <w:lang w:val="en-AU" w:eastAsia="en-AU"/>
              </w:rPr>
            </w:pPr>
            <w:r w:rsidRPr="00701642">
              <w:rPr>
                <w:sz w:val="16"/>
                <w:szCs w:val="16"/>
              </w:rPr>
              <w:t>{{gap.risk_score}}</w:t>
            </w:r>
          </w:p>
        </w:tc>
        <w:tc>
          <w:tcPr>
            <w:tcW w:w="1281" w:type="dxa"/>
          </w:tcPr>
          <w:p w14:paraId="7FA66555" w14:textId="160F7EC2" w:rsidR="00671073" w:rsidRDefault="00671073" w:rsidP="00671073">
            <w:pPr>
              <w:rPr>
                <w:lang w:val="en-AU" w:eastAsia="en-AU"/>
              </w:rPr>
            </w:pPr>
            <w:r w:rsidRPr="00701642">
              <w:rPr>
                <w:sz w:val="16"/>
                <w:szCs w:val="16"/>
              </w:rPr>
              <w:t>{{gap.control_effectiveness}}</w:t>
            </w:r>
          </w:p>
        </w:tc>
      </w:tr>
      <w:tr w:rsidR="00671073" w14:paraId="544AF247" w14:textId="77777777" w:rsidTr="00372068">
        <w:tc>
          <w:tcPr>
            <w:tcW w:w="1255" w:type="dxa"/>
          </w:tcPr>
          <w:p w14:paraId="31189FB0" w14:textId="2842D7AB" w:rsidR="00671073" w:rsidRDefault="008A2D12" w:rsidP="00671073">
            <w:pPr>
              <w:rPr>
                <w:lang w:val="en-AU" w:eastAsia="en-AU"/>
              </w:rPr>
            </w:pPr>
            <w:r w:rsidRPr="008A2D12">
              <w:rPr>
                <w:sz w:val="16"/>
                <w:szCs w:val="16"/>
                <w:lang w:eastAsia="en-AU"/>
              </w:rPr>
              <w:t>{%tr endfor %}</w:t>
            </w:r>
          </w:p>
        </w:tc>
        <w:tc>
          <w:tcPr>
            <w:tcW w:w="1980" w:type="dxa"/>
          </w:tcPr>
          <w:p w14:paraId="18B2E986" w14:textId="77777777" w:rsidR="00671073" w:rsidRDefault="00671073" w:rsidP="00671073">
            <w:pPr>
              <w:rPr>
                <w:lang w:val="en-AU" w:eastAsia="en-AU"/>
              </w:rPr>
            </w:pPr>
          </w:p>
        </w:tc>
        <w:tc>
          <w:tcPr>
            <w:tcW w:w="1800" w:type="dxa"/>
          </w:tcPr>
          <w:p w14:paraId="22B57134" w14:textId="77777777" w:rsidR="00671073" w:rsidRDefault="00671073" w:rsidP="00671073">
            <w:pPr>
              <w:rPr>
                <w:lang w:val="en-AU" w:eastAsia="en-AU"/>
              </w:rPr>
            </w:pPr>
          </w:p>
        </w:tc>
        <w:tc>
          <w:tcPr>
            <w:tcW w:w="1260" w:type="dxa"/>
          </w:tcPr>
          <w:p w14:paraId="25C4A239" w14:textId="77777777" w:rsidR="00671073" w:rsidRDefault="00671073" w:rsidP="00671073">
            <w:pPr>
              <w:rPr>
                <w:lang w:val="en-AU" w:eastAsia="en-AU"/>
              </w:rPr>
            </w:pPr>
          </w:p>
        </w:tc>
        <w:tc>
          <w:tcPr>
            <w:tcW w:w="1440" w:type="dxa"/>
          </w:tcPr>
          <w:p w14:paraId="03901F61" w14:textId="77777777" w:rsidR="00671073" w:rsidRDefault="00671073" w:rsidP="00671073">
            <w:pPr>
              <w:rPr>
                <w:lang w:val="en-AU" w:eastAsia="en-AU"/>
              </w:rPr>
            </w:pPr>
          </w:p>
        </w:tc>
        <w:tc>
          <w:tcPr>
            <w:tcW w:w="1281" w:type="dxa"/>
          </w:tcPr>
          <w:p w14:paraId="4B108855" w14:textId="77777777" w:rsidR="00671073" w:rsidRDefault="00671073" w:rsidP="00671073">
            <w:pPr>
              <w:rPr>
                <w:lang w:val="en-AU" w:eastAsia="en-AU"/>
              </w:rPr>
            </w:pPr>
          </w:p>
        </w:tc>
      </w:tr>
    </w:tbl>
    <w:p w14:paraId="6A048817" w14:textId="77777777" w:rsidR="00671073" w:rsidRDefault="00671073">
      <w:pPr>
        <w:rPr>
          <w:lang w:val="en-AU" w:eastAsia="en-AU"/>
        </w:rPr>
      </w:pPr>
    </w:p>
    <w:p w14:paraId="77B6B554" w14:textId="77777777" w:rsidR="00C61D99" w:rsidRDefault="00D338FB">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D338FB">
      <w:pPr>
        <w:rPr>
          <w:lang w:val="en-AU" w:eastAsia="en-AU"/>
        </w:rPr>
      </w:pPr>
      <w:r>
        <w:rPr>
          <w:highlight w:val="yellow"/>
          <w:lang w:val="en-AU" w:eastAsia="en-AU"/>
        </w:rPr>
        <w:t>{{ai.f_governance_assurance_posture}}</w:t>
      </w:r>
    </w:p>
    <w:p w14:paraId="1928F1A5" w14:textId="77777777" w:rsidR="00C61D99" w:rsidRDefault="00D338FB">
      <w:pPr>
        <w:pStyle w:val="Heading01"/>
        <w:rPr>
          <w:lang w:val="en-AU" w:eastAsia="en-AU"/>
        </w:rPr>
      </w:pPr>
      <w:bookmarkStart w:id="35" w:name="_Toc220351622"/>
      <w:r>
        <w:rPr>
          <w:lang w:val="en-AU" w:eastAsia="en-AU"/>
        </w:rPr>
        <w:t>Decision and Next Steps</w:t>
      </w:r>
      <w:bookmarkEnd w:id="35"/>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77777777" w:rsidR="00C61D99" w:rsidRDefault="00D338FB">
      <w:pPr>
        <w:rPr>
          <w:lang w:val="en-AU" w:eastAsia="en-AU"/>
        </w:rPr>
      </w:pPr>
      <w:r>
        <w:rPr>
          <w:highlight w:val="yellow"/>
          <w:lang w:val="en-AU" w:eastAsia="en-AU"/>
        </w:rPr>
        <w:t>{{ai.f_decision_next_steps_summary}}</w:t>
      </w:r>
    </w:p>
    <w:p w14:paraId="38C9071F" w14:textId="77777777" w:rsidR="00C61D99" w:rsidRDefault="00D338FB">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C5F6" w14:textId="77777777" w:rsidR="00127740" w:rsidRDefault="00127740">
      <w:pPr>
        <w:spacing w:after="0" w:line="240" w:lineRule="auto"/>
      </w:pPr>
      <w:r>
        <w:separator/>
      </w:r>
    </w:p>
  </w:endnote>
  <w:endnote w:type="continuationSeparator" w:id="0">
    <w:p w14:paraId="28B6F788" w14:textId="77777777" w:rsidR="00127740" w:rsidRDefault="00127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6F7BF3A"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12774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C4DC7" w14:textId="77777777" w:rsidR="00127740" w:rsidRDefault="00127740">
      <w:pPr>
        <w:spacing w:after="0" w:line="240" w:lineRule="auto"/>
      </w:pPr>
      <w:r>
        <w:separator/>
      </w:r>
    </w:p>
  </w:footnote>
  <w:footnote w:type="continuationSeparator" w:id="0">
    <w:p w14:paraId="52A4D7CE" w14:textId="77777777" w:rsidR="00127740" w:rsidRDefault="00127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5A93EDC"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127740"/>
    <w:rsid w:val="00243A3B"/>
    <w:rsid w:val="00372068"/>
    <w:rsid w:val="003D37B7"/>
    <w:rsid w:val="00494269"/>
    <w:rsid w:val="005605E5"/>
    <w:rsid w:val="0060626F"/>
    <w:rsid w:val="00612C75"/>
    <w:rsid w:val="00671073"/>
    <w:rsid w:val="006A3893"/>
    <w:rsid w:val="006B42B2"/>
    <w:rsid w:val="00701642"/>
    <w:rsid w:val="00723E07"/>
    <w:rsid w:val="00817CA1"/>
    <w:rsid w:val="008A2D12"/>
    <w:rsid w:val="00A40A42"/>
    <w:rsid w:val="00A96885"/>
    <w:rsid w:val="00AC054F"/>
    <w:rsid w:val="00C61D99"/>
    <w:rsid w:val="00D10430"/>
    <w:rsid w:val="00D338FB"/>
    <w:rsid w:val="00D73CBF"/>
    <w:rsid w:val="00F54061"/>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12434</Words>
  <Characters>85052</Characters>
  <Application>Microsoft Office Word</Application>
  <DocSecurity>0</DocSecurity>
  <Lines>2238</Lines>
  <Paragraphs>1174</Paragraphs>
  <ScaleCrop>false</ScaleCrop>
  <Company/>
  <LinksUpToDate>false</LinksUpToDate>
  <CharactersWithSpaces>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2026-02-02T00:24:00Z</dcterms:created>
  <dcterms:modified xsi:type="dcterms:W3CDTF">2026-02-02T00:26:00Z</dcterms:modified>
  <dc:language>en-US</dc:language>
</cp:coreProperties>
</file>