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header2.xml" ContentType="application/vnd.openxmlformats-officedocument.wordprocessingml.header+xml"/>
  <Override PartName="/word/numbering.xml" ContentType="application/vnd.openxmlformats-officedocument.wordprocessingml.numbering+xml"/>
  <Override PartName="/word/header1.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cs="Arial"/>
          <w:b/>
          <w:bCs/>
          <w:sz w:val="72"/>
          <w:szCs w:val="72"/>
        </w:rPr>
      </w:pPr>
      <w:r>
        <w:rPr>
          <w:rFonts w:cs="Arial"/>
          <w:b/>
          <w:bCs/>
          <w:sz w:val="72"/>
          <w:szCs w:val="72"/>
        </w:rPr>
        <w:drawing>
          <wp:anchor behindDoc="0" distT="0" distB="0" distL="0" distR="0" simplePos="0" locked="0" layoutInCell="1" allowOverlap="1" relativeHeight="486">
            <wp:simplePos x="0" y="0"/>
            <wp:positionH relativeFrom="column">
              <wp:posOffset>19050</wp:posOffset>
            </wp:positionH>
            <wp:positionV relativeFrom="paragraph">
              <wp:posOffset>-342900</wp:posOffset>
            </wp:positionV>
            <wp:extent cx="5731510" cy="1311275"/>
            <wp:effectExtent l="0" t="0" r="0" b="0"/>
            <wp:wrapNone/>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pic:cNvPicPr>
                      <a:picLocks noChangeAspect="1" noChangeArrowheads="1"/>
                    </pic:cNvPicPr>
                  </pic:nvPicPr>
                  <pic:blipFill>
                    <a:blip r:embed="rId2"/>
                    <a:stretch>
                      <a:fillRect/>
                    </a:stretch>
                  </pic:blipFill>
                  <pic:spPr bwMode="auto">
                    <a:xfrm>
                      <a:off x="0" y="0"/>
                      <a:ext cx="5731510" cy="1311275"/>
                    </a:xfrm>
                    <a:prstGeom prst="rect">
                      <a:avLst/>
                    </a:prstGeom>
                    <a:noFill/>
                  </pic:spPr>
                </pic:pic>
              </a:graphicData>
            </a:graphic>
          </wp:anchor>
        </w:drawing>
      </w:r>
    </w:p>
    <w:p>
      <w:pPr>
        <w:pStyle w:val="Normal"/>
        <w:jc w:val="center"/>
        <w:rPr>
          <w:rFonts w:cs="Arial"/>
          <w:b/>
          <w:bCs/>
          <w:sz w:val="72"/>
          <w:szCs w:val="72"/>
        </w:rPr>
      </w:pPr>
      <w:r>
        <w:rPr>
          <w:rFonts w:cs="Arial"/>
          <w:b/>
          <w:bCs/>
          <w:sz w:val="72"/>
          <w:szCs w:val="72"/>
        </w:rPr>
      </w:r>
    </w:p>
    <w:p>
      <w:pPr>
        <w:pStyle w:val="Normal"/>
        <w:jc w:val="center"/>
        <w:rPr>
          <w:rFonts w:cs="Arial"/>
          <w:b/>
          <w:bCs/>
          <w:sz w:val="72"/>
          <w:szCs w:val="72"/>
        </w:rPr>
      </w:pPr>
      <w:r>
        <w:rPr>
          <w:rFonts w:cs="Arial"/>
          <w:b/>
          <w:bCs/>
          <w:sz w:val="72"/>
          <w:szCs w:val="72"/>
        </w:rPr>
      </w:r>
    </w:p>
    <w:p>
      <w:pPr>
        <w:pStyle w:val="Normal"/>
        <w:jc w:val="center"/>
        <w:rPr>
          <w:rFonts w:cs="Arial"/>
          <w:b/>
          <w:bCs/>
          <w:sz w:val="72"/>
          <w:szCs w:val="72"/>
        </w:rPr>
      </w:pPr>
      <w:r>
        <w:rPr>
          <w:rFonts w:cs="Arial"/>
          <w:b/>
          <w:bCs/>
          <w:sz w:val="72"/>
          <w:szCs w:val="72"/>
        </w:rPr>
      </w:r>
    </w:p>
    <w:p>
      <w:pPr>
        <w:pStyle w:val="Normal"/>
        <w:jc w:val="center"/>
        <w:rPr>
          <w:rFonts w:cs="Arial"/>
          <w:sz w:val="96"/>
          <w:szCs w:val="96"/>
        </w:rPr>
      </w:pPr>
      <w:r>
        <w:rPr>
          <w:rFonts w:cs="Arial"/>
          <w:b/>
          <w:bCs/>
          <w:sz w:val="96"/>
          <w:szCs w:val="96"/>
        </w:rPr>
        <w:t>AM AI SAFE</w:t>
      </w:r>
      <w:r>
        <w:rPr>
          <w:rFonts w:cs="Arial"/>
          <w:sz w:val="96"/>
          <w:szCs w:val="96"/>
        </w:rPr>
        <w:t xml:space="preserve"> </w:t>
      </w:r>
    </w:p>
    <w:p>
      <w:pPr>
        <w:pStyle w:val="Normal"/>
        <w:jc w:val="center"/>
        <w:rPr>
          <w:rFonts w:cs="Arial"/>
          <w:sz w:val="72"/>
          <w:szCs w:val="72"/>
        </w:rPr>
      </w:pPr>
      <w:r>
        <w:rPr>
          <w:rFonts w:cs="Arial"/>
          <w:sz w:val="72"/>
          <w:szCs w:val="72"/>
        </w:rPr>
        <w:t xml:space="preserve">FAIRA Risk Assessment </w:t>
      </w:r>
    </w:p>
    <w:p>
      <w:pPr>
        <w:pStyle w:val="Normal"/>
        <w:jc w:val="center"/>
        <w:rPr>
          <w:rFonts w:cs="Arial"/>
          <w:sz w:val="72"/>
          <w:szCs w:val="72"/>
        </w:rPr>
      </w:pPr>
      <w:r>
        <w:rPr>
          <w:rFonts w:cs="Arial"/>
          <w:sz w:val="72"/>
          <w:szCs w:val="72"/>
        </w:rPr>
        <w:t xml:space="preserve">for </w:t>
      </w:r>
    </w:p>
    <w:p>
      <w:pPr>
        <w:pStyle w:val="Normal"/>
        <w:jc w:val="center"/>
        <w:rPr>
          <w:rFonts w:cs="Arial"/>
          <w:b/>
          <w:bCs/>
          <w:sz w:val="72"/>
          <w:szCs w:val="72"/>
        </w:rPr>
      </w:pPr>
      <w:r>
        <w:rPr>
          <w:rFonts w:cs="Arial"/>
          <w:b/>
          <w:bCs/>
          <w:sz w:val="72"/>
          <w:szCs w:val="72"/>
        </w:rPr>
        <w:t>{{system_name}}</w:t>
      </w:r>
    </w:p>
    <w:p>
      <w:pPr>
        <w:pStyle w:val="Normal"/>
        <w:jc w:val="center"/>
        <w:rPr>
          <w:rFonts w:cs="Arial"/>
          <w:sz w:val="72"/>
          <w:szCs w:val="72"/>
        </w:rPr>
      </w:pPr>
      <w:r>
        <w:rPr>
          <w:rFonts w:cs="Arial"/>
          <w:sz w:val="72"/>
          <w:szCs w:val="72"/>
        </w:rPr>
      </w:r>
    </w:p>
    <w:p>
      <w:pPr>
        <w:pStyle w:val="Normal"/>
        <w:jc w:val="center"/>
        <w:rPr>
          <w:rFonts w:cs="Arial"/>
          <w:sz w:val="32"/>
          <w:szCs w:val="32"/>
        </w:rPr>
      </w:pPr>
      <w:r>
        <w:rPr/>
        <w:t>{{assessment.date}}</w:t>
      </w:r>
    </w:p>
    <w:p>
      <w:pPr>
        <w:pStyle w:val="Normal"/>
        <w:jc w:val="center"/>
        <w:rPr>
          <w:rFonts w:cs="Arial"/>
          <w:b/>
          <w:bCs/>
          <w:sz w:val="28"/>
          <w:szCs w:val="28"/>
        </w:rPr>
      </w:pPr>
      <w:r>
        <w:rPr>
          <w:rFonts w:cs="Arial"/>
          <w:b/>
          <w:bCs/>
          <w:sz w:val="28"/>
          <w:szCs w:val="28"/>
        </w:rPr>
      </w:r>
    </w:p>
    <w:p>
      <w:pPr>
        <w:pStyle w:val="Normal"/>
        <w:rPr>
          <w:rFonts w:cs="Arial"/>
          <w:b/>
          <w:bCs/>
          <w:sz w:val="28"/>
          <w:szCs w:val="28"/>
        </w:rPr>
      </w:pPr>
      <w:r>
        <w:rPr>
          <w:rFonts w:cs="Arial"/>
          <w:b/>
          <w:bCs/>
          <w:sz w:val="28"/>
          <w:szCs w:val="28"/>
        </w:rPr>
      </w:r>
      <w:r>
        <w:br w:type="page"/>
      </w:r>
    </w:p>
    <w:p>
      <w:pPr>
        <w:pStyle w:val="Normal"/>
        <w:spacing w:before="0" w:after="160"/>
        <w:jc w:val="center"/>
        <w:rPr>
          <w:rFonts w:cs="Arial"/>
          <w:b/>
          <w:bCs/>
          <w:sz w:val="28"/>
          <w:szCs w:val="28"/>
        </w:rPr>
      </w:pPr>
      <w:r>
        <w:rPr>
          <w:rFonts w:cs="Arial"/>
          <w:b/>
          <w:bCs/>
          <w:sz w:val="28"/>
          <w:szCs w:val="28"/>
        </w:rPr>
        <w:t>Table of Contents</w:t>
      </w:r>
    </w:p>
    <w:sdt>
      <w:sdtPr>
        <w:docPartObj>
          <w:docPartGallery w:val="Table of Contents"/>
          <w:docPartUnique w:val="true"/>
        </w:docPartObj>
      </w:sdtPr>
      <w:sdtContent>
        <w:p>
          <w:pPr>
            <w:pStyle w:val="TOC1"/>
            <w:tabs>
              <w:tab w:val="clear" w:pos="720"/>
              <w:tab w:val="left" w:pos="480" w:leader="none"/>
              <w:tab w:val="right" w:pos="9016" w:leader="dot"/>
            </w:tabs>
            <w:rPr>
              <w:rFonts w:ascii="Arial" w:hAnsi="Arial" w:cs="Arial"/>
              <w:kern w:val="2"/>
              <w:sz w:val="20"/>
              <w:szCs w:val="20"/>
              <w:lang w:val="en-AU" w:eastAsia="en-AU"/>
              <w14:ligatures w14:val="standardContextual"/>
            </w:rPr>
          </w:pPr>
          <w:r>
            <w:fldChar w:fldCharType="begin"/>
          </w:r>
          <w:r>
            <w:rPr>
              <w:rStyle w:val="IndexLink"/>
              <w:rFonts w:cs="Arial" w:ascii="Arial" w:hAnsi="Arial"/>
              <w:webHidden/>
              <w:sz w:val="20"/>
              <w:szCs w:val="20"/>
              <w:lang w:val="en-AU" w:eastAsia="en-AU"/>
            </w:rPr>
            <w:instrText xml:space="preserve"> TOC \z \t "Heading01,1,Heading02,2,Heading03,3,caption,4" \h</w:instrText>
          </w:r>
          <w:r>
            <w:rPr>
              <w:rStyle w:val="IndexLink"/>
              <w:rFonts w:cs="Arial" w:ascii="Arial" w:hAnsi="Arial"/>
              <w:webHidden/>
              <w:sz w:val="20"/>
              <w:szCs w:val="20"/>
              <w:lang w:val="en-AU" w:eastAsia="en-AU"/>
            </w:rPr>
            <w:fldChar w:fldCharType="separate"/>
          </w:r>
          <w:hyperlink w:anchor="_Toc220351587">
            <w:r>
              <w:rPr>
                <w:rStyle w:val="IndexLink"/>
                <w:rFonts w:cs="Arial" w:ascii="Arial" w:hAnsi="Arial"/>
                <w:webHidden/>
                <w:sz w:val="20"/>
                <w:szCs w:val="20"/>
                <w:lang w:val="en-AU" w:eastAsia="en-AU"/>
              </w:rPr>
              <w:t>1.</w:t>
            </w:r>
            <w:r>
              <w:rPr>
                <w:rStyle w:val="IndexLink"/>
                <w:rFonts w:cs="Arial" w:ascii="Arial" w:hAnsi="Arial"/>
                <w:kern w:val="2"/>
                <w:sz w:val="20"/>
                <w:szCs w:val="20"/>
                <w:lang w:val="en-AU" w:eastAsia="en-AU"/>
                <w14:ligatures w14:val="standardContextual"/>
              </w:rPr>
              <w:tab/>
            </w:r>
            <w:r>
              <w:rPr>
                <w:rStyle w:val="IndexLink"/>
                <w:rFonts w:cs="Arial" w:ascii="Arial" w:hAnsi="Arial"/>
                <w:sz w:val="20"/>
                <w:szCs w:val="20"/>
                <w:lang w:val="en-AU" w:eastAsia="en-AU"/>
              </w:rPr>
              <w:t>Executive Summary</w:t>
            </w:r>
            <w:r>
              <w:rPr>
                <w:webHidden/>
              </w:rPr>
              <w:fldChar w:fldCharType="begin"/>
            </w:r>
            <w:r>
              <w:rPr>
                <w:webHidden/>
              </w:rPr>
              <w:instrText xml:space="preserve">PAGEREF _Toc220351587 \h</w:instrText>
            </w:r>
            <w:r>
              <w:rPr>
                <w:webHidden/>
              </w:rPr>
              <w:fldChar w:fldCharType="separate"/>
            </w:r>
            <w:r>
              <w:rPr>
                <w:rStyle w:val="IndexLink"/>
                <w:rFonts w:cs="Arial" w:ascii="Arial" w:hAnsi="Arial"/>
                <w:vanish w:val="false"/>
                <w:sz w:val="20"/>
                <w:szCs w:val="20"/>
              </w:rPr>
              <w:tab/>
              <w:t>4</w:t>
            </w:r>
            <w:r>
              <w:rPr>
                <w:webHidden/>
              </w:rPr>
              <w:fldChar w:fldCharType="end"/>
            </w:r>
          </w:hyperlink>
        </w:p>
        <w:p>
          <w:pPr>
            <w:pStyle w:val="TOC1"/>
            <w:tabs>
              <w:tab w:val="clear" w:pos="720"/>
              <w:tab w:val="left" w:pos="480" w:leader="none"/>
              <w:tab w:val="right" w:pos="9016" w:leader="dot"/>
            </w:tabs>
            <w:rPr>
              <w:rFonts w:ascii="Arial" w:hAnsi="Arial" w:cs="Arial"/>
              <w:kern w:val="2"/>
              <w:sz w:val="20"/>
              <w:szCs w:val="20"/>
              <w:lang w:val="en-AU" w:eastAsia="en-AU"/>
              <w14:ligatures w14:val="standardContextual"/>
            </w:rPr>
          </w:pPr>
          <w:hyperlink w:anchor="_Toc220351588">
            <w:r>
              <w:rPr>
                <w:rStyle w:val="IndexLink"/>
                <w:rFonts w:cs="Arial" w:ascii="Arial" w:hAnsi="Arial"/>
                <w:webHidden/>
                <w:sz w:val="20"/>
                <w:szCs w:val="20"/>
                <w:lang w:val="en-AU" w:eastAsia="en-AU"/>
              </w:rPr>
              <w:t>2.</w:t>
            </w:r>
            <w:r>
              <w:rPr>
                <w:rStyle w:val="IndexLink"/>
                <w:rFonts w:cs="Arial" w:ascii="Arial" w:hAnsi="Arial"/>
                <w:kern w:val="2"/>
                <w:sz w:val="20"/>
                <w:szCs w:val="20"/>
                <w:lang w:val="en-AU" w:eastAsia="en-AU"/>
                <w14:ligatures w14:val="standardContextual"/>
              </w:rPr>
              <w:tab/>
            </w:r>
            <w:r>
              <w:rPr>
                <w:rStyle w:val="IndexLink"/>
                <w:rFonts w:cs="Arial" w:ascii="Arial" w:hAnsi="Arial"/>
                <w:sz w:val="20"/>
                <w:szCs w:val="20"/>
                <w:lang w:val="en-AU" w:eastAsia="en-AU"/>
              </w:rPr>
              <w:t>Overall Risk Profile and Interpretation</w:t>
            </w:r>
            <w:r>
              <w:rPr>
                <w:webHidden/>
              </w:rPr>
              <w:fldChar w:fldCharType="begin"/>
            </w:r>
            <w:r>
              <w:rPr>
                <w:webHidden/>
              </w:rPr>
              <w:instrText xml:space="preserve">PAGEREF _Toc220351588 \h</w:instrText>
            </w:r>
            <w:r>
              <w:rPr>
                <w:webHidden/>
              </w:rPr>
              <w:fldChar w:fldCharType="separate"/>
            </w:r>
            <w:r>
              <w:rPr>
                <w:rStyle w:val="IndexLink"/>
                <w:rFonts w:cs="Arial" w:ascii="Arial" w:hAnsi="Arial"/>
                <w:vanish w:val="false"/>
                <w:sz w:val="20"/>
                <w:szCs w:val="20"/>
              </w:rPr>
              <w:tab/>
              <w:t>4</w:t>
            </w:r>
            <w:r>
              <w:rPr>
                <w:webHidden/>
              </w:rPr>
              <w:fldChar w:fldCharType="end"/>
            </w:r>
          </w:hyperlink>
        </w:p>
        <w:p>
          <w:pPr>
            <w:pStyle w:val="TOC1"/>
            <w:tabs>
              <w:tab w:val="clear" w:pos="720"/>
              <w:tab w:val="left" w:pos="480" w:leader="none"/>
              <w:tab w:val="right" w:pos="9016" w:leader="dot"/>
            </w:tabs>
            <w:rPr>
              <w:rFonts w:ascii="Arial" w:hAnsi="Arial" w:cs="Arial"/>
              <w:kern w:val="2"/>
              <w:sz w:val="20"/>
              <w:szCs w:val="20"/>
              <w:lang w:val="en-AU" w:eastAsia="en-AU"/>
              <w14:ligatures w14:val="standardContextual"/>
            </w:rPr>
          </w:pPr>
          <w:hyperlink w:anchor="_Toc220351589">
            <w:r>
              <w:rPr>
                <w:rStyle w:val="IndexLink"/>
                <w:rFonts w:cs="Arial" w:ascii="Arial" w:hAnsi="Arial"/>
                <w:webHidden/>
                <w:sz w:val="20"/>
                <w:szCs w:val="20"/>
                <w:lang w:val="en-AU" w:eastAsia="en-AU"/>
              </w:rPr>
              <w:t>3.</w:t>
            </w:r>
            <w:r>
              <w:rPr>
                <w:rStyle w:val="IndexLink"/>
                <w:rFonts w:cs="Arial" w:ascii="Arial" w:hAnsi="Arial"/>
                <w:kern w:val="2"/>
                <w:sz w:val="20"/>
                <w:szCs w:val="20"/>
                <w:lang w:val="en-AU" w:eastAsia="en-AU"/>
                <w14:ligatures w14:val="standardContextual"/>
              </w:rPr>
              <w:tab/>
            </w:r>
            <w:r>
              <w:rPr>
                <w:rStyle w:val="IndexLink"/>
                <w:rFonts w:cs="Arial" w:ascii="Arial" w:hAnsi="Arial"/>
                <w:sz w:val="20"/>
                <w:szCs w:val="20"/>
                <w:lang w:val="en-AU" w:eastAsia="en-AU"/>
              </w:rPr>
              <w:t>Assessment Scope and Methodology</w:t>
            </w:r>
            <w:r>
              <w:rPr>
                <w:webHidden/>
              </w:rPr>
              <w:fldChar w:fldCharType="begin"/>
            </w:r>
            <w:r>
              <w:rPr>
                <w:webHidden/>
              </w:rPr>
              <w:instrText xml:space="preserve">PAGEREF _Toc220351589 \h</w:instrText>
            </w:r>
            <w:r>
              <w:rPr>
                <w:webHidden/>
              </w:rPr>
              <w:fldChar w:fldCharType="separate"/>
            </w:r>
            <w:r>
              <w:rPr>
                <w:rStyle w:val="IndexLink"/>
                <w:rFonts w:cs="Arial" w:ascii="Arial" w:hAnsi="Arial"/>
                <w:vanish w:val="false"/>
                <w:sz w:val="20"/>
                <w:szCs w:val="20"/>
              </w:rPr>
              <w:tab/>
              <w:t>5</w:t>
            </w:r>
            <w:r>
              <w:rPr>
                <w:webHidden/>
              </w:rPr>
              <w:fldChar w:fldCharType="end"/>
            </w:r>
          </w:hyperlink>
        </w:p>
        <w:p>
          <w:pPr>
            <w:pStyle w:val="TOC1"/>
            <w:tabs>
              <w:tab w:val="clear" w:pos="720"/>
              <w:tab w:val="left" w:pos="480" w:leader="none"/>
              <w:tab w:val="right" w:pos="9016" w:leader="dot"/>
            </w:tabs>
            <w:rPr>
              <w:rFonts w:ascii="Arial" w:hAnsi="Arial" w:cs="Arial"/>
              <w:kern w:val="2"/>
              <w:sz w:val="20"/>
              <w:szCs w:val="20"/>
              <w:lang w:val="en-AU" w:eastAsia="en-AU"/>
              <w14:ligatures w14:val="standardContextual"/>
            </w:rPr>
          </w:pPr>
          <w:hyperlink w:anchor="_Toc220351590">
            <w:r>
              <w:rPr>
                <w:rStyle w:val="IndexLink"/>
                <w:rFonts w:cs="Arial" w:ascii="Arial" w:hAnsi="Arial"/>
                <w:webHidden/>
                <w:sz w:val="20"/>
                <w:szCs w:val="20"/>
                <w:lang w:val="en-AU" w:eastAsia="en-AU"/>
              </w:rPr>
              <w:t>4.</w:t>
            </w:r>
            <w:r>
              <w:rPr>
                <w:rStyle w:val="IndexLink"/>
                <w:rFonts w:cs="Arial" w:ascii="Arial" w:hAnsi="Arial"/>
                <w:kern w:val="2"/>
                <w:sz w:val="20"/>
                <w:szCs w:val="20"/>
                <w:lang w:val="en-AU" w:eastAsia="en-AU"/>
                <w14:ligatures w14:val="standardContextual"/>
              </w:rPr>
              <w:tab/>
            </w:r>
            <w:r>
              <w:rPr>
                <w:rStyle w:val="IndexLink"/>
                <w:rFonts w:cs="Arial" w:ascii="Arial" w:hAnsi="Arial"/>
                <w:sz w:val="20"/>
                <w:szCs w:val="20"/>
                <w:lang w:val="en-AU" w:eastAsia="en-AU"/>
              </w:rPr>
              <w:t>Part A – AI System Profile and Risk Context</w:t>
            </w:r>
            <w:r>
              <w:rPr>
                <w:webHidden/>
              </w:rPr>
              <w:fldChar w:fldCharType="begin"/>
            </w:r>
            <w:r>
              <w:rPr>
                <w:webHidden/>
              </w:rPr>
              <w:instrText xml:space="preserve">PAGEREF _Toc220351590 \h</w:instrText>
            </w:r>
            <w:r>
              <w:rPr>
                <w:webHidden/>
              </w:rPr>
              <w:fldChar w:fldCharType="separate"/>
            </w:r>
            <w:r>
              <w:rPr>
                <w:rStyle w:val="IndexLink"/>
                <w:rFonts w:cs="Arial" w:ascii="Arial" w:hAnsi="Arial"/>
                <w:vanish w:val="false"/>
                <w:sz w:val="20"/>
                <w:szCs w:val="20"/>
              </w:rPr>
              <w:tab/>
              <w:t>5</w:t>
            </w:r>
            <w:r>
              <w:rPr>
                <w:webHidden/>
              </w:rPr>
              <w:fldChar w:fldCharType="end"/>
            </w:r>
          </w:hyperlink>
        </w:p>
        <w:p>
          <w:pPr>
            <w:pStyle w:val="TOC2"/>
            <w:tabs>
              <w:tab w:val="clear" w:pos="720"/>
              <w:tab w:val="left" w:pos="960" w:leader="none"/>
              <w:tab w:val="right" w:pos="9016" w:leader="dot"/>
            </w:tabs>
            <w:rPr>
              <w:rFonts w:ascii="Arial" w:hAnsi="Arial" w:cs="Arial"/>
              <w:kern w:val="2"/>
              <w:sz w:val="20"/>
              <w:szCs w:val="20"/>
              <w:lang w:val="en-AU" w:eastAsia="en-AU"/>
              <w14:ligatures w14:val="standardContextual"/>
            </w:rPr>
          </w:pPr>
          <w:hyperlink w:anchor="_Toc220351591">
            <w:r>
              <w:rPr>
                <w:rStyle w:val="IndexLink"/>
                <w:rFonts w:cs="Arial" w:ascii="Arial" w:hAnsi="Arial"/>
                <w:webHidden/>
                <w:sz w:val="20"/>
                <w:szCs w:val="20"/>
                <w:lang w:val="en-AU" w:eastAsia="en-AU"/>
              </w:rPr>
              <w:t>4.1.</w:t>
            </w:r>
            <w:r>
              <w:rPr>
                <w:rStyle w:val="IndexLink"/>
                <w:rFonts w:cs="Arial" w:ascii="Arial" w:hAnsi="Arial"/>
                <w:kern w:val="2"/>
                <w:sz w:val="20"/>
                <w:szCs w:val="20"/>
                <w:lang w:val="en-AU" w:eastAsia="en-AU"/>
                <w14:ligatures w14:val="standardContextual"/>
              </w:rPr>
              <w:tab/>
            </w:r>
            <w:r>
              <w:rPr>
                <w:rStyle w:val="IndexLink"/>
                <w:rFonts w:cs="Arial" w:ascii="Arial" w:hAnsi="Arial"/>
                <w:sz w:val="20"/>
                <w:szCs w:val="20"/>
                <w:lang w:val="en-AU" w:eastAsia="en-AU"/>
              </w:rPr>
              <w:t>AI Solution Fundamentals</w:t>
            </w:r>
            <w:r>
              <w:rPr>
                <w:webHidden/>
              </w:rPr>
              <w:fldChar w:fldCharType="begin"/>
            </w:r>
            <w:r>
              <w:rPr>
                <w:webHidden/>
              </w:rPr>
              <w:instrText xml:space="preserve">PAGEREF _Toc220351591 \h</w:instrText>
            </w:r>
            <w:r>
              <w:rPr>
                <w:webHidden/>
              </w:rPr>
              <w:fldChar w:fldCharType="separate"/>
            </w:r>
            <w:r>
              <w:rPr>
                <w:rStyle w:val="IndexLink"/>
                <w:rFonts w:cs="Arial" w:ascii="Arial" w:hAnsi="Arial"/>
                <w:vanish w:val="false"/>
                <w:sz w:val="20"/>
                <w:szCs w:val="20"/>
              </w:rPr>
              <w:tab/>
              <w:t>6</w:t>
            </w:r>
            <w:r>
              <w:rPr>
                <w:webHidden/>
              </w:rPr>
              <w:fldChar w:fldCharType="end"/>
            </w:r>
          </w:hyperlink>
        </w:p>
        <w:p>
          <w:pPr>
            <w:pStyle w:val="TOC4"/>
            <w:tabs>
              <w:tab w:val="clear" w:pos="720"/>
              <w:tab w:val="right" w:pos="9016" w:leader="dot"/>
            </w:tabs>
            <w:rPr>
              <w:rFonts w:eastAsia="" w:cs="Arial" w:eastAsiaTheme="minorEastAsia"/>
              <w:sz w:val="20"/>
              <w:szCs w:val="20"/>
              <w:lang w:val="en-AU" w:eastAsia="en-AU"/>
            </w:rPr>
          </w:pPr>
          <w:hyperlink w:anchor="_Toc220351592">
            <w:r>
              <w:rPr>
                <w:rStyle w:val="IndexLink"/>
                <w:rFonts w:cs="Arial"/>
                <w:webHidden/>
                <w:sz w:val="20"/>
                <w:szCs w:val="20"/>
              </w:rPr>
              <w:t>Table 1 - System Overview summary</w:t>
            </w:r>
            <w:r>
              <w:rPr>
                <w:webHidden/>
              </w:rPr>
              <w:fldChar w:fldCharType="begin"/>
            </w:r>
            <w:r>
              <w:rPr>
                <w:webHidden/>
              </w:rPr>
              <w:instrText xml:space="preserve">PAGEREF _Toc220351592 \h</w:instrText>
            </w:r>
            <w:r>
              <w:rPr>
                <w:webHidden/>
              </w:rPr>
              <w:fldChar w:fldCharType="separate"/>
            </w:r>
            <w:r>
              <w:rPr>
                <w:rStyle w:val="IndexLink"/>
                <w:rFonts w:cs="Arial"/>
                <w:vanish w:val="false"/>
                <w:sz w:val="20"/>
                <w:szCs w:val="20"/>
              </w:rPr>
              <w:tab/>
              <w:t>7</w:t>
            </w:r>
            <w:r>
              <w:rPr>
                <w:webHidden/>
              </w:rPr>
              <w:fldChar w:fldCharType="end"/>
            </w:r>
          </w:hyperlink>
        </w:p>
        <w:p>
          <w:pPr>
            <w:pStyle w:val="TOC2"/>
            <w:tabs>
              <w:tab w:val="clear" w:pos="720"/>
              <w:tab w:val="left" w:pos="960" w:leader="none"/>
              <w:tab w:val="right" w:pos="9016" w:leader="dot"/>
            </w:tabs>
            <w:rPr>
              <w:rFonts w:ascii="Arial" w:hAnsi="Arial" w:cs="Arial"/>
              <w:kern w:val="2"/>
              <w:sz w:val="20"/>
              <w:szCs w:val="20"/>
              <w:lang w:val="en-AU" w:eastAsia="en-AU"/>
              <w14:ligatures w14:val="standardContextual"/>
            </w:rPr>
          </w:pPr>
          <w:hyperlink w:anchor="_Toc220351593">
            <w:r>
              <w:rPr>
                <w:rStyle w:val="IndexLink"/>
                <w:rFonts w:cs="Arial" w:ascii="Arial" w:hAnsi="Arial"/>
                <w:webHidden/>
                <w:sz w:val="20"/>
                <w:szCs w:val="20"/>
                <w:lang w:val="en-AU" w:eastAsia="en-AU"/>
              </w:rPr>
              <w:t>4.2.</w:t>
            </w:r>
            <w:r>
              <w:rPr>
                <w:rStyle w:val="IndexLink"/>
                <w:rFonts w:cs="Arial" w:ascii="Arial" w:hAnsi="Arial"/>
                <w:kern w:val="2"/>
                <w:sz w:val="20"/>
                <w:szCs w:val="20"/>
                <w:lang w:val="en-AU" w:eastAsia="en-AU"/>
                <w14:ligatures w14:val="standardContextual"/>
              </w:rPr>
              <w:tab/>
            </w:r>
            <w:r>
              <w:rPr>
                <w:rStyle w:val="IndexLink"/>
                <w:rFonts w:cs="Arial" w:ascii="Arial" w:hAnsi="Arial"/>
                <w:sz w:val="20"/>
                <w:szCs w:val="20"/>
                <w:lang w:val="en-AU" w:eastAsia="en-AU"/>
              </w:rPr>
              <w:t>Data and Inputs</w:t>
            </w:r>
            <w:r>
              <w:rPr>
                <w:webHidden/>
              </w:rPr>
              <w:fldChar w:fldCharType="begin"/>
            </w:r>
            <w:r>
              <w:rPr>
                <w:webHidden/>
              </w:rPr>
              <w:instrText xml:space="preserve">PAGEREF _Toc220351593 \h</w:instrText>
            </w:r>
            <w:r>
              <w:rPr>
                <w:webHidden/>
              </w:rPr>
              <w:fldChar w:fldCharType="separate"/>
            </w:r>
            <w:r>
              <w:rPr>
                <w:rStyle w:val="IndexLink"/>
                <w:rFonts w:cs="Arial" w:ascii="Arial" w:hAnsi="Arial"/>
                <w:vanish w:val="false"/>
                <w:sz w:val="20"/>
                <w:szCs w:val="20"/>
              </w:rPr>
              <w:tab/>
              <w:t>7</w:t>
            </w:r>
            <w:r>
              <w:rPr>
                <w:webHidden/>
              </w:rPr>
              <w:fldChar w:fldCharType="end"/>
            </w:r>
          </w:hyperlink>
        </w:p>
        <w:p>
          <w:pPr>
            <w:pStyle w:val="TOC4"/>
            <w:tabs>
              <w:tab w:val="clear" w:pos="720"/>
              <w:tab w:val="right" w:pos="9016" w:leader="dot"/>
            </w:tabs>
            <w:rPr>
              <w:rFonts w:eastAsia="" w:cs="Arial" w:eastAsiaTheme="minorEastAsia"/>
              <w:sz w:val="20"/>
              <w:szCs w:val="20"/>
              <w:lang w:val="en-AU" w:eastAsia="en-AU"/>
            </w:rPr>
          </w:pPr>
          <w:hyperlink w:anchor="_Toc220351594">
            <w:r>
              <w:rPr>
                <w:rStyle w:val="IndexLink"/>
                <w:rFonts w:cs="Arial"/>
                <w:webHidden/>
                <w:sz w:val="20"/>
                <w:szCs w:val="20"/>
              </w:rPr>
              <w:t>Table 2 – Data Characteristics summary</w:t>
            </w:r>
            <w:r>
              <w:rPr>
                <w:webHidden/>
              </w:rPr>
              <w:fldChar w:fldCharType="begin"/>
            </w:r>
            <w:r>
              <w:rPr>
                <w:webHidden/>
              </w:rPr>
              <w:instrText xml:space="preserve">PAGEREF _Toc220351594 \h</w:instrText>
            </w:r>
            <w:r>
              <w:rPr>
                <w:webHidden/>
              </w:rPr>
              <w:fldChar w:fldCharType="separate"/>
            </w:r>
            <w:r>
              <w:rPr>
                <w:rStyle w:val="IndexLink"/>
                <w:rFonts w:cs="Arial"/>
                <w:vanish w:val="false"/>
                <w:sz w:val="20"/>
                <w:szCs w:val="20"/>
              </w:rPr>
              <w:tab/>
              <w:t>8</w:t>
            </w:r>
            <w:r>
              <w:rPr>
                <w:webHidden/>
              </w:rPr>
              <w:fldChar w:fldCharType="end"/>
            </w:r>
          </w:hyperlink>
        </w:p>
        <w:p>
          <w:pPr>
            <w:pStyle w:val="TOC2"/>
            <w:tabs>
              <w:tab w:val="clear" w:pos="720"/>
              <w:tab w:val="left" w:pos="960" w:leader="none"/>
              <w:tab w:val="right" w:pos="9016" w:leader="dot"/>
            </w:tabs>
            <w:rPr>
              <w:rFonts w:ascii="Arial" w:hAnsi="Arial" w:cs="Arial"/>
              <w:kern w:val="2"/>
              <w:sz w:val="20"/>
              <w:szCs w:val="20"/>
              <w:lang w:val="en-AU" w:eastAsia="en-AU"/>
              <w14:ligatures w14:val="standardContextual"/>
            </w:rPr>
          </w:pPr>
          <w:hyperlink w:anchor="_Toc220351595">
            <w:r>
              <w:rPr>
                <w:rStyle w:val="IndexLink"/>
                <w:rFonts w:cs="Arial" w:ascii="Arial" w:hAnsi="Arial"/>
                <w:webHidden/>
                <w:sz w:val="20"/>
                <w:szCs w:val="20"/>
                <w:lang w:val="en-AU" w:eastAsia="en-AU"/>
              </w:rPr>
              <w:t>4.3.</w:t>
            </w:r>
            <w:r>
              <w:rPr>
                <w:rStyle w:val="IndexLink"/>
                <w:rFonts w:cs="Arial" w:ascii="Arial" w:hAnsi="Arial"/>
                <w:kern w:val="2"/>
                <w:sz w:val="20"/>
                <w:szCs w:val="20"/>
                <w:lang w:val="en-AU" w:eastAsia="en-AU"/>
                <w14:ligatures w14:val="standardContextual"/>
              </w:rPr>
              <w:tab/>
            </w:r>
            <w:r>
              <w:rPr>
                <w:rStyle w:val="IndexLink"/>
                <w:rFonts w:cs="Arial" w:ascii="Arial" w:hAnsi="Arial"/>
                <w:sz w:val="20"/>
                <w:szCs w:val="20"/>
                <w:lang w:val="en-AU" w:eastAsia="en-AU"/>
              </w:rPr>
              <w:t>Human Interface and Impact</w:t>
            </w:r>
            <w:r>
              <w:rPr>
                <w:webHidden/>
              </w:rPr>
              <w:fldChar w:fldCharType="begin"/>
            </w:r>
            <w:r>
              <w:rPr>
                <w:webHidden/>
              </w:rPr>
              <w:instrText xml:space="preserve">PAGEREF _Toc220351595 \h</w:instrText>
            </w:r>
            <w:r>
              <w:rPr>
                <w:webHidden/>
              </w:rPr>
              <w:fldChar w:fldCharType="separate"/>
            </w:r>
            <w:r>
              <w:rPr>
                <w:rStyle w:val="IndexLink"/>
                <w:rFonts w:cs="Arial" w:ascii="Arial" w:hAnsi="Arial"/>
                <w:vanish w:val="false"/>
                <w:sz w:val="20"/>
                <w:szCs w:val="20"/>
              </w:rPr>
              <w:tab/>
              <w:t>8</w:t>
            </w:r>
            <w:r>
              <w:rPr>
                <w:webHidden/>
              </w:rPr>
              <w:fldChar w:fldCharType="end"/>
            </w:r>
          </w:hyperlink>
        </w:p>
        <w:p>
          <w:pPr>
            <w:pStyle w:val="TOC4"/>
            <w:tabs>
              <w:tab w:val="clear" w:pos="720"/>
              <w:tab w:val="right" w:pos="9016" w:leader="dot"/>
            </w:tabs>
            <w:rPr>
              <w:rFonts w:eastAsia="" w:cs="Arial" w:eastAsiaTheme="minorEastAsia"/>
              <w:sz w:val="20"/>
              <w:szCs w:val="20"/>
              <w:lang w:val="en-AU" w:eastAsia="en-AU"/>
            </w:rPr>
          </w:pPr>
          <w:hyperlink w:anchor="_Toc220351596">
            <w:r>
              <w:rPr>
                <w:rStyle w:val="IndexLink"/>
                <w:rFonts w:cs="Arial"/>
                <w:webHidden/>
                <w:sz w:val="20"/>
                <w:szCs w:val="20"/>
              </w:rPr>
              <w:t>Table 3 - Users and Stakeholders summary</w:t>
            </w:r>
            <w:r>
              <w:rPr>
                <w:webHidden/>
              </w:rPr>
              <w:fldChar w:fldCharType="begin"/>
            </w:r>
            <w:r>
              <w:rPr>
                <w:webHidden/>
              </w:rPr>
              <w:instrText xml:space="preserve">PAGEREF _Toc220351596 \h</w:instrText>
            </w:r>
            <w:r>
              <w:rPr>
                <w:webHidden/>
              </w:rPr>
              <w:fldChar w:fldCharType="separate"/>
            </w:r>
            <w:r>
              <w:rPr>
                <w:rStyle w:val="IndexLink"/>
                <w:rFonts w:cs="Arial"/>
                <w:vanish w:val="false"/>
                <w:sz w:val="20"/>
                <w:szCs w:val="20"/>
              </w:rPr>
              <w:tab/>
              <w:t>9</w:t>
            </w:r>
            <w:r>
              <w:rPr>
                <w:webHidden/>
              </w:rPr>
              <w:fldChar w:fldCharType="end"/>
            </w:r>
          </w:hyperlink>
        </w:p>
        <w:p>
          <w:pPr>
            <w:pStyle w:val="TOC2"/>
            <w:tabs>
              <w:tab w:val="clear" w:pos="720"/>
              <w:tab w:val="left" w:pos="960" w:leader="none"/>
              <w:tab w:val="right" w:pos="9016" w:leader="dot"/>
            </w:tabs>
            <w:rPr>
              <w:rFonts w:ascii="Arial" w:hAnsi="Arial" w:cs="Arial"/>
              <w:kern w:val="2"/>
              <w:sz w:val="20"/>
              <w:szCs w:val="20"/>
              <w:lang w:val="en-AU" w:eastAsia="en-AU"/>
              <w14:ligatures w14:val="standardContextual"/>
            </w:rPr>
          </w:pPr>
          <w:hyperlink w:anchor="_Toc220351597">
            <w:r>
              <w:rPr>
                <w:rStyle w:val="IndexLink"/>
                <w:rFonts w:cs="Arial" w:ascii="Arial" w:hAnsi="Arial"/>
                <w:webHidden/>
                <w:sz w:val="20"/>
                <w:szCs w:val="20"/>
                <w:lang w:val="en-AU" w:eastAsia="en-AU"/>
              </w:rPr>
              <w:t>4.4.</w:t>
            </w:r>
            <w:r>
              <w:rPr>
                <w:rStyle w:val="IndexLink"/>
                <w:rFonts w:cs="Arial" w:ascii="Arial" w:hAnsi="Arial"/>
                <w:kern w:val="2"/>
                <w:sz w:val="20"/>
                <w:szCs w:val="20"/>
                <w:lang w:val="en-AU" w:eastAsia="en-AU"/>
                <w14:ligatures w14:val="standardContextual"/>
              </w:rPr>
              <w:tab/>
            </w:r>
            <w:r>
              <w:rPr>
                <w:rStyle w:val="IndexLink"/>
                <w:rFonts w:cs="Arial" w:ascii="Arial" w:hAnsi="Arial"/>
                <w:sz w:val="20"/>
                <w:szCs w:val="20"/>
                <w:lang w:val="en-AU" w:eastAsia="en-AU"/>
              </w:rPr>
              <w:t>Outputs and Actions</w:t>
            </w:r>
            <w:r>
              <w:rPr>
                <w:webHidden/>
              </w:rPr>
              <w:fldChar w:fldCharType="begin"/>
            </w:r>
            <w:r>
              <w:rPr>
                <w:webHidden/>
              </w:rPr>
              <w:instrText xml:space="preserve">PAGEREF _Toc220351597 \h</w:instrText>
            </w:r>
            <w:r>
              <w:rPr>
                <w:webHidden/>
              </w:rPr>
              <w:fldChar w:fldCharType="separate"/>
            </w:r>
            <w:r>
              <w:rPr>
                <w:rStyle w:val="IndexLink"/>
                <w:rFonts w:cs="Arial" w:ascii="Arial" w:hAnsi="Arial"/>
                <w:vanish w:val="false"/>
                <w:sz w:val="20"/>
                <w:szCs w:val="20"/>
              </w:rPr>
              <w:tab/>
              <w:t>9</w:t>
            </w:r>
            <w:r>
              <w:rPr>
                <w:webHidden/>
              </w:rPr>
              <w:fldChar w:fldCharType="end"/>
            </w:r>
          </w:hyperlink>
        </w:p>
        <w:p>
          <w:pPr>
            <w:pStyle w:val="TOC4"/>
            <w:tabs>
              <w:tab w:val="clear" w:pos="720"/>
              <w:tab w:val="right" w:pos="9016" w:leader="dot"/>
            </w:tabs>
            <w:rPr>
              <w:rFonts w:eastAsia="" w:cs="Arial" w:eastAsiaTheme="minorEastAsia"/>
              <w:sz w:val="20"/>
              <w:szCs w:val="20"/>
              <w:lang w:val="en-AU" w:eastAsia="en-AU"/>
            </w:rPr>
          </w:pPr>
          <w:hyperlink w:anchor="_Toc220351598">
            <w:r>
              <w:rPr>
                <w:rStyle w:val="IndexLink"/>
                <w:rFonts w:cs="Arial"/>
                <w:webHidden/>
                <w:sz w:val="20"/>
                <w:szCs w:val="20"/>
              </w:rPr>
              <w:t>Table 4 - Deployment Context summary</w:t>
            </w:r>
            <w:r>
              <w:rPr>
                <w:webHidden/>
              </w:rPr>
              <w:fldChar w:fldCharType="begin"/>
            </w:r>
            <w:r>
              <w:rPr>
                <w:webHidden/>
              </w:rPr>
              <w:instrText xml:space="preserve">PAGEREF _Toc220351598 \h</w:instrText>
            </w:r>
            <w:r>
              <w:rPr>
                <w:webHidden/>
              </w:rPr>
              <w:fldChar w:fldCharType="separate"/>
            </w:r>
            <w:r>
              <w:rPr>
                <w:rStyle w:val="IndexLink"/>
                <w:rFonts w:cs="Arial"/>
                <w:vanish w:val="false"/>
                <w:sz w:val="20"/>
                <w:szCs w:val="20"/>
              </w:rPr>
              <w:tab/>
              <w:t>11</w:t>
            </w:r>
            <w:r>
              <w:rPr>
                <w:webHidden/>
              </w:rPr>
              <w:fldChar w:fldCharType="end"/>
            </w:r>
          </w:hyperlink>
        </w:p>
        <w:p>
          <w:pPr>
            <w:pStyle w:val="TOC2"/>
            <w:tabs>
              <w:tab w:val="clear" w:pos="720"/>
              <w:tab w:val="left" w:pos="960" w:leader="none"/>
              <w:tab w:val="right" w:pos="9016" w:leader="dot"/>
            </w:tabs>
            <w:rPr>
              <w:rFonts w:ascii="Arial" w:hAnsi="Arial" w:cs="Arial"/>
              <w:kern w:val="2"/>
              <w:sz w:val="20"/>
              <w:szCs w:val="20"/>
              <w:lang w:val="en-AU" w:eastAsia="en-AU"/>
              <w14:ligatures w14:val="standardContextual"/>
            </w:rPr>
          </w:pPr>
          <w:hyperlink w:anchor="_Toc220351599">
            <w:r>
              <w:rPr>
                <w:rStyle w:val="IndexLink"/>
                <w:rFonts w:cs="Arial" w:ascii="Arial" w:hAnsi="Arial"/>
                <w:webHidden/>
                <w:sz w:val="20"/>
                <w:szCs w:val="20"/>
                <w:lang w:val="en-AU" w:eastAsia="en-AU"/>
              </w:rPr>
              <w:t>4.5.</w:t>
            </w:r>
            <w:r>
              <w:rPr>
                <w:rStyle w:val="IndexLink"/>
                <w:rFonts w:cs="Arial" w:ascii="Arial" w:hAnsi="Arial"/>
                <w:kern w:val="2"/>
                <w:sz w:val="20"/>
                <w:szCs w:val="20"/>
                <w:lang w:val="en-AU" w:eastAsia="en-AU"/>
                <w14:ligatures w14:val="standardContextual"/>
              </w:rPr>
              <w:tab/>
            </w:r>
            <w:r>
              <w:rPr>
                <w:rStyle w:val="IndexLink"/>
                <w:rFonts w:cs="Arial" w:ascii="Arial" w:hAnsi="Arial"/>
                <w:sz w:val="20"/>
                <w:szCs w:val="20"/>
                <w:lang w:val="en-AU" w:eastAsia="en-AU"/>
              </w:rPr>
              <w:t>Governance and Oversight</w:t>
            </w:r>
            <w:r>
              <w:rPr>
                <w:webHidden/>
              </w:rPr>
              <w:fldChar w:fldCharType="begin"/>
            </w:r>
            <w:r>
              <w:rPr>
                <w:webHidden/>
              </w:rPr>
              <w:instrText xml:space="preserve">PAGEREF _Toc220351599 \h</w:instrText>
            </w:r>
            <w:r>
              <w:rPr>
                <w:webHidden/>
              </w:rPr>
              <w:fldChar w:fldCharType="separate"/>
            </w:r>
            <w:r>
              <w:rPr>
                <w:rStyle w:val="IndexLink"/>
                <w:rFonts w:cs="Arial" w:ascii="Arial" w:hAnsi="Arial"/>
                <w:vanish w:val="false"/>
                <w:sz w:val="20"/>
                <w:szCs w:val="20"/>
              </w:rPr>
              <w:tab/>
              <w:t>11</w:t>
            </w:r>
            <w:r>
              <w:rPr>
                <w:webHidden/>
              </w:rPr>
              <w:fldChar w:fldCharType="end"/>
            </w:r>
          </w:hyperlink>
        </w:p>
        <w:p>
          <w:pPr>
            <w:pStyle w:val="TOC4"/>
            <w:tabs>
              <w:tab w:val="clear" w:pos="720"/>
              <w:tab w:val="right" w:pos="9016" w:leader="dot"/>
            </w:tabs>
            <w:rPr>
              <w:rFonts w:eastAsia="" w:cs="Arial" w:eastAsiaTheme="minorEastAsia"/>
              <w:sz w:val="20"/>
              <w:szCs w:val="20"/>
              <w:lang w:val="en-AU" w:eastAsia="en-AU"/>
            </w:rPr>
          </w:pPr>
          <w:hyperlink w:anchor="_Toc220351600">
            <w:r>
              <w:rPr>
                <w:rStyle w:val="IndexLink"/>
                <w:rFonts w:cs="Arial"/>
                <w:webHidden/>
                <w:sz w:val="20"/>
                <w:szCs w:val="20"/>
              </w:rPr>
              <w:t>Table 5 - Governance and Oversight summary</w:t>
            </w:r>
            <w:r>
              <w:rPr>
                <w:webHidden/>
              </w:rPr>
              <w:fldChar w:fldCharType="begin"/>
            </w:r>
            <w:r>
              <w:rPr>
                <w:webHidden/>
              </w:rPr>
              <w:instrText xml:space="preserve">PAGEREF _Toc220351600 \h</w:instrText>
            </w:r>
            <w:r>
              <w:rPr>
                <w:webHidden/>
              </w:rPr>
              <w:fldChar w:fldCharType="separate"/>
            </w:r>
            <w:r>
              <w:rPr>
                <w:rStyle w:val="IndexLink"/>
                <w:rFonts w:cs="Arial"/>
                <w:vanish w:val="false"/>
                <w:sz w:val="20"/>
                <w:szCs w:val="20"/>
              </w:rPr>
              <w:tab/>
              <w:t>13</w:t>
            </w:r>
            <w:r>
              <w:rPr>
                <w:webHidden/>
              </w:rPr>
              <w:fldChar w:fldCharType="end"/>
            </w:r>
          </w:hyperlink>
        </w:p>
        <w:p>
          <w:pPr>
            <w:pStyle w:val="TOC1"/>
            <w:tabs>
              <w:tab w:val="clear" w:pos="720"/>
              <w:tab w:val="left" w:pos="480" w:leader="none"/>
              <w:tab w:val="right" w:pos="9016" w:leader="dot"/>
            </w:tabs>
            <w:rPr>
              <w:rFonts w:ascii="Arial" w:hAnsi="Arial" w:cs="Arial"/>
              <w:kern w:val="2"/>
              <w:sz w:val="20"/>
              <w:szCs w:val="20"/>
              <w:lang w:val="en-AU" w:eastAsia="en-AU"/>
              <w14:ligatures w14:val="standardContextual"/>
            </w:rPr>
          </w:pPr>
          <w:hyperlink w:anchor="_Toc220351601">
            <w:r>
              <w:rPr>
                <w:rStyle w:val="IndexLink"/>
                <w:rFonts w:cs="Arial" w:ascii="Arial" w:hAnsi="Arial"/>
                <w:webHidden/>
                <w:sz w:val="20"/>
                <w:szCs w:val="20"/>
                <w:lang w:val="en-AU" w:eastAsia="en-AU"/>
              </w:rPr>
              <w:t>5.</w:t>
            </w:r>
            <w:r>
              <w:rPr>
                <w:rStyle w:val="IndexLink"/>
                <w:rFonts w:cs="Arial" w:ascii="Arial" w:hAnsi="Arial"/>
                <w:kern w:val="2"/>
                <w:sz w:val="20"/>
                <w:szCs w:val="20"/>
                <w:lang w:val="en-AU" w:eastAsia="en-AU"/>
                <w14:ligatures w14:val="standardContextual"/>
              </w:rPr>
              <w:tab/>
            </w:r>
            <w:r>
              <w:rPr>
                <w:rStyle w:val="IndexLink"/>
                <w:rFonts w:cs="Arial" w:ascii="Arial" w:hAnsi="Arial"/>
                <w:sz w:val="20"/>
                <w:szCs w:val="20"/>
                <w:lang w:val="en-AU" w:eastAsia="en-AU"/>
              </w:rPr>
              <w:t>Part B – AI Ethics Principles Risk Assessment</w:t>
            </w:r>
            <w:r>
              <w:rPr>
                <w:webHidden/>
              </w:rPr>
              <w:fldChar w:fldCharType="begin"/>
            </w:r>
            <w:r>
              <w:rPr>
                <w:webHidden/>
              </w:rPr>
              <w:instrText xml:space="preserve">PAGEREF _Toc220351601 \h</w:instrText>
            </w:r>
            <w:r>
              <w:rPr>
                <w:webHidden/>
              </w:rPr>
              <w:fldChar w:fldCharType="separate"/>
            </w:r>
            <w:r>
              <w:rPr>
                <w:rStyle w:val="IndexLink"/>
                <w:rFonts w:cs="Arial" w:ascii="Arial" w:hAnsi="Arial"/>
                <w:vanish w:val="false"/>
                <w:sz w:val="20"/>
                <w:szCs w:val="20"/>
              </w:rPr>
              <w:tab/>
              <w:t>13</w:t>
            </w:r>
            <w:r>
              <w:rPr>
                <w:webHidden/>
              </w:rPr>
              <w:fldChar w:fldCharType="end"/>
            </w:r>
          </w:hyperlink>
        </w:p>
        <w:p>
          <w:pPr>
            <w:pStyle w:val="TOC2"/>
            <w:tabs>
              <w:tab w:val="clear" w:pos="720"/>
              <w:tab w:val="left" w:pos="960" w:leader="none"/>
              <w:tab w:val="right" w:pos="9016" w:leader="dot"/>
            </w:tabs>
            <w:rPr>
              <w:rFonts w:ascii="Arial" w:hAnsi="Arial" w:cs="Arial"/>
              <w:kern w:val="2"/>
              <w:sz w:val="20"/>
              <w:szCs w:val="20"/>
              <w:lang w:val="en-AU" w:eastAsia="en-AU"/>
              <w14:ligatures w14:val="standardContextual"/>
            </w:rPr>
          </w:pPr>
          <w:hyperlink w:anchor="_Toc220351602">
            <w:r>
              <w:rPr>
                <w:rStyle w:val="IndexLink"/>
                <w:rFonts w:cs="Arial" w:ascii="Arial" w:hAnsi="Arial"/>
                <w:webHidden/>
                <w:sz w:val="20"/>
                <w:szCs w:val="20"/>
                <w:lang w:val="en-AU" w:eastAsia="en-AU"/>
              </w:rPr>
              <w:t>5.1.</w:t>
            </w:r>
            <w:r>
              <w:rPr>
                <w:rStyle w:val="IndexLink"/>
                <w:rFonts w:cs="Arial" w:ascii="Arial" w:hAnsi="Arial"/>
                <w:kern w:val="2"/>
                <w:sz w:val="20"/>
                <w:szCs w:val="20"/>
                <w:lang w:val="en-AU" w:eastAsia="en-AU"/>
                <w14:ligatures w14:val="standardContextual"/>
              </w:rPr>
              <w:tab/>
            </w:r>
            <w:r>
              <w:rPr>
                <w:rStyle w:val="IndexLink"/>
                <w:rFonts w:cs="Arial" w:ascii="Arial" w:hAnsi="Arial"/>
                <w:sz w:val="20"/>
                <w:szCs w:val="20"/>
                <w:lang w:val="en-AU" w:eastAsia="en-AU"/>
              </w:rPr>
              <w:t>Accountability</w:t>
            </w:r>
            <w:r>
              <w:rPr>
                <w:webHidden/>
              </w:rPr>
              <w:fldChar w:fldCharType="begin"/>
            </w:r>
            <w:r>
              <w:rPr>
                <w:webHidden/>
              </w:rPr>
              <w:instrText xml:space="preserve">PAGEREF _Toc220351602 \h</w:instrText>
            </w:r>
            <w:r>
              <w:rPr>
                <w:webHidden/>
              </w:rPr>
              <w:fldChar w:fldCharType="separate"/>
            </w:r>
            <w:r>
              <w:rPr>
                <w:rStyle w:val="IndexLink"/>
                <w:rFonts w:cs="Arial" w:ascii="Arial" w:hAnsi="Arial"/>
                <w:vanish w:val="false"/>
                <w:sz w:val="20"/>
                <w:szCs w:val="20"/>
              </w:rPr>
              <w:tab/>
              <w:t>13</w:t>
            </w:r>
            <w:r>
              <w:rPr>
                <w:webHidden/>
              </w:rPr>
              <w:fldChar w:fldCharType="end"/>
            </w:r>
          </w:hyperlink>
        </w:p>
        <w:p>
          <w:pPr>
            <w:pStyle w:val="TOC4"/>
            <w:tabs>
              <w:tab w:val="clear" w:pos="720"/>
              <w:tab w:val="right" w:pos="9016" w:leader="dot"/>
            </w:tabs>
            <w:rPr>
              <w:rFonts w:eastAsia="" w:cs="Arial" w:eastAsiaTheme="minorEastAsia"/>
              <w:sz w:val="20"/>
              <w:szCs w:val="20"/>
              <w:lang w:val="en-AU" w:eastAsia="en-AU"/>
            </w:rPr>
          </w:pPr>
          <w:hyperlink w:anchor="_Toc220351603">
            <w:r>
              <w:rPr>
                <w:rStyle w:val="IndexLink"/>
                <w:rFonts w:cs="Arial"/>
                <w:webHidden/>
                <w:sz w:val="20"/>
                <w:szCs w:val="20"/>
              </w:rPr>
              <w:t>Table 6 - Accountability FAIRA domain risk profile</w:t>
            </w:r>
            <w:r>
              <w:rPr>
                <w:webHidden/>
              </w:rPr>
              <w:fldChar w:fldCharType="begin"/>
            </w:r>
            <w:r>
              <w:rPr>
                <w:webHidden/>
              </w:rPr>
              <w:instrText xml:space="preserve">PAGEREF _Toc220351603 \h</w:instrText>
            </w:r>
            <w:r>
              <w:rPr>
                <w:webHidden/>
              </w:rPr>
              <w:fldChar w:fldCharType="separate"/>
            </w:r>
            <w:r>
              <w:rPr>
                <w:rStyle w:val="IndexLink"/>
                <w:rFonts w:cs="Arial"/>
                <w:vanish w:val="false"/>
                <w:sz w:val="20"/>
                <w:szCs w:val="20"/>
              </w:rPr>
              <w:tab/>
              <w:t>15</w:t>
            </w:r>
            <w:r>
              <w:rPr>
                <w:webHidden/>
              </w:rPr>
              <w:fldChar w:fldCharType="end"/>
            </w:r>
          </w:hyperlink>
        </w:p>
        <w:p>
          <w:pPr>
            <w:pStyle w:val="TOC2"/>
            <w:tabs>
              <w:tab w:val="clear" w:pos="720"/>
              <w:tab w:val="left" w:pos="960" w:leader="none"/>
              <w:tab w:val="right" w:pos="9016" w:leader="dot"/>
            </w:tabs>
            <w:rPr>
              <w:rFonts w:ascii="Arial" w:hAnsi="Arial" w:cs="Arial"/>
              <w:kern w:val="2"/>
              <w:sz w:val="20"/>
              <w:szCs w:val="20"/>
              <w:lang w:val="en-AU" w:eastAsia="en-AU"/>
              <w14:ligatures w14:val="standardContextual"/>
            </w:rPr>
          </w:pPr>
          <w:hyperlink w:anchor="_Toc220351604">
            <w:r>
              <w:rPr>
                <w:rStyle w:val="IndexLink"/>
                <w:rFonts w:cs="Arial" w:ascii="Arial" w:hAnsi="Arial"/>
                <w:webHidden/>
                <w:sz w:val="20"/>
                <w:szCs w:val="20"/>
                <w:lang w:val="en-AU" w:eastAsia="en-AU"/>
              </w:rPr>
              <w:t>5.2.</w:t>
            </w:r>
            <w:r>
              <w:rPr>
                <w:rStyle w:val="IndexLink"/>
                <w:rFonts w:cs="Arial" w:ascii="Arial" w:hAnsi="Arial"/>
                <w:kern w:val="2"/>
                <w:sz w:val="20"/>
                <w:szCs w:val="20"/>
                <w:lang w:val="en-AU" w:eastAsia="en-AU"/>
                <w14:ligatures w14:val="standardContextual"/>
              </w:rPr>
              <w:tab/>
            </w:r>
            <w:r>
              <w:rPr>
                <w:rStyle w:val="IndexLink"/>
                <w:rFonts w:cs="Arial" w:ascii="Arial" w:hAnsi="Arial"/>
                <w:sz w:val="20"/>
                <w:szCs w:val="20"/>
                <w:lang w:val="en-AU" w:eastAsia="en-AU"/>
              </w:rPr>
              <w:t>Contestability</w:t>
            </w:r>
            <w:r>
              <w:rPr>
                <w:webHidden/>
              </w:rPr>
              <w:fldChar w:fldCharType="begin"/>
            </w:r>
            <w:r>
              <w:rPr>
                <w:webHidden/>
              </w:rPr>
              <w:instrText xml:space="preserve">PAGEREF _Toc220351604 \h</w:instrText>
            </w:r>
            <w:r>
              <w:rPr>
                <w:webHidden/>
              </w:rPr>
              <w:fldChar w:fldCharType="separate"/>
            </w:r>
            <w:r>
              <w:rPr>
                <w:rStyle w:val="IndexLink"/>
                <w:rFonts w:cs="Arial" w:ascii="Arial" w:hAnsi="Arial"/>
                <w:vanish w:val="false"/>
                <w:sz w:val="20"/>
                <w:szCs w:val="20"/>
              </w:rPr>
              <w:tab/>
              <w:t>15</w:t>
            </w:r>
            <w:r>
              <w:rPr>
                <w:webHidden/>
              </w:rPr>
              <w:fldChar w:fldCharType="end"/>
            </w:r>
          </w:hyperlink>
        </w:p>
        <w:p>
          <w:pPr>
            <w:pStyle w:val="TOC4"/>
            <w:tabs>
              <w:tab w:val="clear" w:pos="720"/>
              <w:tab w:val="right" w:pos="9016" w:leader="dot"/>
            </w:tabs>
            <w:rPr>
              <w:rFonts w:eastAsia="" w:cs="Arial" w:eastAsiaTheme="minorEastAsia"/>
              <w:sz w:val="20"/>
              <w:szCs w:val="20"/>
              <w:lang w:val="en-AU" w:eastAsia="en-AU"/>
            </w:rPr>
          </w:pPr>
          <w:hyperlink w:anchor="_Toc220351605">
            <w:r>
              <w:rPr>
                <w:rStyle w:val="IndexLink"/>
                <w:rFonts w:cs="Arial"/>
                <w:webHidden/>
                <w:sz w:val="20"/>
                <w:szCs w:val="20"/>
              </w:rPr>
              <w:t>Table 7 - Contestability FAIRA domain risk profile</w:t>
            </w:r>
            <w:r>
              <w:rPr>
                <w:webHidden/>
              </w:rPr>
              <w:fldChar w:fldCharType="begin"/>
            </w:r>
            <w:r>
              <w:rPr>
                <w:webHidden/>
              </w:rPr>
              <w:instrText xml:space="preserve">PAGEREF _Toc220351605 \h</w:instrText>
            </w:r>
            <w:r>
              <w:rPr>
                <w:webHidden/>
              </w:rPr>
              <w:fldChar w:fldCharType="separate"/>
            </w:r>
            <w:r>
              <w:rPr>
                <w:rStyle w:val="IndexLink"/>
                <w:rFonts w:cs="Arial"/>
                <w:vanish w:val="false"/>
                <w:sz w:val="20"/>
                <w:szCs w:val="20"/>
              </w:rPr>
              <w:tab/>
              <w:t>17</w:t>
            </w:r>
            <w:r>
              <w:rPr>
                <w:webHidden/>
              </w:rPr>
              <w:fldChar w:fldCharType="end"/>
            </w:r>
          </w:hyperlink>
        </w:p>
        <w:p>
          <w:pPr>
            <w:pStyle w:val="TOC2"/>
            <w:tabs>
              <w:tab w:val="clear" w:pos="720"/>
              <w:tab w:val="left" w:pos="960" w:leader="none"/>
              <w:tab w:val="right" w:pos="9016" w:leader="dot"/>
            </w:tabs>
            <w:rPr>
              <w:rFonts w:ascii="Arial" w:hAnsi="Arial" w:cs="Arial"/>
              <w:kern w:val="2"/>
              <w:sz w:val="20"/>
              <w:szCs w:val="20"/>
              <w:lang w:val="en-AU" w:eastAsia="en-AU"/>
              <w14:ligatures w14:val="standardContextual"/>
            </w:rPr>
          </w:pPr>
          <w:hyperlink w:anchor="_Toc220351606">
            <w:r>
              <w:rPr>
                <w:rStyle w:val="IndexLink"/>
                <w:rFonts w:cs="Arial" w:ascii="Arial" w:hAnsi="Arial"/>
                <w:webHidden/>
                <w:sz w:val="20"/>
                <w:szCs w:val="20"/>
                <w:lang w:val="en-AU" w:eastAsia="en-AU"/>
              </w:rPr>
              <w:t>5.3.</w:t>
            </w:r>
            <w:r>
              <w:rPr>
                <w:rStyle w:val="IndexLink"/>
                <w:rFonts w:cs="Arial" w:ascii="Arial" w:hAnsi="Arial"/>
                <w:kern w:val="2"/>
                <w:sz w:val="20"/>
                <w:szCs w:val="20"/>
                <w:lang w:val="en-AU" w:eastAsia="en-AU"/>
                <w14:ligatures w14:val="standardContextual"/>
              </w:rPr>
              <w:tab/>
            </w:r>
            <w:r>
              <w:rPr>
                <w:rStyle w:val="IndexLink"/>
                <w:rFonts w:cs="Arial" w:ascii="Arial" w:hAnsi="Arial"/>
                <w:sz w:val="20"/>
                <w:szCs w:val="20"/>
                <w:lang w:val="en-AU" w:eastAsia="en-AU"/>
              </w:rPr>
              <w:t>Fairness</w:t>
            </w:r>
            <w:r>
              <w:rPr>
                <w:webHidden/>
              </w:rPr>
              <w:fldChar w:fldCharType="begin"/>
            </w:r>
            <w:r>
              <w:rPr>
                <w:webHidden/>
              </w:rPr>
              <w:instrText xml:space="preserve">PAGEREF _Toc220351606 \h</w:instrText>
            </w:r>
            <w:r>
              <w:rPr>
                <w:webHidden/>
              </w:rPr>
              <w:fldChar w:fldCharType="separate"/>
            </w:r>
            <w:r>
              <w:rPr>
                <w:rStyle w:val="IndexLink"/>
                <w:rFonts w:cs="Arial" w:ascii="Arial" w:hAnsi="Arial"/>
                <w:vanish w:val="false"/>
                <w:sz w:val="20"/>
                <w:szCs w:val="20"/>
              </w:rPr>
              <w:tab/>
              <w:t>17</w:t>
            </w:r>
            <w:r>
              <w:rPr>
                <w:webHidden/>
              </w:rPr>
              <w:fldChar w:fldCharType="end"/>
            </w:r>
          </w:hyperlink>
        </w:p>
        <w:p>
          <w:pPr>
            <w:pStyle w:val="TOC4"/>
            <w:tabs>
              <w:tab w:val="clear" w:pos="720"/>
              <w:tab w:val="right" w:pos="9016" w:leader="dot"/>
            </w:tabs>
            <w:rPr>
              <w:rFonts w:eastAsia="" w:cs="Arial" w:eastAsiaTheme="minorEastAsia"/>
              <w:sz w:val="20"/>
              <w:szCs w:val="20"/>
              <w:lang w:val="en-AU" w:eastAsia="en-AU"/>
            </w:rPr>
          </w:pPr>
          <w:hyperlink w:anchor="_Toc220351607">
            <w:r>
              <w:rPr>
                <w:rStyle w:val="IndexLink"/>
                <w:rFonts w:cs="Arial"/>
                <w:webHidden/>
                <w:sz w:val="20"/>
                <w:szCs w:val="20"/>
              </w:rPr>
              <w:t>Table 8 - Fairness FAIRA domain risk profile</w:t>
            </w:r>
            <w:r>
              <w:rPr>
                <w:webHidden/>
              </w:rPr>
              <w:fldChar w:fldCharType="begin"/>
            </w:r>
            <w:r>
              <w:rPr>
                <w:webHidden/>
              </w:rPr>
              <w:instrText xml:space="preserve">PAGEREF _Toc220351607 \h</w:instrText>
            </w:r>
            <w:r>
              <w:rPr>
                <w:webHidden/>
              </w:rPr>
              <w:fldChar w:fldCharType="separate"/>
            </w:r>
            <w:r>
              <w:rPr>
                <w:rStyle w:val="IndexLink"/>
                <w:rFonts w:cs="Arial"/>
                <w:vanish w:val="false"/>
                <w:sz w:val="20"/>
                <w:szCs w:val="20"/>
              </w:rPr>
              <w:tab/>
              <w:t>19</w:t>
            </w:r>
            <w:r>
              <w:rPr>
                <w:webHidden/>
              </w:rPr>
              <w:fldChar w:fldCharType="end"/>
            </w:r>
          </w:hyperlink>
        </w:p>
        <w:p>
          <w:pPr>
            <w:pStyle w:val="TOC2"/>
            <w:tabs>
              <w:tab w:val="clear" w:pos="720"/>
              <w:tab w:val="left" w:pos="960" w:leader="none"/>
              <w:tab w:val="right" w:pos="9016" w:leader="dot"/>
            </w:tabs>
            <w:rPr>
              <w:rFonts w:ascii="Arial" w:hAnsi="Arial" w:cs="Arial"/>
              <w:kern w:val="2"/>
              <w:sz w:val="20"/>
              <w:szCs w:val="20"/>
              <w:lang w:val="en-AU" w:eastAsia="en-AU"/>
              <w14:ligatures w14:val="standardContextual"/>
            </w:rPr>
          </w:pPr>
          <w:hyperlink w:anchor="_Toc220351608">
            <w:r>
              <w:rPr>
                <w:rStyle w:val="IndexLink"/>
                <w:rFonts w:cs="Arial" w:ascii="Arial" w:hAnsi="Arial"/>
                <w:webHidden/>
                <w:sz w:val="20"/>
                <w:szCs w:val="20"/>
                <w:lang w:val="en-AU" w:eastAsia="en-AU"/>
              </w:rPr>
              <w:t>5.4.</w:t>
            </w:r>
            <w:r>
              <w:rPr>
                <w:rStyle w:val="IndexLink"/>
                <w:rFonts w:cs="Arial" w:ascii="Arial" w:hAnsi="Arial"/>
                <w:kern w:val="2"/>
                <w:sz w:val="20"/>
                <w:szCs w:val="20"/>
                <w:lang w:val="en-AU" w:eastAsia="en-AU"/>
                <w14:ligatures w14:val="standardContextual"/>
              </w:rPr>
              <w:tab/>
            </w:r>
            <w:r>
              <w:rPr>
                <w:rStyle w:val="IndexLink"/>
                <w:rFonts w:cs="Arial" w:ascii="Arial" w:hAnsi="Arial"/>
                <w:sz w:val="20"/>
                <w:szCs w:val="20"/>
                <w:lang w:val="en-AU" w:eastAsia="en-AU"/>
              </w:rPr>
              <w:t>Human, Societal and Environmental Wellbeing</w:t>
            </w:r>
            <w:r>
              <w:rPr>
                <w:webHidden/>
              </w:rPr>
              <w:fldChar w:fldCharType="begin"/>
            </w:r>
            <w:r>
              <w:rPr>
                <w:webHidden/>
              </w:rPr>
              <w:instrText xml:space="preserve">PAGEREF _Toc220351608 \h</w:instrText>
            </w:r>
            <w:r>
              <w:rPr>
                <w:webHidden/>
              </w:rPr>
              <w:fldChar w:fldCharType="separate"/>
            </w:r>
            <w:r>
              <w:rPr>
                <w:rStyle w:val="IndexLink"/>
                <w:rFonts w:cs="Arial" w:ascii="Arial" w:hAnsi="Arial"/>
                <w:vanish w:val="false"/>
                <w:sz w:val="20"/>
                <w:szCs w:val="20"/>
              </w:rPr>
              <w:tab/>
              <w:t>19</w:t>
            </w:r>
            <w:r>
              <w:rPr>
                <w:webHidden/>
              </w:rPr>
              <w:fldChar w:fldCharType="end"/>
            </w:r>
          </w:hyperlink>
        </w:p>
        <w:p>
          <w:pPr>
            <w:pStyle w:val="TOC4"/>
            <w:tabs>
              <w:tab w:val="clear" w:pos="720"/>
              <w:tab w:val="right" w:pos="9016" w:leader="dot"/>
            </w:tabs>
            <w:rPr>
              <w:rFonts w:eastAsia="" w:cs="Arial" w:eastAsiaTheme="minorEastAsia"/>
              <w:sz w:val="20"/>
              <w:szCs w:val="20"/>
              <w:lang w:val="en-AU" w:eastAsia="en-AU"/>
            </w:rPr>
          </w:pPr>
          <w:hyperlink w:anchor="_Toc220351609">
            <w:r>
              <w:rPr>
                <w:rStyle w:val="IndexLink"/>
                <w:rFonts w:cs="Arial"/>
                <w:webHidden/>
                <w:sz w:val="20"/>
                <w:szCs w:val="20"/>
              </w:rPr>
              <w:t>Table 9 - Human, Societal and Environmental Wellbeing FAIRA domain risk profile</w:t>
            </w:r>
            <w:r>
              <w:rPr>
                <w:webHidden/>
              </w:rPr>
              <w:fldChar w:fldCharType="begin"/>
            </w:r>
            <w:r>
              <w:rPr>
                <w:webHidden/>
              </w:rPr>
              <w:instrText xml:space="preserve">PAGEREF _Toc220351609 \h</w:instrText>
            </w:r>
            <w:r>
              <w:rPr>
                <w:webHidden/>
              </w:rPr>
              <w:fldChar w:fldCharType="separate"/>
            </w:r>
            <w:r>
              <w:rPr>
                <w:rStyle w:val="IndexLink"/>
                <w:rFonts w:cs="Arial"/>
                <w:vanish w:val="false"/>
                <w:sz w:val="20"/>
                <w:szCs w:val="20"/>
              </w:rPr>
              <w:tab/>
              <w:t>21</w:t>
            </w:r>
            <w:r>
              <w:rPr>
                <w:webHidden/>
              </w:rPr>
              <w:fldChar w:fldCharType="end"/>
            </w:r>
          </w:hyperlink>
        </w:p>
        <w:p>
          <w:pPr>
            <w:pStyle w:val="TOC2"/>
            <w:tabs>
              <w:tab w:val="clear" w:pos="720"/>
              <w:tab w:val="left" w:pos="960" w:leader="none"/>
              <w:tab w:val="right" w:pos="9016" w:leader="dot"/>
            </w:tabs>
            <w:rPr>
              <w:rFonts w:ascii="Arial" w:hAnsi="Arial" w:cs="Arial"/>
              <w:kern w:val="2"/>
              <w:sz w:val="20"/>
              <w:szCs w:val="20"/>
              <w:lang w:val="en-AU" w:eastAsia="en-AU"/>
              <w14:ligatures w14:val="standardContextual"/>
            </w:rPr>
          </w:pPr>
          <w:hyperlink w:anchor="_Toc220351610">
            <w:r>
              <w:rPr>
                <w:rStyle w:val="IndexLink"/>
                <w:rFonts w:cs="Arial" w:ascii="Arial" w:hAnsi="Arial"/>
                <w:webHidden/>
                <w:sz w:val="20"/>
                <w:szCs w:val="20"/>
                <w:lang w:val="en-AU" w:eastAsia="en-AU"/>
              </w:rPr>
              <w:t>5.5.</w:t>
            </w:r>
            <w:r>
              <w:rPr>
                <w:rStyle w:val="IndexLink"/>
                <w:rFonts w:cs="Arial" w:ascii="Arial" w:hAnsi="Arial"/>
                <w:kern w:val="2"/>
                <w:sz w:val="20"/>
                <w:szCs w:val="20"/>
                <w:lang w:val="en-AU" w:eastAsia="en-AU"/>
                <w14:ligatures w14:val="standardContextual"/>
              </w:rPr>
              <w:tab/>
            </w:r>
            <w:r>
              <w:rPr>
                <w:rStyle w:val="IndexLink"/>
                <w:rFonts w:cs="Arial" w:ascii="Arial" w:hAnsi="Arial"/>
                <w:sz w:val="20"/>
                <w:szCs w:val="20"/>
                <w:lang w:val="en-AU" w:eastAsia="en-AU"/>
              </w:rPr>
              <w:t>Human-Centred Values</w:t>
            </w:r>
            <w:r>
              <w:rPr>
                <w:webHidden/>
              </w:rPr>
              <w:fldChar w:fldCharType="begin"/>
            </w:r>
            <w:r>
              <w:rPr>
                <w:webHidden/>
              </w:rPr>
              <w:instrText xml:space="preserve">PAGEREF _Toc220351610 \h</w:instrText>
            </w:r>
            <w:r>
              <w:rPr>
                <w:webHidden/>
              </w:rPr>
              <w:fldChar w:fldCharType="separate"/>
            </w:r>
            <w:r>
              <w:rPr>
                <w:rStyle w:val="IndexLink"/>
                <w:rFonts w:cs="Arial" w:ascii="Arial" w:hAnsi="Arial"/>
                <w:vanish w:val="false"/>
                <w:sz w:val="20"/>
                <w:szCs w:val="20"/>
              </w:rPr>
              <w:tab/>
              <w:t>21</w:t>
            </w:r>
            <w:r>
              <w:rPr>
                <w:webHidden/>
              </w:rPr>
              <w:fldChar w:fldCharType="end"/>
            </w:r>
          </w:hyperlink>
        </w:p>
        <w:p>
          <w:pPr>
            <w:pStyle w:val="TOC4"/>
            <w:tabs>
              <w:tab w:val="clear" w:pos="720"/>
              <w:tab w:val="right" w:pos="9016" w:leader="dot"/>
            </w:tabs>
            <w:rPr>
              <w:rFonts w:eastAsia="" w:cs="Arial" w:eastAsiaTheme="minorEastAsia"/>
              <w:sz w:val="20"/>
              <w:szCs w:val="20"/>
              <w:lang w:val="en-AU" w:eastAsia="en-AU"/>
            </w:rPr>
          </w:pPr>
          <w:hyperlink w:anchor="_Toc220351611">
            <w:r>
              <w:rPr>
                <w:rStyle w:val="IndexLink"/>
                <w:rFonts w:cs="Arial"/>
                <w:webHidden/>
                <w:sz w:val="20"/>
                <w:szCs w:val="20"/>
              </w:rPr>
              <w:t>Table 10 - Human-Centred Values FAIRA domain risk profile</w:t>
            </w:r>
            <w:r>
              <w:rPr>
                <w:webHidden/>
              </w:rPr>
              <w:fldChar w:fldCharType="begin"/>
            </w:r>
            <w:r>
              <w:rPr>
                <w:webHidden/>
              </w:rPr>
              <w:instrText xml:space="preserve">PAGEREF _Toc220351611 \h</w:instrText>
            </w:r>
            <w:r>
              <w:rPr>
                <w:webHidden/>
              </w:rPr>
              <w:fldChar w:fldCharType="separate"/>
            </w:r>
            <w:r>
              <w:rPr>
                <w:rStyle w:val="IndexLink"/>
                <w:rFonts w:cs="Arial"/>
                <w:vanish w:val="false"/>
                <w:sz w:val="20"/>
                <w:szCs w:val="20"/>
              </w:rPr>
              <w:tab/>
              <w:t>23</w:t>
            </w:r>
            <w:r>
              <w:rPr>
                <w:webHidden/>
              </w:rPr>
              <w:fldChar w:fldCharType="end"/>
            </w:r>
          </w:hyperlink>
        </w:p>
        <w:p>
          <w:pPr>
            <w:pStyle w:val="TOC2"/>
            <w:tabs>
              <w:tab w:val="clear" w:pos="720"/>
              <w:tab w:val="left" w:pos="960" w:leader="none"/>
              <w:tab w:val="right" w:pos="9016" w:leader="dot"/>
            </w:tabs>
            <w:rPr>
              <w:rFonts w:ascii="Arial" w:hAnsi="Arial" w:cs="Arial"/>
              <w:kern w:val="2"/>
              <w:sz w:val="20"/>
              <w:szCs w:val="20"/>
              <w:lang w:val="en-AU" w:eastAsia="en-AU"/>
              <w14:ligatures w14:val="standardContextual"/>
            </w:rPr>
          </w:pPr>
          <w:hyperlink w:anchor="_Toc220351612">
            <w:r>
              <w:rPr>
                <w:rStyle w:val="IndexLink"/>
                <w:rFonts w:cs="Arial" w:ascii="Arial" w:hAnsi="Arial"/>
                <w:webHidden/>
                <w:sz w:val="20"/>
                <w:szCs w:val="20"/>
                <w:lang w:val="en-AU" w:eastAsia="en-AU"/>
              </w:rPr>
              <w:t>5.6.</w:t>
            </w:r>
            <w:r>
              <w:rPr>
                <w:rStyle w:val="IndexLink"/>
                <w:rFonts w:cs="Arial" w:ascii="Arial" w:hAnsi="Arial"/>
                <w:kern w:val="2"/>
                <w:sz w:val="20"/>
                <w:szCs w:val="20"/>
                <w:lang w:val="en-AU" w:eastAsia="en-AU"/>
                <w14:ligatures w14:val="standardContextual"/>
              </w:rPr>
              <w:tab/>
            </w:r>
            <w:r>
              <w:rPr>
                <w:rStyle w:val="IndexLink"/>
                <w:rFonts w:cs="Arial" w:ascii="Arial" w:hAnsi="Arial"/>
                <w:sz w:val="20"/>
                <w:szCs w:val="20"/>
                <w:lang w:val="en-AU" w:eastAsia="en-AU"/>
              </w:rPr>
              <w:t>Privacy Protection and Security</w:t>
            </w:r>
            <w:r>
              <w:rPr>
                <w:webHidden/>
              </w:rPr>
              <w:fldChar w:fldCharType="begin"/>
            </w:r>
            <w:r>
              <w:rPr>
                <w:webHidden/>
              </w:rPr>
              <w:instrText xml:space="preserve">PAGEREF _Toc220351612 \h</w:instrText>
            </w:r>
            <w:r>
              <w:rPr>
                <w:webHidden/>
              </w:rPr>
              <w:fldChar w:fldCharType="separate"/>
            </w:r>
            <w:r>
              <w:rPr>
                <w:rStyle w:val="IndexLink"/>
                <w:rFonts w:cs="Arial" w:ascii="Arial" w:hAnsi="Arial"/>
                <w:vanish w:val="false"/>
                <w:sz w:val="20"/>
                <w:szCs w:val="20"/>
              </w:rPr>
              <w:tab/>
              <w:t>23</w:t>
            </w:r>
            <w:r>
              <w:rPr>
                <w:webHidden/>
              </w:rPr>
              <w:fldChar w:fldCharType="end"/>
            </w:r>
          </w:hyperlink>
        </w:p>
        <w:p>
          <w:pPr>
            <w:pStyle w:val="TOC2"/>
            <w:tabs>
              <w:tab w:val="clear" w:pos="720"/>
              <w:tab w:val="left" w:pos="960" w:leader="none"/>
              <w:tab w:val="right" w:pos="9016" w:leader="dot"/>
            </w:tabs>
            <w:rPr>
              <w:rFonts w:ascii="Arial" w:hAnsi="Arial" w:cs="Arial"/>
              <w:kern w:val="2"/>
              <w:sz w:val="20"/>
              <w:szCs w:val="20"/>
              <w:lang w:val="en-AU" w:eastAsia="en-AU"/>
              <w14:ligatures w14:val="standardContextual"/>
            </w:rPr>
          </w:pPr>
          <w:hyperlink w:anchor="_Toc220351613">
            <w:r>
              <w:rPr>
                <w:rStyle w:val="IndexLink"/>
                <w:rFonts w:cs="Arial" w:ascii="Arial" w:hAnsi="Arial"/>
                <w:webHidden/>
                <w:sz w:val="20"/>
                <w:szCs w:val="20"/>
                <w:lang w:val="en-AU" w:eastAsia="en-AU"/>
              </w:rPr>
              <w:t>5.7.</w:t>
            </w:r>
            <w:r>
              <w:rPr>
                <w:rStyle w:val="IndexLink"/>
                <w:rFonts w:cs="Arial" w:ascii="Arial" w:hAnsi="Arial"/>
                <w:kern w:val="2"/>
                <w:sz w:val="20"/>
                <w:szCs w:val="20"/>
                <w:lang w:val="en-AU" w:eastAsia="en-AU"/>
                <w14:ligatures w14:val="standardContextual"/>
              </w:rPr>
              <w:tab/>
            </w:r>
            <w:r>
              <w:rPr>
                <w:rStyle w:val="IndexLink"/>
                <w:rFonts w:cs="Arial" w:ascii="Arial" w:hAnsi="Arial"/>
                <w:sz w:val="20"/>
                <w:szCs w:val="20"/>
                <w:lang w:val="en-AU" w:eastAsia="en-AU"/>
              </w:rPr>
              <w:t>Reliability and Safety</w:t>
            </w:r>
            <w:r>
              <w:rPr>
                <w:webHidden/>
              </w:rPr>
              <w:fldChar w:fldCharType="begin"/>
            </w:r>
            <w:r>
              <w:rPr>
                <w:webHidden/>
              </w:rPr>
              <w:instrText xml:space="preserve">PAGEREF _Toc220351613 \h</w:instrText>
            </w:r>
            <w:r>
              <w:rPr>
                <w:webHidden/>
              </w:rPr>
              <w:fldChar w:fldCharType="separate"/>
            </w:r>
            <w:r>
              <w:rPr>
                <w:rStyle w:val="IndexLink"/>
                <w:rFonts w:cs="Arial" w:ascii="Arial" w:hAnsi="Arial"/>
                <w:vanish w:val="false"/>
                <w:sz w:val="20"/>
                <w:szCs w:val="20"/>
              </w:rPr>
              <w:tab/>
              <w:t>25</w:t>
            </w:r>
            <w:r>
              <w:rPr>
                <w:webHidden/>
              </w:rPr>
              <w:fldChar w:fldCharType="end"/>
            </w:r>
          </w:hyperlink>
        </w:p>
        <w:p>
          <w:pPr>
            <w:pStyle w:val="TOC2"/>
            <w:tabs>
              <w:tab w:val="clear" w:pos="720"/>
              <w:tab w:val="left" w:pos="960" w:leader="none"/>
              <w:tab w:val="right" w:pos="9016" w:leader="dot"/>
            </w:tabs>
            <w:rPr>
              <w:rFonts w:ascii="Arial" w:hAnsi="Arial" w:cs="Arial"/>
              <w:kern w:val="2"/>
              <w:sz w:val="20"/>
              <w:szCs w:val="20"/>
              <w:lang w:val="en-AU" w:eastAsia="en-AU"/>
              <w14:ligatures w14:val="standardContextual"/>
            </w:rPr>
          </w:pPr>
          <w:hyperlink w:anchor="_Toc220351614">
            <w:r>
              <w:rPr>
                <w:rStyle w:val="IndexLink"/>
                <w:rFonts w:cs="Arial" w:ascii="Arial" w:hAnsi="Arial"/>
                <w:webHidden/>
                <w:sz w:val="20"/>
                <w:szCs w:val="20"/>
                <w:lang w:val="en-AU" w:eastAsia="en-AU"/>
              </w:rPr>
              <w:t>5.8.</w:t>
            </w:r>
            <w:r>
              <w:rPr>
                <w:rStyle w:val="IndexLink"/>
                <w:rFonts w:cs="Arial" w:ascii="Arial" w:hAnsi="Arial"/>
                <w:kern w:val="2"/>
                <w:sz w:val="20"/>
                <w:szCs w:val="20"/>
                <w:lang w:val="en-AU" w:eastAsia="en-AU"/>
                <w14:ligatures w14:val="standardContextual"/>
              </w:rPr>
              <w:tab/>
            </w:r>
            <w:r>
              <w:rPr>
                <w:rStyle w:val="IndexLink"/>
                <w:rFonts w:cs="Arial" w:ascii="Arial" w:hAnsi="Arial"/>
                <w:sz w:val="20"/>
                <w:szCs w:val="20"/>
                <w:lang w:val="en-AU" w:eastAsia="en-AU"/>
              </w:rPr>
              <w:t>Transparency and Explainability</w:t>
            </w:r>
            <w:r>
              <w:rPr>
                <w:webHidden/>
              </w:rPr>
              <w:fldChar w:fldCharType="begin"/>
            </w:r>
            <w:r>
              <w:rPr>
                <w:webHidden/>
              </w:rPr>
              <w:instrText xml:space="preserve">PAGEREF _Toc220351614 \h</w:instrText>
            </w:r>
            <w:r>
              <w:rPr>
                <w:webHidden/>
              </w:rPr>
              <w:fldChar w:fldCharType="separate"/>
            </w:r>
            <w:r>
              <w:rPr>
                <w:rStyle w:val="IndexLink"/>
                <w:rFonts w:cs="Arial" w:ascii="Arial" w:hAnsi="Arial"/>
                <w:vanish w:val="false"/>
                <w:sz w:val="20"/>
                <w:szCs w:val="20"/>
              </w:rPr>
              <w:tab/>
              <w:t>27</w:t>
            </w:r>
            <w:r>
              <w:rPr>
                <w:webHidden/>
              </w:rPr>
              <w:fldChar w:fldCharType="end"/>
            </w:r>
          </w:hyperlink>
        </w:p>
        <w:p>
          <w:pPr>
            <w:pStyle w:val="TOC4"/>
            <w:tabs>
              <w:tab w:val="clear" w:pos="720"/>
              <w:tab w:val="right" w:pos="9016" w:leader="dot"/>
            </w:tabs>
            <w:rPr>
              <w:rFonts w:eastAsia="" w:cs="Arial" w:eastAsiaTheme="minorEastAsia"/>
              <w:sz w:val="20"/>
              <w:szCs w:val="20"/>
              <w:lang w:val="en-AU" w:eastAsia="en-AU"/>
            </w:rPr>
          </w:pPr>
          <w:hyperlink w:anchor="_Toc220351615">
            <w:r>
              <w:rPr>
                <w:rStyle w:val="IndexLink"/>
                <w:rFonts w:cs="Arial"/>
                <w:webHidden/>
                <w:sz w:val="20"/>
                <w:szCs w:val="20"/>
              </w:rPr>
              <w:t>Table 11 - Transparency and Explainability FAIRA risk domain profile</w:t>
            </w:r>
            <w:r>
              <w:rPr>
                <w:webHidden/>
              </w:rPr>
              <w:fldChar w:fldCharType="begin"/>
            </w:r>
            <w:r>
              <w:rPr>
                <w:webHidden/>
              </w:rPr>
              <w:instrText xml:space="preserve">PAGEREF _Toc220351615 \h</w:instrText>
            </w:r>
            <w:r>
              <w:rPr>
                <w:webHidden/>
              </w:rPr>
              <w:fldChar w:fldCharType="separate"/>
            </w:r>
            <w:r>
              <w:rPr>
                <w:rStyle w:val="IndexLink"/>
                <w:rFonts w:cs="Arial"/>
                <w:vanish w:val="false"/>
                <w:sz w:val="20"/>
                <w:szCs w:val="20"/>
              </w:rPr>
              <w:tab/>
              <w:t>28</w:t>
            </w:r>
            <w:r>
              <w:rPr>
                <w:webHidden/>
              </w:rPr>
              <w:fldChar w:fldCharType="end"/>
            </w:r>
          </w:hyperlink>
        </w:p>
        <w:p>
          <w:pPr>
            <w:pStyle w:val="TOC1"/>
            <w:tabs>
              <w:tab w:val="clear" w:pos="720"/>
              <w:tab w:val="left" w:pos="480" w:leader="none"/>
              <w:tab w:val="right" w:pos="9016" w:leader="dot"/>
            </w:tabs>
            <w:rPr>
              <w:rFonts w:ascii="Arial" w:hAnsi="Arial" w:cs="Arial"/>
              <w:kern w:val="2"/>
              <w:sz w:val="20"/>
              <w:szCs w:val="20"/>
              <w:lang w:val="en-AU" w:eastAsia="en-AU"/>
              <w14:ligatures w14:val="standardContextual"/>
            </w:rPr>
          </w:pPr>
          <w:hyperlink w:anchor="_Toc220351616">
            <w:r>
              <w:rPr>
                <w:rStyle w:val="IndexLink"/>
                <w:rFonts w:cs="Arial" w:ascii="Arial" w:hAnsi="Arial"/>
                <w:webHidden/>
                <w:sz w:val="20"/>
                <w:szCs w:val="20"/>
                <w:lang w:val="en-AU" w:eastAsia="en-AU"/>
              </w:rPr>
              <w:t>6.</w:t>
            </w:r>
            <w:r>
              <w:rPr>
                <w:rStyle w:val="IndexLink"/>
                <w:rFonts w:cs="Arial" w:ascii="Arial" w:hAnsi="Arial"/>
                <w:kern w:val="2"/>
                <w:sz w:val="20"/>
                <w:szCs w:val="20"/>
                <w:lang w:val="en-AU" w:eastAsia="en-AU"/>
                <w14:ligatures w14:val="standardContextual"/>
              </w:rPr>
              <w:tab/>
            </w:r>
            <w:r>
              <w:rPr>
                <w:rStyle w:val="IndexLink"/>
                <w:rFonts w:cs="Arial" w:ascii="Arial" w:hAnsi="Arial"/>
                <w:sz w:val="20"/>
                <w:szCs w:val="20"/>
                <w:lang w:val="en-AU" w:eastAsia="en-AU"/>
              </w:rPr>
              <w:t>Top Risk Areas</w:t>
            </w:r>
            <w:r>
              <w:rPr>
                <w:webHidden/>
              </w:rPr>
              <w:fldChar w:fldCharType="begin"/>
            </w:r>
            <w:r>
              <w:rPr>
                <w:webHidden/>
              </w:rPr>
              <w:instrText xml:space="preserve">PAGEREF _Toc220351616 \h</w:instrText>
            </w:r>
            <w:r>
              <w:rPr>
                <w:webHidden/>
              </w:rPr>
              <w:fldChar w:fldCharType="separate"/>
            </w:r>
            <w:r>
              <w:rPr>
                <w:rStyle w:val="IndexLink"/>
                <w:rFonts w:cs="Arial" w:ascii="Arial" w:hAnsi="Arial"/>
                <w:vanish w:val="false"/>
                <w:sz w:val="20"/>
                <w:szCs w:val="20"/>
              </w:rPr>
              <w:tab/>
              <w:t>29</w:t>
            </w:r>
            <w:r>
              <w:rPr>
                <w:webHidden/>
              </w:rPr>
              <w:fldChar w:fldCharType="end"/>
            </w:r>
          </w:hyperlink>
        </w:p>
        <w:p>
          <w:pPr>
            <w:pStyle w:val="TOC1"/>
            <w:tabs>
              <w:tab w:val="clear" w:pos="720"/>
              <w:tab w:val="left" w:pos="480" w:leader="none"/>
              <w:tab w:val="right" w:pos="9016" w:leader="dot"/>
            </w:tabs>
            <w:rPr>
              <w:rFonts w:ascii="Arial" w:hAnsi="Arial" w:cs="Arial"/>
              <w:kern w:val="2"/>
              <w:sz w:val="20"/>
              <w:szCs w:val="20"/>
              <w:lang w:val="en-AU" w:eastAsia="en-AU"/>
              <w14:ligatures w14:val="standardContextual"/>
            </w:rPr>
          </w:pPr>
          <w:hyperlink w:anchor="_Toc220351617">
            <w:r>
              <w:rPr>
                <w:rStyle w:val="IndexLink"/>
                <w:rFonts w:cs="Arial" w:ascii="Arial" w:hAnsi="Arial"/>
                <w:webHidden/>
                <w:sz w:val="20"/>
                <w:szCs w:val="20"/>
                <w:lang w:val="en-AU" w:eastAsia="en-AU"/>
              </w:rPr>
              <w:t>7.</w:t>
            </w:r>
            <w:r>
              <w:rPr>
                <w:rStyle w:val="IndexLink"/>
                <w:rFonts w:cs="Arial" w:ascii="Arial" w:hAnsi="Arial"/>
                <w:kern w:val="2"/>
                <w:sz w:val="20"/>
                <w:szCs w:val="20"/>
                <w:lang w:val="en-AU" w:eastAsia="en-AU"/>
                <w14:ligatures w14:val="standardContextual"/>
              </w:rPr>
              <w:tab/>
            </w:r>
            <w:r>
              <w:rPr>
                <w:rStyle w:val="IndexLink"/>
                <w:rFonts w:cs="Arial" w:ascii="Arial" w:hAnsi="Arial"/>
                <w:sz w:val="20"/>
                <w:szCs w:val="20"/>
                <w:lang w:val="en-AU" w:eastAsia="en-AU"/>
              </w:rPr>
              <w:t>Part C – Controls and Mitigations</w:t>
            </w:r>
            <w:r>
              <w:rPr>
                <w:webHidden/>
              </w:rPr>
              <w:fldChar w:fldCharType="begin"/>
            </w:r>
            <w:r>
              <w:rPr>
                <w:webHidden/>
              </w:rPr>
              <w:instrText xml:space="preserve">PAGEREF _Toc220351617 \h</w:instrText>
            </w:r>
            <w:r>
              <w:rPr>
                <w:webHidden/>
              </w:rPr>
              <w:fldChar w:fldCharType="separate"/>
            </w:r>
            <w:r>
              <w:rPr>
                <w:rStyle w:val="IndexLink"/>
                <w:rFonts w:cs="Arial" w:ascii="Arial" w:hAnsi="Arial"/>
                <w:vanish w:val="false"/>
                <w:sz w:val="20"/>
                <w:szCs w:val="20"/>
              </w:rPr>
              <w:tab/>
              <w:t>30</w:t>
            </w:r>
            <w:r>
              <w:rPr>
                <w:webHidden/>
              </w:rPr>
              <w:fldChar w:fldCharType="end"/>
            </w:r>
          </w:hyperlink>
        </w:p>
        <w:p>
          <w:pPr>
            <w:pStyle w:val="TOC2"/>
            <w:tabs>
              <w:tab w:val="clear" w:pos="720"/>
              <w:tab w:val="left" w:pos="960" w:leader="none"/>
              <w:tab w:val="right" w:pos="9016" w:leader="dot"/>
            </w:tabs>
            <w:rPr>
              <w:rFonts w:ascii="Arial" w:hAnsi="Arial" w:cs="Arial"/>
              <w:kern w:val="2"/>
              <w:sz w:val="20"/>
              <w:szCs w:val="20"/>
              <w:lang w:val="en-AU" w:eastAsia="en-AU"/>
              <w14:ligatures w14:val="standardContextual"/>
            </w:rPr>
          </w:pPr>
          <w:hyperlink w:anchor="_Toc220351618">
            <w:r>
              <w:rPr>
                <w:rStyle w:val="IndexLink"/>
                <w:rFonts w:cs="Arial" w:ascii="Arial" w:hAnsi="Arial"/>
                <w:webHidden/>
                <w:sz w:val="20"/>
                <w:szCs w:val="20"/>
                <w:lang w:val="en-AU" w:eastAsia="en-AU"/>
              </w:rPr>
              <w:t>7.1.</w:t>
            </w:r>
            <w:r>
              <w:rPr>
                <w:rStyle w:val="IndexLink"/>
                <w:rFonts w:cs="Arial" w:ascii="Arial" w:hAnsi="Arial"/>
                <w:kern w:val="2"/>
                <w:sz w:val="20"/>
                <w:szCs w:val="20"/>
                <w:lang w:val="en-AU" w:eastAsia="en-AU"/>
                <w14:ligatures w14:val="standardContextual"/>
              </w:rPr>
              <w:tab/>
            </w:r>
            <w:r>
              <w:rPr>
                <w:rStyle w:val="IndexLink"/>
                <w:rFonts w:cs="Arial" w:ascii="Arial" w:hAnsi="Arial"/>
                <w:sz w:val="20"/>
                <w:szCs w:val="20"/>
                <w:lang w:val="en-AU" w:eastAsia="en-AU"/>
              </w:rPr>
              <w:t>C1 — Control Prioritisation and Approach</w:t>
            </w:r>
            <w:r>
              <w:rPr>
                <w:webHidden/>
              </w:rPr>
              <w:fldChar w:fldCharType="begin"/>
            </w:r>
            <w:r>
              <w:rPr>
                <w:webHidden/>
              </w:rPr>
              <w:instrText xml:space="preserve">PAGEREF _Toc220351618 \h</w:instrText>
            </w:r>
            <w:r>
              <w:rPr>
                <w:webHidden/>
              </w:rPr>
              <w:fldChar w:fldCharType="separate"/>
            </w:r>
            <w:r>
              <w:rPr>
                <w:rStyle w:val="IndexLink"/>
                <w:rFonts w:cs="Arial" w:ascii="Arial" w:hAnsi="Arial"/>
                <w:vanish w:val="false"/>
                <w:sz w:val="20"/>
                <w:szCs w:val="20"/>
              </w:rPr>
              <w:tab/>
              <w:t>30</w:t>
            </w:r>
            <w:r>
              <w:rPr>
                <w:webHidden/>
              </w:rPr>
              <w:fldChar w:fldCharType="end"/>
            </w:r>
          </w:hyperlink>
        </w:p>
        <w:p>
          <w:pPr>
            <w:pStyle w:val="TOC2"/>
            <w:tabs>
              <w:tab w:val="clear" w:pos="720"/>
              <w:tab w:val="left" w:pos="960" w:leader="none"/>
              <w:tab w:val="right" w:pos="9016" w:leader="dot"/>
            </w:tabs>
            <w:rPr>
              <w:rFonts w:ascii="Arial" w:hAnsi="Arial" w:cs="Arial"/>
              <w:kern w:val="2"/>
              <w:sz w:val="20"/>
              <w:szCs w:val="20"/>
              <w:lang w:val="en-AU" w:eastAsia="en-AU"/>
              <w14:ligatures w14:val="standardContextual"/>
            </w:rPr>
          </w:pPr>
          <w:hyperlink w:anchor="_Toc220351619">
            <w:r>
              <w:rPr>
                <w:rStyle w:val="IndexLink"/>
                <w:rFonts w:cs="Arial" w:ascii="Arial" w:hAnsi="Arial"/>
                <w:webHidden/>
                <w:sz w:val="20"/>
                <w:szCs w:val="20"/>
                <w:lang w:val="en-AU" w:eastAsia="en-AU"/>
              </w:rPr>
              <w:t>7.2.</w:t>
            </w:r>
            <w:r>
              <w:rPr>
                <w:rStyle w:val="IndexLink"/>
                <w:rFonts w:cs="Arial" w:ascii="Arial" w:hAnsi="Arial"/>
                <w:kern w:val="2"/>
                <w:sz w:val="20"/>
                <w:szCs w:val="20"/>
                <w:lang w:val="en-AU" w:eastAsia="en-AU"/>
                <w14:ligatures w14:val="standardContextual"/>
              </w:rPr>
              <w:tab/>
            </w:r>
            <w:r>
              <w:rPr>
                <w:rStyle w:val="IndexLink"/>
                <w:rFonts w:cs="Arial" w:ascii="Arial" w:hAnsi="Arial"/>
                <w:sz w:val="20"/>
                <w:szCs w:val="20"/>
                <w:lang w:val="en-AU" w:eastAsia="en-AU"/>
              </w:rPr>
              <w:t>C2 — Recommended Controls by Domain</w:t>
            </w:r>
            <w:r>
              <w:rPr>
                <w:webHidden/>
              </w:rPr>
              <w:fldChar w:fldCharType="begin"/>
            </w:r>
            <w:r>
              <w:rPr>
                <w:webHidden/>
              </w:rPr>
              <w:instrText xml:space="preserve">PAGEREF _Toc220351619 \h</w:instrText>
            </w:r>
            <w:r>
              <w:rPr>
                <w:webHidden/>
              </w:rPr>
              <w:fldChar w:fldCharType="separate"/>
            </w:r>
            <w:r>
              <w:rPr>
                <w:rStyle w:val="IndexLink"/>
                <w:rFonts w:cs="Arial" w:ascii="Arial" w:hAnsi="Arial"/>
                <w:vanish w:val="false"/>
                <w:sz w:val="20"/>
                <w:szCs w:val="20"/>
              </w:rPr>
              <w:tab/>
              <w:t>30</w:t>
            </w:r>
            <w:r>
              <w:rPr>
                <w:webHidden/>
              </w:rPr>
              <w:fldChar w:fldCharType="end"/>
            </w:r>
          </w:hyperlink>
        </w:p>
        <w:p>
          <w:pPr>
            <w:pStyle w:val="TOC2"/>
            <w:tabs>
              <w:tab w:val="clear" w:pos="720"/>
              <w:tab w:val="left" w:pos="960" w:leader="none"/>
              <w:tab w:val="right" w:pos="9016" w:leader="dot"/>
            </w:tabs>
            <w:rPr>
              <w:rFonts w:ascii="Arial" w:hAnsi="Arial" w:cs="Arial"/>
              <w:kern w:val="2"/>
              <w:sz w:val="20"/>
              <w:szCs w:val="20"/>
              <w:lang w:val="en-AU" w:eastAsia="en-AU"/>
              <w14:ligatures w14:val="standardContextual"/>
            </w:rPr>
          </w:pPr>
          <w:hyperlink w:anchor="_Toc220351620">
            <w:r>
              <w:rPr>
                <w:rStyle w:val="IndexLink"/>
                <w:rFonts w:cs="Arial" w:ascii="Arial" w:hAnsi="Arial"/>
                <w:webHidden/>
                <w:sz w:val="20"/>
                <w:szCs w:val="20"/>
                <w:lang w:val="en-AU" w:eastAsia="en-AU"/>
              </w:rPr>
              <w:t>7.3.</w:t>
            </w:r>
            <w:r>
              <w:rPr>
                <w:rStyle w:val="IndexLink"/>
                <w:rFonts w:cs="Arial" w:ascii="Arial" w:hAnsi="Arial"/>
                <w:kern w:val="2"/>
                <w:sz w:val="20"/>
                <w:szCs w:val="20"/>
                <w:lang w:val="en-AU" w:eastAsia="en-AU"/>
                <w14:ligatures w14:val="standardContextual"/>
              </w:rPr>
              <w:tab/>
            </w:r>
            <w:r>
              <w:rPr>
                <w:rStyle w:val="IndexLink"/>
                <w:rFonts w:cs="Arial" w:ascii="Arial" w:hAnsi="Arial"/>
                <w:sz w:val="20"/>
                <w:szCs w:val="20"/>
                <w:lang w:val="en-AU" w:eastAsia="en-AU"/>
              </w:rPr>
              <w:t>C3 — Existing Controls and Gaps</w:t>
            </w:r>
            <w:r>
              <w:rPr>
                <w:webHidden/>
              </w:rPr>
              <w:fldChar w:fldCharType="begin"/>
            </w:r>
            <w:r>
              <w:rPr>
                <w:webHidden/>
              </w:rPr>
              <w:instrText xml:space="preserve">PAGEREF _Toc220351620 \h</w:instrText>
            </w:r>
            <w:r>
              <w:rPr>
                <w:webHidden/>
              </w:rPr>
              <w:fldChar w:fldCharType="separate"/>
            </w:r>
            <w:r>
              <w:rPr>
                <w:rStyle w:val="IndexLink"/>
                <w:rFonts w:cs="Arial" w:ascii="Arial" w:hAnsi="Arial"/>
                <w:vanish w:val="false"/>
                <w:sz w:val="20"/>
                <w:szCs w:val="20"/>
              </w:rPr>
              <w:tab/>
              <w:t>35</w:t>
            </w:r>
            <w:r>
              <w:rPr>
                <w:webHidden/>
              </w:rPr>
              <w:fldChar w:fldCharType="end"/>
            </w:r>
          </w:hyperlink>
        </w:p>
        <w:p>
          <w:pPr>
            <w:pStyle w:val="TOC1"/>
            <w:tabs>
              <w:tab w:val="clear" w:pos="720"/>
              <w:tab w:val="left" w:pos="480" w:leader="none"/>
              <w:tab w:val="right" w:pos="9016" w:leader="dot"/>
            </w:tabs>
            <w:rPr>
              <w:rFonts w:ascii="Arial" w:hAnsi="Arial" w:cs="Arial"/>
              <w:kern w:val="2"/>
              <w:sz w:val="20"/>
              <w:szCs w:val="20"/>
              <w:lang w:val="en-AU" w:eastAsia="en-AU"/>
              <w14:ligatures w14:val="standardContextual"/>
            </w:rPr>
          </w:pPr>
          <w:hyperlink w:anchor="_Toc220351621">
            <w:r>
              <w:rPr>
                <w:rStyle w:val="IndexLink"/>
                <w:rFonts w:cs="Arial" w:ascii="Arial" w:hAnsi="Arial"/>
                <w:webHidden/>
                <w:sz w:val="20"/>
                <w:szCs w:val="20"/>
                <w:lang w:val="en-AU" w:eastAsia="en-AU"/>
              </w:rPr>
              <w:t>8.</w:t>
            </w:r>
            <w:r>
              <w:rPr>
                <w:rStyle w:val="IndexLink"/>
                <w:rFonts w:cs="Arial" w:ascii="Arial" w:hAnsi="Arial"/>
                <w:kern w:val="2"/>
                <w:sz w:val="20"/>
                <w:szCs w:val="20"/>
                <w:lang w:val="en-AU" w:eastAsia="en-AU"/>
                <w14:ligatures w14:val="standardContextual"/>
              </w:rPr>
              <w:tab/>
            </w:r>
            <w:r>
              <w:rPr>
                <w:rStyle w:val="IndexLink"/>
                <w:rFonts w:cs="Arial" w:ascii="Arial" w:hAnsi="Arial"/>
                <w:sz w:val="20"/>
                <w:szCs w:val="20"/>
                <w:lang w:val="en-AU" w:eastAsia="en-AU"/>
              </w:rPr>
              <w:t>Governance and Assurance Posture</w:t>
            </w:r>
            <w:r>
              <w:rPr>
                <w:webHidden/>
              </w:rPr>
              <w:fldChar w:fldCharType="begin"/>
            </w:r>
            <w:r>
              <w:rPr>
                <w:webHidden/>
              </w:rPr>
              <w:instrText xml:space="preserve">PAGEREF _Toc220351621 \h</w:instrText>
            </w:r>
            <w:r>
              <w:rPr>
                <w:webHidden/>
              </w:rPr>
              <w:fldChar w:fldCharType="separate"/>
            </w:r>
            <w:r>
              <w:rPr>
                <w:rStyle w:val="IndexLink"/>
                <w:rFonts w:cs="Arial" w:ascii="Arial" w:hAnsi="Arial"/>
                <w:vanish w:val="false"/>
                <w:sz w:val="20"/>
                <w:szCs w:val="20"/>
              </w:rPr>
              <w:tab/>
              <w:t>35</w:t>
            </w:r>
            <w:r>
              <w:rPr>
                <w:webHidden/>
              </w:rPr>
              <w:fldChar w:fldCharType="end"/>
            </w:r>
          </w:hyperlink>
        </w:p>
        <w:p>
          <w:pPr>
            <w:pStyle w:val="TOC1"/>
            <w:tabs>
              <w:tab w:val="clear" w:pos="720"/>
              <w:tab w:val="left" w:pos="480" w:leader="none"/>
              <w:tab w:val="right" w:pos="9016" w:leader="dot"/>
            </w:tabs>
            <w:rPr>
              <w:rFonts w:ascii="Arial" w:hAnsi="Arial" w:cs="Arial"/>
              <w:kern w:val="2"/>
              <w:sz w:val="20"/>
              <w:szCs w:val="20"/>
              <w:lang w:val="en-AU" w:eastAsia="en-AU"/>
              <w14:ligatures w14:val="standardContextual"/>
            </w:rPr>
          </w:pPr>
          <w:hyperlink w:anchor="_Toc220351622">
            <w:r>
              <w:rPr>
                <w:rStyle w:val="IndexLink"/>
                <w:rFonts w:cs="Arial" w:ascii="Arial" w:hAnsi="Arial"/>
                <w:webHidden/>
                <w:sz w:val="20"/>
                <w:szCs w:val="20"/>
                <w:lang w:val="en-AU" w:eastAsia="en-AU"/>
              </w:rPr>
              <w:t>9.</w:t>
            </w:r>
            <w:r>
              <w:rPr>
                <w:rStyle w:val="IndexLink"/>
                <w:rFonts w:cs="Arial" w:ascii="Arial" w:hAnsi="Arial"/>
                <w:kern w:val="2"/>
                <w:sz w:val="20"/>
                <w:szCs w:val="20"/>
                <w:lang w:val="en-AU" w:eastAsia="en-AU"/>
                <w14:ligatures w14:val="standardContextual"/>
              </w:rPr>
              <w:tab/>
            </w:r>
            <w:r>
              <w:rPr>
                <w:rStyle w:val="IndexLink"/>
                <w:rFonts w:cs="Arial" w:ascii="Arial" w:hAnsi="Arial"/>
                <w:sz w:val="20"/>
                <w:szCs w:val="20"/>
                <w:lang w:val="en-AU" w:eastAsia="en-AU"/>
              </w:rPr>
              <w:t>Decision and Next Steps</w:t>
            </w:r>
            <w:r>
              <w:rPr>
                <w:webHidden/>
              </w:rPr>
              <w:fldChar w:fldCharType="begin"/>
            </w:r>
            <w:r>
              <w:rPr>
                <w:webHidden/>
              </w:rPr>
              <w:instrText xml:space="preserve">PAGEREF _Toc220351622 \h</w:instrText>
            </w:r>
            <w:r>
              <w:rPr>
                <w:webHidden/>
              </w:rPr>
              <w:fldChar w:fldCharType="separate"/>
            </w:r>
            <w:r>
              <w:rPr>
                <w:rStyle w:val="IndexLink"/>
                <w:rFonts w:cs="Arial" w:ascii="Arial" w:hAnsi="Arial"/>
                <w:vanish w:val="false"/>
                <w:sz w:val="20"/>
                <w:szCs w:val="20"/>
              </w:rPr>
              <w:tab/>
              <w:t>36</w:t>
            </w:r>
            <w:r>
              <w:rPr>
                <w:webHidden/>
              </w:rPr>
              <w:fldChar w:fldCharType="end"/>
            </w:r>
          </w:hyperlink>
        </w:p>
        <w:p>
          <w:pPr>
            <w:pStyle w:val="TOC1"/>
            <w:tabs>
              <w:tab w:val="left" w:pos="720" w:leader="none"/>
              <w:tab w:val="right" w:pos="9016" w:leader="dot"/>
            </w:tabs>
            <w:rPr>
              <w:rFonts w:cs="" w:cstheme="minorBidi"/>
              <w:kern w:val="2"/>
              <w:sz w:val="24"/>
              <w:szCs w:val="24"/>
              <w:lang w:val="en-AU" w:eastAsia="en-AU"/>
              <w14:ligatures w14:val="standardContextual"/>
            </w:rPr>
          </w:pPr>
          <w:hyperlink w:anchor="_Toc220351623">
            <w:r>
              <w:rPr>
                <w:rStyle w:val="IndexLink"/>
                <w:rFonts w:cs="Arial" w:ascii="Arial" w:hAnsi="Arial"/>
                <w:webHidden/>
                <w:sz w:val="20"/>
                <w:szCs w:val="20"/>
                <w:lang w:val="en-AU" w:eastAsia="en-AU"/>
              </w:rPr>
              <w:t>10.</w:t>
            </w:r>
            <w:r>
              <w:rPr>
                <w:rStyle w:val="IndexLink"/>
                <w:rFonts w:cs="Arial" w:ascii="Arial" w:hAnsi="Arial"/>
                <w:kern w:val="2"/>
                <w:sz w:val="20"/>
                <w:szCs w:val="20"/>
                <w:lang w:val="en-AU" w:eastAsia="en-AU"/>
                <w14:ligatures w14:val="standardContextual"/>
              </w:rPr>
              <w:tab/>
            </w:r>
            <w:r>
              <w:rPr>
                <w:rStyle w:val="IndexLink"/>
                <w:rFonts w:cs="Arial" w:ascii="Arial" w:hAnsi="Arial"/>
                <w:sz w:val="20"/>
                <w:szCs w:val="20"/>
                <w:lang w:val="en-AU" w:eastAsia="en-AU"/>
              </w:rPr>
              <w:t>Appendix A – Supporting Artefacts</w:t>
            </w:r>
            <w:r>
              <w:rPr>
                <w:webHidden/>
              </w:rPr>
              <w:fldChar w:fldCharType="begin"/>
            </w:r>
            <w:r>
              <w:rPr>
                <w:webHidden/>
              </w:rPr>
              <w:instrText xml:space="preserve">PAGEREF _Toc220351623 \h</w:instrText>
            </w:r>
            <w:r>
              <w:rPr>
                <w:webHidden/>
              </w:rPr>
              <w:fldChar w:fldCharType="separate"/>
            </w:r>
            <w:r>
              <w:rPr>
                <w:rStyle w:val="IndexLink"/>
                <w:rFonts w:cs="Arial" w:ascii="Arial" w:hAnsi="Arial"/>
                <w:vanish w:val="false"/>
                <w:sz w:val="20"/>
                <w:szCs w:val="20"/>
              </w:rPr>
              <w:tab/>
              <w:t>36</w:t>
            </w:r>
            <w:r>
              <w:rPr>
                <w:webHidden/>
              </w:rPr>
              <w:fldChar w:fldCharType="end"/>
            </w:r>
          </w:hyperlink>
          <w:r>
            <w:rPr>
              <w:rStyle w:val="IndexLink"/>
              <w:rFonts w:cs="Arial" w:ascii="Arial" w:hAnsi="Arial"/>
              <w:vanish w:val="false"/>
              <w:sz w:val="20"/>
              <w:szCs w:val="20"/>
            </w:rPr>
            <w:fldChar w:fldCharType="end"/>
          </w:r>
        </w:p>
      </w:sdtContent>
    </w:sdt>
    <w:p>
      <w:pPr>
        <w:pStyle w:val="Normal"/>
        <w:jc w:val="center"/>
        <w:rPr>
          <w:rFonts w:cs="Arial"/>
          <w:sz w:val="32"/>
          <w:szCs w:val="32"/>
        </w:rPr>
      </w:pPr>
      <w:r>
        <w:rPr>
          <w:rFonts w:cs="Arial"/>
          <w:sz w:val="32"/>
          <w:szCs w:val="32"/>
        </w:rPr>
      </w:r>
    </w:p>
    <w:p>
      <w:pPr>
        <w:pStyle w:val="Heading01"/>
        <w:numPr>
          <w:ilvl w:val="0"/>
          <w:numId w:val="1"/>
        </w:numPr>
        <w:rPr>
          <w:lang w:val="en-AU" w:eastAsia="en-AU"/>
        </w:rPr>
      </w:pPr>
      <w:bookmarkStart w:id="0" w:name="_Toc220351587"/>
      <w:r>
        <w:rPr>
          <w:lang w:val="en-AU" w:eastAsia="en-AU"/>
        </w:rPr>
        <w:t>Executive Summary</w:t>
      </w:r>
      <w:bookmarkEnd w:id="0"/>
    </w:p>
    <w:p>
      <w:pPr>
        <w:pStyle w:val="Normal"/>
        <w:spacing w:lineRule="auto" w:line="240" w:beforeAutospacing="1" w:afterAutospacing="1"/>
        <w:rPr>
          <w:rFonts w:eastAsia="Times New Roman" w:cs="Arial"/>
          <w:kern w:val="0"/>
          <w:lang w:eastAsia="en-AU"/>
          <w14:ligatures w14:val="none"/>
        </w:rPr>
      </w:pPr>
      <w:r>
        <w:rPr>
          <w:rFonts w:eastAsia="Times New Roman" w:cs="Arial"/>
          <w:kern w:val="0"/>
          <w:lang w:eastAsia="en-AU"/>
          <w14:ligatures w14:val="none"/>
        </w:rPr>
        <w:t>This report presents the findings of a FAIRA assessment conducted using the AM AI SAFE methodology. FAIRA (Foundational Artificial Intelligence Risk Assessment) is a risk-based assessment framework designed to help Australian government agencies and organisations identify, assess, and manage risks associated with the responsible use of artificial intelligence. The assessment evaluates potential impacts, likelihood of harm, and the effectiveness of existing controls across key ethical, governance, and operational domains, with the objective of supporting informed, defensible decision-making regarding the use of AI systems.</w:t>
      </w:r>
    </w:p>
    <w:p>
      <w:pPr>
        <w:pStyle w:val="Normal"/>
        <w:spacing w:lineRule="auto" w:line="240" w:beforeAutospacing="1" w:afterAutospacing="1"/>
        <w:rPr>
          <w:rFonts w:eastAsia="Times New Roman" w:cs="Arial"/>
          <w:kern w:val="0"/>
          <w:lang w:eastAsia="en-AU"/>
          <w14:ligatures w14:val="none"/>
        </w:rPr>
      </w:pPr>
      <w:r>
        <w:rPr>
          <w:rFonts w:eastAsia="Times New Roman" w:cs="Arial"/>
          <w:kern w:val="0"/>
          <w:lang w:eastAsia="en-AU"/>
          <w14:ligatures w14:val="none"/>
        </w:rPr>
        <w:t xml:space="preserve">This FAIRA assessment was conducted for the AI system </w:t>
      </w:r>
      <w:r>
        <w:rPr>
          <w:rFonts w:eastAsia="Times New Roman" w:cs="Arial"/>
          <w:b/>
          <w:bCs/>
          <w:kern w:val="0"/>
          <w:lang w:eastAsia="en-AU"/>
          <w14:ligatures w14:val="none"/>
        </w:rPr>
        <w:t>{{system_name}}</w:t>
      </w:r>
      <w:r>
        <w:rPr>
          <w:rFonts w:eastAsia="Times New Roman" w:cs="Arial"/>
          <w:kern w:val="0"/>
          <w:lang w:eastAsia="en-AU"/>
          <w14:ligatures w14:val="none"/>
        </w:rPr>
        <w:t xml:space="preserve"> operated by {{org_name}}, with the assessment completed on {{assessment.date}}. The assessment identified an overall AI risk rating of </w:t>
      </w:r>
      <w:r>
        <w:rPr>
          <w:rFonts w:eastAsia="Times New Roman" w:cs="Arial"/>
          <w:b/>
          <w:bCs/>
          <w:kern w:val="0"/>
          <w:lang w:eastAsia="en-AU"/>
          <w14:ligatures w14:val="none"/>
        </w:rPr>
        <w:t>{{overall_risk_level}}</w:t>
      </w:r>
      <w:r>
        <w:rPr>
          <w:rFonts w:eastAsia="Times New Roman" w:cs="Arial"/>
          <w:kern w:val="0"/>
          <w:lang w:eastAsia="en-AU"/>
          <w14:ligatures w14:val="none"/>
        </w:rPr>
        <w:t xml:space="preserve">, based on a normalised risk score of </w:t>
      </w:r>
      <w:r>
        <w:rPr>
          <w:rFonts w:eastAsia="Times New Roman" w:cs="Arial"/>
          <w:b/>
          <w:bCs/>
          <w:kern w:val="0"/>
          <w:lang w:eastAsia="en-AU"/>
          <w14:ligatures w14:val="none"/>
        </w:rPr>
        <w:t>{{overall_risk_score}}</w:t>
      </w:r>
      <w:r>
        <w:rPr>
          <w:rFonts w:eastAsia="Times New Roman" w:cs="Arial"/>
          <w:kern w:val="0"/>
          <w:lang w:eastAsia="en-AU"/>
          <w14:ligatures w14:val="none"/>
        </w:rPr>
        <w:t xml:space="preserve"> out of 100. This rating reflects the combined effect of assessed impact, likelihood, and control effectiveness across all FAIRA domains, taking into account relevant risk modifiers such as system autonomy, data quality considerations, and user expertise.</w:t>
      </w:r>
    </w:p>
    <w:p>
      <w:pPr>
        <w:pStyle w:val="Normal"/>
        <w:spacing w:lineRule="auto" w:line="240" w:beforeAutospacing="1" w:afterAutospacing="1"/>
        <w:rPr>
          <w:rFonts w:eastAsia="Times New Roman" w:cs="Arial"/>
          <w:kern w:val="0"/>
          <w:lang w:val="en-AU" w:eastAsia="en-AU"/>
          <w14:ligatures w14:val="none"/>
        </w:rPr>
      </w:pPr>
      <w:r>
        <w:rPr>
          <w:rFonts w:eastAsia="Times New Roman" w:cs="Arial"/>
          <w:kern w:val="0"/>
          <w:lang w:val="en-AU" w:eastAsia="en-AU"/>
          <w14:ligatures w14:val="none"/>
        </w:rPr>
        <w:t>{{ai.f_executive_snapshot}}</w:t>
      </w:r>
    </w:p>
    <w:p>
      <w:pPr>
        <w:pStyle w:val="Normal"/>
        <w:spacing w:lineRule="auto" w:line="240" w:beforeAutospacing="1" w:afterAutospacing="1"/>
        <w:rPr>
          <w:rFonts w:eastAsia="Times New Roman" w:cs="Arial"/>
          <w:i/>
          <w:iCs/>
          <w:color w:themeColor="text2" w:themeTint="bf" w:val="215E99"/>
          <w:kern w:val="0"/>
          <w:sz w:val="22"/>
          <w:szCs w:val="22"/>
          <w:lang w:val="en-AU" w:eastAsia="en-AU"/>
          <w14:ligatures w14:val="none"/>
        </w:rPr>
      </w:pPr>
      <w:r>
        <w:rPr>
          <w:rFonts w:eastAsia="Times New Roman" w:cs="Arial"/>
          <w:i/>
          <w:iCs/>
          <w:color w:themeColor="text2" w:themeTint="bf" w:val="215E99"/>
          <w:kern w:val="0"/>
          <w:sz w:val="22"/>
          <w:szCs w:val="22"/>
          <w:lang w:eastAsia="en-AU"/>
          <w14:ligatures w14:val="none"/>
        </w:rPr>
        <w:t>This report has been generated using the AM AI SAFE FAIRA methodology and incorporates structured assessment inputs and AI-assisted narrative content where indicated.</w:t>
      </w:r>
    </w:p>
    <w:p>
      <w:pPr>
        <w:pStyle w:val="Heading01"/>
        <w:numPr>
          <w:ilvl w:val="0"/>
          <w:numId w:val="1"/>
        </w:numPr>
        <w:rPr>
          <w:lang w:val="en-AU" w:eastAsia="en-AU"/>
        </w:rPr>
      </w:pPr>
      <w:bookmarkStart w:id="1" w:name="_Toc220351588"/>
      <w:r>
        <w:rPr>
          <w:lang w:val="en-AU" w:eastAsia="en-AU"/>
        </w:rPr>
        <w:t>Overall Risk Profile and Interpretation</w:t>
      </w:r>
      <w:bookmarkEnd w:id="1"/>
    </w:p>
    <w:p>
      <w:pPr>
        <w:pStyle w:val="Normal"/>
        <w:spacing w:lineRule="auto" w:line="240" w:before="120" w:after="120"/>
        <w:rPr/>
      </w:pPr>
      <w:r>
        <w:rPr/>
        <w:t>This section summarises the overall AI risk profile identified through the FAIRA assessment. The risk profile is derived from a structured evaluation of potential impact, likelihood of harm, and the effectiveness of existing controls across all FAIRA domains. These domains are:</w:t>
      </w:r>
    </w:p>
    <w:p>
      <w:pPr>
        <w:pStyle w:val="ListParagraph"/>
        <w:numPr>
          <w:ilvl w:val="0"/>
          <w:numId w:val="19"/>
        </w:numPr>
        <w:spacing w:lineRule="auto" w:line="240" w:before="60" w:after="60"/>
        <w:contextualSpacing w:val="false"/>
        <w:rPr/>
      </w:pPr>
      <w:r>
        <w:rPr/>
        <w:t>Accountability</w:t>
      </w:r>
    </w:p>
    <w:p>
      <w:pPr>
        <w:pStyle w:val="ListParagraph"/>
        <w:numPr>
          <w:ilvl w:val="0"/>
          <w:numId w:val="19"/>
        </w:numPr>
        <w:spacing w:lineRule="auto" w:line="240" w:before="60" w:after="60"/>
        <w:contextualSpacing w:val="false"/>
        <w:rPr/>
      </w:pPr>
      <w:r>
        <w:rPr/>
        <w:t>Contestability</w:t>
      </w:r>
    </w:p>
    <w:p>
      <w:pPr>
        <w:pStyle w:val="ListParagraph"/>
        <w:numPr>
          <w:ilvl w:val="0"/>
          <w:numId w:val="19"/>
        </w:numPr>
        <w:spacing w:lineRule="auto" w:line="240" w:before="60" w:after="60"/>
        <w:contextualSpacing w:val="false"/>
        <w:rPr/>
      </w:pPr>
      <w:r>
        <w:rPr/>
        <w:t>Fairness</w:t>
      </w:r>
    </w:p>
    <w:p>
      <w:pPr>
        <w:pStyle w:val="ListParagraph"/>
        <w:numPr>
          <w:ilvl w:val="0"/>
          <w:numId w:val="19"/>
        </w:numPr>
        <w:spacing w:lineRule="auto" w:line="240" w:before="60" w:after="60"/>
        <w:contextualSpacing w:val="false"/>
        <w:rPr/>
      </w:pPr>
      <w:r>
        <w:rPr/>
        <w:t>Human, Societal and Environmental Wellbeing</w:t>
      </w:r>
    </w:p>
    <w:p>
      <w:pPr>
        <w:pStyle w:val="ListParagraph"/>
        <w:numPr>
          <w:ilvl w:val="0"/>
          <w:numId w:val="19"/>
        </w:numPr>
        <w:spacing w:lineRule="auto" w:line="240" w:before="60" w:after="60"/>
        <w:contextualSpacing w:val="false"/>
        <w:rPr/>
      </w:pPr>
      <w:r>
        <w:rPr/>
        <w:t>Human-Centred Values</w:t>
      </w:r>
    </w:p>
    <w:p>
      <w:pPr>
        <w:pStyle w:val="ListParagraph"/>
        <w:numPr>
          <w:ilvl w:val="0"/>
          <w:numId w:val="19"/>
        </w:numPr>
        <w:spacing w:lineRule="auto" w:line="240" w:before="60" w:after="60"/>
        <w:contextualSpacing w:val="false"/>
        <w:rPr/>
      </w:pPr>
      <w:r>
        <w:rPr/>
        <w:t>Privacy Protection and Security</w:t>
      </w:r>
    </w:p>
    <w:p>
      <w:pPr>
        <w:pStyle w:val="ListParagraph"/>
        <w:numPr>
          <w:ilvl w:val="0"/>
          <w:numId w:val="19"/>
        </w:numPr>
        <w:spacing w:lineRule="auto" w:line="240" w:before="60" w:after="60"/>
        <w:contextualSpacing w:val="false"/>
        <w:rPr/>
      </w:pPr>
      <w:r>
        <w:rPr/>
        <w:t>Reliability and Safety</w:t>
      </w:r>
    </w:p>
    <w:p>
      <w:pPr>
        <w:pStyle w:val="ListParagraph"/>
        <w:numPr>
          <w:ilvl w:val="0"/>
          <w:numId w:val="19"/>
        </w:numPr>
        <w:spacing w:lineRule="auto" w:line="240" w:before="60" w:after="60"/>
        <w:contextualSpacing w:val="false"/>
        <w:rPr/>
      </w:pPr>
      <w:r>
        <w:rPr/>
        <w:t>Transparency and Explainability</w:t>
      </w:r>
    </w:p>
    <w:p>
      <w:pPr>
        <w:pStyle w:val="Normal"/>
        <w:spacing w:lineRule="auto" w:line="240" w:before="120" w:after="120"/>
        <w:rPr/>
      </w:pPr>
      <w:r>
        <w:rPr/>
        <w:t>The resulting scores provide a comparative view of risk exposure, both before and after the application of controls, and are intended to support proportionate risk management rather than indicate absolute safety or compliance.</w:t>
      </w:r>
    </w:p>
    <w:p>
      <w:pPr>
        <w:pStyle w:val="Normal"/>
        <w:spacing w:lineRule="auto" w:line="240" w:before="120" w:after="120"/>
        <w:rPr/>
      </w:pPr>
      <w:r>
        <w:rPr/>
        <w:t xml:space="preserve">For {{system_name}}, the overall AI risk score was calculated using the FAIRA risk model, which combines total assessed impact ({{total_impact}}), total likelihood ({{total_likelihood}}), and total control effectiveness ({{total_control_effectiveness}}). This resulted in a raw risk score of {{raw_risk_score}}, which has been normalised to an overall risk score of {{overall_risk_score}}, corresponding to an overall risk level of </w:t>
      </w:r>
      <w:r>
        <w:rPr>
          <w:b/>
          <w:bCs/>
        </w:rPr>
        <w:t>{{overall_risk_level}}</w:t>
      </w:r>
      <w:r>
        <w:rPr/>
        <w:t>. The assessment also incorporates contextual risk modifiers, including system autonomy, data quality considerations, and user expertise, where applicable.</w:t>
      </w:r>
    </w:p>
    <w:p>
      <w:pPr>
        <w:pStyle w:val="Normal"/>
        <w:spacing w:lineRule="auto" w:line="240" w:before="120" w:after="120"/>
        <w:rPr/>
      </w:pPr>
      <w:r>
        <w:rPr/>
        <w:t>Domain-level scores shown below illustrate how different ethical and governance dimensions contribute to the overall risk profile.</w:t>
      </w:r>
    </w:p>
    <w:p>
      <w:pPr>
        <w:pStyle w:val="Normal"/>
        <w:spacing w:lineRule="auto" w:line="240" w:before="120" w:after="120"/>
        <w:rPr>
          <w:b/>
          <w:bCs/>
        </w:rPr>
      </w:pPr>
      <w:r>
        <w:rPr>
          <w:b/>
          <w:bCs/>
        </w:rPr>
        <w:t>Overall AI Risk Rating</w:t>
      </w:r>
    </w:p>
    <w:p>
      <w:pPr>
        <w:pStyle w:val="Normal"/>
        <w:spacing w:lineRule="auto" w:line="240" w:before="120" w:after="120"/>
        <w:rPr/>
      </w:pPr>
      <w:r>
        <w:rPr/>
        <w:t>{{risk_gauge_image}}</w:t>
      </w:r>
    </w:p>
    <w:p>
      <w:pPr>
        <w:pStyle w:val="Normal"/>
        <w:spacing w:lineRule="auto" w:line="240" w:before="120" w:after="120"/>
        <w:rPr>
          <w:i/>
          <w:iCs/>
          <w:sz w:val="22"/>
          <w:szCs w:val="22"/>
        </w:rPr>
      </w:pPr>
      <w:r>
        <w:rPr>
          <w:i/>
          <w:iCs/>
          <w:sz w:val="22"/>
          <w:szCs w:val="22"/>
        </w:rPr>
        <w:t>Figure 1. Normalised FAIRA risk score for the assessed AI system</w:t>
      </w:r>
    </w:p>
    <w:p>
      <w:pPr>
        <w:pStyle w:val="Normal"/>
        <w:spacing w:lineRule="auto" w:line="240" w:before="120" w:after="120"/>
        <w:rPr>
          <w:i/>
          <w:iCs/>
          <w:sz w:val="22"/>
          <w:szCs w:val="22"/>
        </w:rPr>
      </w:pPr>
      <w:r>
        <w:rPr>
          <w:i/>
          <w:iCs/>
          <w:sz w:val="22"/>
          <w:szCs w:val="22"/>
        </w:rPr>
      </w:r>
    </w:p>
    <w:p>
      <w:pPr>
        <w:pStyle w:val="Normal"/>
        <w:spacing w:lineRule="auto" w:line="240" w:before="120" w:after="120"/>
        <w:rPr>
          <w:b/>
          <w:bCs/>
        </w:rPr>
      </w:pPr>
      <w:r>
        <w:rPr>
          <w:b/>
          <w:bCs/>
        </w:rPr>
        <w:t>Inherent AI Risk by FAIRA Domain</w:t>
      </w:r>
    </w:p>
    <w:p>
      <w:pPr>
        <w:pStyle w:val="Normal"/>
        <w:spacing w:lineRule="auto" w:line="240" w:before="120" w:after="120"/>
        <w:rPr/>
      </w:pPr>
      <w:r>
        <w:rPr/>
        <w:t>The radar chart below shows the risk levels for each of the domains prior to the application of controls.</w:t>
      </w:r>
    </w:p>
    <w:p>
      <w:pPr>
        <w:pStyle w:val="Normal"/>
        <w:spacing w:lineRule="auto" w:line="240" w:before="120" w:after="120"/>
        <w:rPr/>
      </w:pPr>
      <w:r>
        <w:rPr/>
        <w:t>{{inherent_risk_radar}}</w:t>
      </w:r>
    </w:p>
    <w:p>
      <w:pPr>
        <w:pStyle w:val="Normal"/>
        <w:spacing w:lineRule="auto" w:line="240" w:before="120" w:after="120"/>
        <w:rPr>
          <w:i/>
          <w:iCs/>
          <w:sz w:val="22"/>
          <w:szCs w:val="22"/>
        </w:rPr>
      </w:pPr>
      <w:r>
        <w:rPr>
          <w:i/>
          <w:iCs/>
          <w:sz w:val="22"/>
          <w:szCs w:val="22"/>
        </w:rPr>
        <w:t>Figure 2. Risk levels prior to the application of controls</w:t>
      </w:r>
    </w:p>
    <w:p>
      <w:pPr>
        <w:pStyle w:val="Normal"/>
        <w:spacing w:lineRule="auto" w:line="240" w:before="120" w:after="120"/>
        <w:rPr>
          <w:b/>
          <w:bCs/>
        </w:rPr>
      </w:pPr>
      <w:r>
        <w:rPr>
          <w:b/>
          <w:bCs/>
        </w:rPr>
      </w:r>
    </w:p>
    <w:p>
      <w:pPr>
        <w:pStyle w:val="Normal"/>
        <w:spacing w:lineRule="auto" w:line="240" w:before="120" w:after="120"/>
        <w:rPr>
          <w:b/>
          <w:bCs/>
        </w:rPr>
      </w:pPr>
      <w:r>
        <w:rPr>
          <w:b/>
          <w:bCs/>
        </w:rPr>
        <w:t>Residual AI Risk by FAIRA Domain</w:t>
      </w:r>
    </w:p>
    <w:p>
      <w:pPr>
        <w:pStyle w:val="Normal"/>
        <w:spacing w:lineRule="auto" w:line="240" w:before="120" w:after="120"/>
        <w:rPr/>
      </w:pPr>
      <w:r>
        <w:rPr/>
        <w:t>The radar chart below shows the risk levels for each of the domains after considering existing controls.</w:t>
      </w:r>
    </w:p>
    <w:p>
      <w:pPr>
        <w:pStyle w:val="Normal"/>
        <w:spacing w:lineRule="auto" w:line="240" w:before="120" w:after="120"/>
        <w:rPr>
          <w:b/>
          <w:bCs/>
        </w:rPr>
      </w:pPr>
      <w:r>
        <w:rPr>
          <w:b/>
          <w:bCs/>
        </w:rPr>
      </w:r>
    </w:p>
    <w:p>
      <w:pPr>
        <w:pStyle w:val="Normal"/>
        <w:spacing w:lineRule="auto" w:line="240" w:before="120" w:after="120"/>
        <w:rPr/>
      </w:pPr>
      <w:r>
        <w:rPr/>
        <w:t>{{domain_radar_risk}}</w:t>
      </w:r>
    </w:p>
    <w:p>
      <w:pPr>
        <w:pStyle w:val="Normal"/>
        <w:spacing w:lineRule="auto" w:line="240" w:before="120" w:after="120"/>
        <w:rPr>
          <w:i/>
          <w:iCs/>
          <w:sz w:val="22"/>
          <w:szCs w:val="22"/>
        </w:rPr>
      </w:pPr>
      <w:r>
        <w:rPr>
          <w:i/>
          <w:iCs/>
          <w:sz w:val="22"/>
          <w:szCs w:val="22"/>
        </w:rPr>
        <w:t>Figure 3. Risk levels after considering existing controls</w:t>
      </w:r>
    </w:p>
    <w:p>
      <w:pPr>
        <w:pStyle w:val="Normal"/>
        <w:spacing w:lineRule="auto" w:line="240" w:before="120" w:after="120"/>
        <w:rPr>
          <w:i/>
          <w:iCs/>
          <w:sz w:val="22"/>
          <w:szCs w:val="22"/>
        </w:rPr>
      </w:pPr>
      <w:r>
        <w:rPr>
          <w:i/>
          <w:iCs/>
          <w:sz w:val="22"/>
          <w:szCs w:val="22"/>
        </w:rPr>
      </w:r>
    </w:p>
    <w:p>
      <w:pPr>
        <w:pStyle w:val="Heading01"/>
        <w:numPr>
          <w:ilvl w:val="0"/>
          <w:numId w:val="1"/>
        </w:numPr>
        <w:rPr>
          <w:lang w:val="en-AU" w:eastAsia="en-AU"/>
        </w:rPr>
      </w:pPr>
      <w:bookmarkStart w:id="2" w:name="_Toc220351589"/>
      <w:r>
        <w:rPr>
          <w:lang w:val="en-AU" w:eastAsia="en-AU"/>
        </w:rPr>
        <w:t>Assessment Scope and Methodology</w:t>
      </w:r>
      <w:bookmarkEnd w:id="2"/>
    </w:p>
    <w:p>
      <w:pPr>
        <w:pStyle w:val="Normal"/>
        <w:rPr>
          <w:lang w:eastAsia="en-AU"/>
        </w:rPr>
      </w:pPr>
      <w:r>
        <w:rPr>
          <w:lang w:eastAsia="en-AU"/>
        </w:rPr>
        <w:t>This FAIRA assessment was conducted to evaluate risks associated with the responsible use of the assessed AI system within its defined operational context. The assessment focuses on identifying potential harms, governance gaps, and control effectiveness across ethical, legal, and operational dimensions, in line with the FAIRA risk-based approach. The assessment is intended to support informed decision-making and risk management and does not constitute a certification, compliance audit, or technical assurance of the AI system.</w:t>
      </w:r>
    </w:p>
    <w:p>
      <w:pPr>
        <w:pStyle w:val="Normal"/>
        <w:rPr>
          <w:lang w:eastAsia="en-AU"/>
        </w:rPr>
      </w:pPr>
      <w:r>
        <w:rPr>
          <w:lang w:eastAsia="en-AU"/>
        </w:rPr>
        <w:t>The assessment was performed using the AM AI SAFE FAIRA methodology, which applies a structured scoring model combining assessed impact, likelihood, and control effectiveness across all FAIRA domains. For {{system_name}}, the overall risk profile was calculated by aggregating domain-level scores derived from responses provided during the assessment. Where applicable, contextual modifiers were applied to reflect system autonomy ({{autonomy_factor}}), data quality considerations ({{data_quality_factor}}), and user expertise ({{expertise_factor}}), ensuring that the resulting risk profile reflects the specific characteristics and operating context of the system.</w:t>
      </w:r>
    </w:p>
    <w:p>
      <w:pPr>
        <w:pStyle w:val="Normal"/>
        <w:rPr>
          <w:lang w:eastAsia="en-AU"/>
        </w:rPr>
      </w:pPr>
      <w:r>
        <w:rPr>
          <w:lang w:eastAsia="en-AU"/>
        </w:rPr>
        <w:t>Scores are normalised to support comparison across domains and are intended to indicate relative risk exposure rather than absolute risk.</w:t>
      </w:r>
    </w:p>
    <w:p>
      <w:pPr>
        <w:pStyle w:val="Normal"/>
        <w:rPr>
          <w:lang w:val="en-AU" w:eastAsia="en-AU"/>
        </w:rPr>
      </w:pPr>
      <w:r>
        <w:rPr>
          <w:lang w:eastAsia="en-AU"/>
        </w:rPr>
        <w:t>This methodology provides a consistent and proportionate basis for assessing AI-related risks across FAIRA domains. The resulting scores and risk indicators are intended to support relative comparison, prioritisation, and governance discussions, rather than to represent absolute measures of risk.</w:t>
      </w:r>
    </w:p>
    <w:p>
      <w:pPr>
        <w:pStyle w:val="Heading01"/>
        <w:numPr>
          <w:ilvl w:val="0"/>
          <w:numId w:val="1"/>
        </w:numPr>
        <w:rPr>
          <w:lang w:val="en-AU" w:eastAsia="en-AU"/>
        </w:rPr>
      </w:pPr>
      <w:bookmarkStart w:id="3" w:name="_Toc220351590"/>
      <w:r>
        <w:rPr>
          <w:lang w:val="en-AU" w:eastAsia="en-AU"/>
        </w:rPr>
        <w:t>Part A – AI System Profile and Risk Context</w:t>
      </w:r>
      <w:bookmarkEnd w:id="3"/>
    </w:p>
    <w:p>
      <w:pPr>
        <w:pStyle w:val="Normal"/>
        <w:rPr>
          <w:lang w:eastAsia="en-AU"/>
        </w:rPr>
      </w:pPr>
      <w:r>
        <w:rPr>
          <w:lang w:eastAsia="en-AU"/>
        </w:rPr>
        <w:t>Part A of the FAIRA assessment captures key characteristics of the AI system that influence its overall risk profile. This section focuses on establishing a clear understanding of the system's purpose, data usage, users, deployment context, and potential impacts. The information gathered in this section provides essential context for interpreting the risk scores presented later in the report and informs the application of risk modifiers within the FAIRA methodology.</w:t>
      </w:r>
    </w:p>
    <w:p>
      <w:pPr>
        <w:pStyle w:val="Normal"/>
        <w:rPr>
          <w:lang w:eastAsia="en-AU"/>
        </w:rPr>
      </w:pPr>
      <w:r>
        <w:rPr>
          <w:lang w:eastAsia="en-AU"/>
        </w:rPr>
        <w:t>The assessed AI system, {{system_name}}, is operated by {{org_name}} and has been evaluated within its defined operational and deployment context. Information collected as part of this assessment describes the system's primary functions, the types and sensitivity of data used, the users and stakeholders involved, and the environments in which the system operates. These characteristics directly influence assessed impact and likelihood scores and inform the application of contextual risk modifiers, including autonomy, data quality, and user expertise.</w:t>
      </w:r>
    </w:p>
    <w:p>
      <w:pPr>
        <w:pStyle w:val="Normal"/>
        <w:rPr>
          <w:lang w:eastAsia="en-AU"/>
        </w:rPr>
      </w:pPr>
      <w:r>
        <w:rPr>
          <w:lang w:eastAsia="en-AU"/>
        </w:rPr>
        <w:t>The following subsections summarise these factors in more detail.</w:t>
      </w:r>
    </w:p>
    <w:p>
      <w:pPr>
        <w:pStyle w:val="Normal"/>
        <w:rPr>
          <w:lang w:val="en-AU" w:eastAsia="en-AU"/>
        </w:rPr>
      </w:pPr>
      <w:r>
        <w:rPr>
          <w:lang w:val="en-AU" w:eastAsia="en-AU"/>
        </w:rPr>
        <w:t>The system profile and risk context are summarised across the following areas:</w:t>
      </w:r>
    </w:p>
    <w:p>
      <w:pPr>
        <w:pStyle w:val="ListParagraph"/>
        <w:numPr>
          <w:ilvl w:val="0"/>
          <w:numId w:val="2"/>
        </w:numPr>
        <w:rPr>
          <w:lang w:val="en-AU" w:eastAsia="en-AU"/>
        </w:rPr>
      </w:pPr>
      <w:r>
        <w:rPr>
          <w:lang w:val="en-AU" w:eastAsia="en-AU"/>
        </w:rPr>
        <w:t>AI Solution Fundamentals</w:t>
      </w:r>
    </w:p>
    <w:p>
      <w:pPr>
        <w:pStyle w:val="ListParagraph"/>
        <w:numPr>
          <w:ilvl w:val="0"/>
          <w:numId w:val="2"/>
        </w:numPr>
        <w:rPr>
          <w:lang w:val="en-AU" w:eastAsia="en-AU"/>
        </w:rPr>
      </w:pPr>
      <w:r>
        <w:rPr>
          <w:lang w:val="en-AU" w:eastAsia="en-AU"/>
        </w:rPr>
        <w:t>Data and Inputs</w:t>
      </w:r>
    </w:p>
    <w:p>
      <w:pPr>
        <w:pStyle w:val="ListParagraph"/>
        <w:numPr>
          <w:ilvl w:val="0"/>
          <w:numId w:val="2"/>
        </w:numPr>
        <w:rPr>
          <w:lang w:val="en-AU" w:eastAsia="en-AU"/>
        </w:rPr>
      </w:pPr>
      <w:r>
        <w:rPr>
          <w:lang w:val="en-AU" w:eastAsia="en-AU"/>
        </w:rPr>
        <w:t>Human Interface and Impact</w:t>
      </w:r>
    </w:p>
    <w:p>
      <w:pPr>
        <w:pStyle w:val="ListParagraph"/>
        <w:numPr>
          <w:ilvl w:val="0"/>
          <w:numId w:val="2"/>
        </w:numPr>
        <w:rPr>
          <w:lang w:val="en-AU" w:eastAsia="en-AU"/>
        </w:rPr>
      </w:pPr>
      <w:r>
        <w:rPr>
          <w:lang w:val="en-AU" w:eastAsia="en-AU"/>
        </w:rPr>
        <w:t>Outputs and Actions</w:t>
      </w:r>
    </w:p>
    <w:p>
      <w:pPr>
        <w:pStyle w:val="ListParagraph"/>
        <w:numPr>
          <w:ilvl w:val="0"/>
          <w:numId w:val="2"/>
        </w:numPr>
        <w:rPr>
          <w:lang w:val="en-AU" w:eastAsia="en-AU"/>
        </w:rPr>
      </w:pPr>
      <w:r>
        <w:rPr>
          <w:lang w:val="en-AU" w:eastAsia="en-AU"/>
        </w:rPr>
        <w:t>Governance and Oversight</w:t>
      </w:r>
    </w:p>
    <w:p>
      <w:pPr>
        <w:pStyle w:val="Heading02"/>
        <w:numPr>
          <w:ilvl w:val="1"/>
          <w:numId w:val="1"/>
        </w:numPr>
        <w:ind w:hanging="432" w:start="432"/>
        <w:rPr>
          <w:lang w:val="en-AU" w:eastAsia="en-AU"/>
        </w:rPr>
      </w:pPr>
      <w:bookmarkStart w:id="4" w:name="_Toc220351591"/>
      <w:r>
        <w:rPr>
          <w:lang w:val="en-AU" w:eastAsia="en-AU"/>
        </w:rPr>
        <w:t>AI Solution Fundamentals</w:t>
      </w:r>
      <w:bookmarkEnd w:id="4"/>
    </w:p>
    <w:p>
      <w:pPr>
        <w:pStyle w:val="Heading2"/>
        <w:rPr>
          <w:rFonts w:ascii="Arial" w:hAnsi="Arial" w:eastAsia="Aptos" w:cs="" w:cstheme="minorBidi" w:eastAsiaTheme="minorHAnsi"/>
          <w:i/>
          <w:iCs/>
          <w:color w:themeColor="text2" w:themeTint="bf" w:val="215E99"/>
          <w:sz w:val="22"/>
          <w:szCs w:val="22"/>
          <w:lang w:eastAsia="en-AU"/>
        </w:rPr>
      </w:pPr>
      <w:r>
        <w:rPr>
          <w:rFonts w:eastAsia="Aptos" w:cs="" w:ascii="Arial" w:hAnsi="Arial" w:cstheme="minorBidi" w:eastAsiaTheme="minorHAnsi"/>
          <w:i/>
          <w:iCs/>
          <w:color w:themeColor="text2" w:themeTint="bf" w:val="215E99"/>
          <w:sz w:val="22"/>
          <w:szCs w:val="22"/>
          <w:lang w:eastAsia="en-AU"/>
        </w:rPr>
        <w:t>Maps to FAIRA Table 1: AI solution (Questions 1.1-1.10)</w:t>
      </w:r>
    </w:p>
    <w:p>
      <w:pPr>
        <w:pStyle w:val="Heading2"/>
        <w:rPr>
          <w:rFonts w:ascii="Arial" w:hAnsi="Arial" w:eastAsia="Aptos" w:cs="" w:cstheme="minorBidi" w:eastAsiaTheme="minorHAnsi"/>
          <w:color w:val="auto"/>
          <w:sz w:val="24"/>
          <w:szCs w:val="24"/>
          <w:lang w:eastAsia="en-AU"/>
        </w:rPr>
      </w:pPr>
      <w:r>
        <w:rPr>
          <w:rFonts w:eastAsia="Aptos" w:cs="" w:ascii="Arial" w:hAnsi="Arial" w:cstheme="minorBidi" w:eastAsiaTheme="minorHAnsi"/>
          <w:color w:val="auto"/>
          <w:sz w:val="24"/>
          <w:szCs w:val="24"/>
          <w:lang w:eastAsia="en-AU"/>
        </w:rPr>
        <w:t>This section provides a high-level overview of the AI system assessed as part of this FAIRA assessment. It describes the system's primary purpose, core AI capabilities, and the types of decisions or actions it supports. This information establishes a baseline understanding of how the system functions and the role it plays within the organisation's operations.</w:t>
      </w:r>
    </w:p>
    <w:p>
      <w:pPr>
        <w:pStyle w:val="Normal"/>
        <w:rPr>
          <w:lang w:eastAsia="en-AU"/>
        </w:rPr>
      </w:pPr>
      <w:r>
        <w:rPr>
          <w:lang w:eastAsia="en-AU"/>
        </w:rPr>
        <w:t>The AI system {{system_name}} is designed to support {{ faira_form.A1_1 | format_list }} and incorporates AI capabilities including {{ faira_form.A1_3 | format_list }}. The system is used to inform or support decisions related to {{ faira_form.A1_4 | format_list }}, with identified benefits including {{ faira_form.A1_5 | format_list }}. The system utilises {{ faira_form.A1_7 | format_list }}</w:t>
      </w:r>
      <w:r>
        <w:rPr>
          <w:lang w:val="en-AU" w:eastAsia="en-AU"/>
        </w:rPr>
        <w:t xml:space="preserve"> </w:t>
      </w:r>
      <w:r>
        <w:rPr>
          <w:lang w:eastAsia="en-AU"/>
        </w:rPr>
        <w:t>techniques and is sourced through {{ faira_form.A1_8 | format_list }}, with integration into other systems occurring via {{ faira_form.A1_9 | format_list }}.</w:t>
      </w:r>
    </w:p>
    <w:p>
      <w:pPr>
        <w:pStyle w:val="Normal"/>
        <w:rPr>
          <w:lang w:eastAsia="en-AU"/>
        </w:rPr>
      </w:pPr>
      <w:r>
        <w:rPr>
          <w:lang w:eastAsia="en-AU"/>
        </w:rPr>
        <w:t>The system's level of autonomy, including whether AI-generated decisions can be converted into actions without human intervention, is described in the following sections.</w:t>
      </w:r>
    </w:p>
    <w:tbl>
      <w:tblPr>
        <w:tblW w:w="5000" w:type="pct"/>
        <w:jc w:val="start"/>
        <w:tblInd w:w="0" w:type="dxa"/>
        <w:tblLayout w:type="fixed"/>
        <w:tblCellMar>
          <w:top w:w="43" w:type="dxa"/>
          <w:start w:w="43" w:type="dxa"/>
          <w:bottom w:w="43" w:type="dxa"/>
          <w:end w:w="43" w:type="dxa"/>
        </w:tblCellMar>
        <w:tblLook w:firstRow="1" w:noVBand="1" w:lastRow="0" w:firstColumn="1" w:lastColumn="0" w:noHBand="0" w:val="04a0"/>
      </w:tblPr>
      <w:tblGrid>
        <w:gridCol w:w="2157"/>
        <w:gridCol w:w="6869"/>
      </w:tblGrid>
      <w:tr>
        <w:trPr>
          <w:tblHeader w:val="true"/>
        </w:trPr>
        <w:tc>
          <w:tcPr>
            <w:tcW w:w="2157" w:type="dxa"/>
            <w:tcBorders>
              <w:top w:val="single" w:sz="4" w:space="0" w:color="000000"/>
              <w:start w:val="single" w:sz="4" w:space="0" w:color="000000"/>
              <w:bottom w:val="single" w:sz="4" w:space="0" w:color="000000"/>
              <w:end w:val="single" w:sz="4" w:space="0" w:color="000000"/>
            </w:tcBorders>
            <w:shd w:color="auto" w:fill="D9D9D9" w:themeFill="background1" w:themeFillShade="d9" w:val="clear"/>
          </w:tcPr>
          <w:p>
            <w:pPr>
              <w:pStyle w:val="Normal"/>
              <w:spacing w:before="0" w:after="160"/>
              <w:rPr>
                <w:b/>
                <w:bCs/>
                <w:sz w:val="20"/>
                <w:szCs w:val="20"/>
                <w:lang w:val="en-AU" w:eastAsia="en-AU"/>
              </w:rPr>
            </w:pPr>
            <w:r>
              <w:rPr>
                <w:b/>
                <w:bCs/>
                <w:sz w:val="20"/>
                <w:szCs w:val="20"/>
                <w:lang w:val="en-AU" w:eastAsia="en-AU"/>
              </w:rPr>
              <w:t>Attribute</w:t>
            </w:r>
          </w:p>
        </w:tc>
        <w:tc>
          <w:tcPr>
            <w:tcW w:w="6869" w:type="dxa"/>
            <w:tcBorders>
              <w:top w:val="single" w:sz="4" w:space="0" w:color="000000"/>
              <w:start w:val="single" w:sz="4" w:space="0" w:color="000000"/>
              <w:bottom w:val="single" w:sz="4" w:space="0" w:color="000000"/>
              <w:end w:val="single" w:sz="4" w:space="0" w:color="000000"/>
            </w:tcBorders>
            <w:shd w:color="auto" w:fill="D9D9D9" w:themeFill="background1" w:themeFillShade="d9" w:val="clear"/>
          </w:tcPr>
          <w:p>
            <w:pPr>
              <w:pStyle w:val="Normal"/>
              <w:spacing w:before="0" w:after="160"/>
              <w:rPr>
                <w:b/>
                <w:bCs/>
                <w:sz w:val="20"/>
                <w:szCs w:val="20"/>
                <w:lang w:val="en-AU" w:eastAsia="en-AU"/>
              </w:rPr>
            </w:pPr>
            <w:r>
              <w:rPr>
                <w:b/>
                <w:bCs/>
                <w:sz w:val="20"/>
                <w:szCs w:val="20"/>
                <w:lang w:val="en-AU" w:eastAsia="en-AU"/>
              </w:rPr>
              <w:t>Description</w:t>
            </w:r>
          </w:p>
        </w:tc>
      </w:tr>
      <w:tr>
        <w:trPr/>
        <w:tc>
          <w:tcPr>
            <w:tcW w:w="2157" w:type="dxa"/>
            <w:tcBorders>
              <w:top w:val="single" w:sz="4" w:space="0" w:color="000000"/>
              <w:start w:val="single" w:sz="4" w:space="0" w:color="000000"/>
              <w:bottom w:val="single" w:sz="4" w:space="0" w:color="000000"/>
              <w:end w:val="single" w:sz="4" w:space="0" w:color="000000"/>
            </w:tcBorders>
          </w:tcPr>
          <w:p>
            <w:pPr>
              <w:pStyle w:val="Normal"/>
              <w:spacing w:before="0" w:after="160"/>
              <w:rPr>
                <w:sz w:val="20"/>
                <w:szCs w:val="20"/>
                <w:lang w:val="en-AU" w:eastAsia="en-AU"/>
              </w:rPr>
            </w:pPr>
            <w:r>
              <w:rPr>
                <w:sz w:val="20"/>
                <w:szCs w:val="20"/>
                <w:lang w:val="en-AU" w:eastAsia="en-AU"/>
              </w:rPr>
              <w:t>Primary function</w:t>
            </w:r>
          </w:p>
        </w:tc>
        <w:tc>
          <w:tcPr>
            <w:tcW w:w="6869" w:type="dxa"/>
            <w:tcBorders>
              <w:top w:val="single" w:sz="4" w:space="0" w:color="000000"/>
              <w:start w:val="single" w:sz="4" w:space="0" w:color="000000"/>
              <w:bottom w:val="single" w:sz="4" w:space="0" w:color="000000"/>
              <w:end w:val="single" w:sz="4" w:space="0" w:color="000000"/>
            </w:tcBorders>
          </w:tcPr>
          <w:p>
            <w:pPr>
              <w:pStyle w:val="Normal"/>
              <w:spacing w:before="0" w:after="160"/>
              <w:rPr>
                <w:sz w:val="20"/>
                <w:szCs w:val="20"/>
                <w:lang w:val="en-AU" w:eastAsia="en-AU"/>
              </w:rPr>
            </w:pPr>
            <w:r>
              <w:rPr>
                <w:sz w:val="20"/>
                <w:szCs w:val="20"/>
                <w:lang w:val="en-AU" w:eastAsia="en-AU"/>
              </w:rPr>
              <w:t>{{ faira_form.A1_1 | format_list }}</w:t>
            </w:r>
          </w:p>
        </w:tc>
      </w:tr>
      <w:tr>
        <w:trPr/>
        <w:tc>
          <w:tcPr>
            <w:tcW w:w="2157" w:type="dxa"/>
            <w:tcBorders>
              <w:top w:val="single" w:sz="4" w:space="0" w:color="000000"/>
              <w:start w:val="single" w:sz="4" w:space="0" w:color="000000"/>
              <w:bottom w:val="single" w:sz="4" w:space="0" w:color="000000"/>
              <w:end w:val="single" w:sz="4" w:space="0" w:color="000000"/>
            </w:tcBorders>
          </w:tcPr>
          <w:p>
            <w:pPr>
              <w:pStyle w:val="Normal"/>
              <w:spacing w:before="0" w:after="160"/>
              <w:rPr>
                <w:sz w:val="20"/>
                <w:szCs w:val="20"/>
                <w:lang w:val="en-AU" w:eastAsia="en-AU"/>
              </w:rPr>
            </w:pPr>
            <w:r>
              <w:rPr>
                <w:sz w:val="20"/>
                <w:szCs w:val="20"/>
                <w:lang w:val="en-AU" w:eastAsia="en-AU"/>
              </w:rPr>
              <w:t>AI capabilities</w:t>
            </w:r>
          </w:p>
        </w:tc>
        <w:tc>
          <w:tcPr>
            <w:tcW w:w="6869" w:type="dxa"/>
            <w:tcBorders>
              <w:top w:val="single" w:sz="4" w:space="0" w:color="000000"/>
              <w:start w:val="single" w:sz="4" w:space="0" w:color="000000"/>
              <w:bottom w:val="single" w:sz="4" w:space="0" w:color="000000"/>
              <w:end w:val="single" w:sz="4" w:space="0" w:color="000000"/>
            </w:tcBorders>
          </w:tcPr>
          <w:p>
            <w:pPr>
              <w:pStyle w:val="Normal"/>
              <w:spacing w:before="0" w:after="160"/>
              <w:rPr>
                <w:sz w:val="20"/>
                <w:szCs w:val="20"/>
                <w:lang w:val="en-AU" w:eastAsia="en-AU"/>
              </w:rPr>
            </w:pPr>
            <w:r>
              <w:rPr>
                <w:sz w:val="20"/>
                <w:szCs w:val="20"/>
                <w:lang w:val="en-AU" w:eastAsia="en-AU"/>
              </w:rPr>
              <w:t>{{ faira_form.A1_3 | format_list }}</w:t>
            </w:r>
          </w:p>
        </w:tc>
      </w:tr>
      <w:tr>
        <w:trPr/>
        <w:tc>
          <w:tcPr>
            <w:tcW w:w="2157" w:type="dxa"/>
            <w:tcBorders>
              <w:top w:val="single" w:sz="4" w:space="0" w:color="000000"/>
              <w:start w:val="single" w:sz="4" w:space="0" w:color="000000"/>
              <w:bottom w:val="single" w:sz="4" w:space="0" w:color="000000"/>
              <w:end w:val="single" w:sz="4" w:space="0" w:color="000000"/>
            </w:tcBorders>
          </w:tcPr>
          <w:p>
            <w:pPr>
              <w:pStyle w:val="Normal"/>
              <w:spacing w:before="0" w:after="160"/>
              <w:rPr>
                <w:sz w:val="20"/>
                <w:szCs w:val="20"/>
                <w:lang w:val="en-AU" w:eastAsia="en-AU"/>
              </w:rPr>
            </w:pPr>
            <w:r>
              <w:rPr>
                <w:sz w:val="20"/>
                <w:szCs w:val="20"/>
                <w:lang w:val="en-AU" w:eastAsia="en-AU"/>
              </w:rPr>
              <w:t>Decision support</w:t>
            </w:r>
          </w:p>
        </w:tc>
        <w:tc>
          <w:tcPr>
            <w:tcW w:w="6869" w:type="dxa"/>
            <w:tcBorders>
              <w:top w:val="single" w:sz="4" w:space="0" w:color="000000"/>
              <w:start w:val="single" w:sz="4" w:space="0" w:color="000000"/>
              <w:bottom w:val="single" w:sz="4" w:space="0" w:color="000000"/>
              <w:end w:val="single" w:sz="4" w:space="0" w:color="000000"/>
            </w:tcBorders>
          </w:tcPr>
          <w:p>
            <w:pPr>
              <w:pStyle w:val="Normal"/>
              <w:spacing w:before="0" w:after="160"/>
              <w:rPr>
                <w:sz w:val="20"/>
                <w:szCs w:val="20"/>
                <w:lang w:val="en-AU" w:eastAsia="en-AU"/>
              </w:rPr>
            </w:pPr>
            <w:r>
              <w:rPr>
                <w:sz w:val="20"/>
                <w:szCs w:val="20"/>
                <w:lang w:val="en-AU" w:eastAsia="en-AU"/>
              </w:rPr>
              <w:t>{{ faira_form.A1_4 | format_list }}</w:t>
            </w:r>
          </w:p>
        </w:tc>
      </w:tr>
      <w:tr>
        <w:trPr/>
        <w:tc>
          <w:tcPr>
            <w:tcW w:w="2157" w:type="dxa"/>
            <w:tcBorders>
              <w:top w:val="single" w:sz="4" w:space="0" w:color="000000"/>
              <w:start w:val="single" w:sz="4" w:space="0" w:color="000000"/>
              <w:bottom w:val="single" w:sz="4" w:space="0" w:color="000000"/>
              <w:end w:val="single" w:sz="4" w:space="0" w:color="000000"/>
            </w:tcBorders>
          </w:tcPr>
          <w:p>
            <w:pPr>
              <w:pStyle w:val="Normal"/>
              <w:spacing w:before="0" w:after="160"/>
              <w:rPr>
                <w:sz w:val="20"/>
                <w:szCs w:val="20"/>
                <w:lang w:val="en-AU" w:eastAsia="en-AU"/>
              </w:rPr>
            </w:pPr>
            <w:r>
              <w:rPr>
                <w:sz w:val="20"/>
                <w:szCs w:val="20"/>
                <w:lang w:val="en-AU" w:eastAsia="en-AU"/>
              </w:rPr>
              <w:t>AI techniques used</w:t>
            </w:r>
          </w:p>
        </w:tc>
        <w:tc>
          <w:tcPr>
            <w:tcW w:w="6869" w:type="dxa"/>
            <w:tcBorders>
              <w:top w:val="single" w:sz="4" w:space="0" w:color="000000"/>
              <w:start w:val="single" w:sz="4" w:space="0" w:color="000000"/>
              <w:bottom w:val="single" w:sz="4" w:space="0" w:color="000000"/>
              <w:end w:val="single" w:sz="4" w:space="0" w:color="000000"/>
            </w:tcBorders>
          </w:tcPr>
          <w:p>
            <w:pPr>
              <w:pStyle w:val="Normal"/>
              <w:spacing w:before="0" w:after="160"/>
              <w:rPr>
                <w:sz w:val="20"/>
                <w:szCs w:val="20"/>
                <w:lang w:val="en-AU" w:eastAsia="en-AU"/>
              </w:rPr>
            </w:pPr>
            <w:r>
              <w:rPr>
                <w:sz w:val="20"/>
                <w:szCs w:val="20"/>
                <w:lang w:val="en-AU" w:eastAsia="en-AU"/>
              </w:rPr>
              <w:t>{{ faira_form.A1_7 | format_list }}</w:t>
            </w:r>
          </w:p>
        </w:tc>
      </w:tr>
      <w:tr>
        <w:trPr/>
        <w:tc>
          <w:tcPr>
            <w:tcW w:w="2157" w:type="dxa"/>
            <w:tcBorders>
              <w:top w:val="single" w:sz="4" w:space="0" w:color="000000"/>
              <w:start w:val="single" w:sz="4" w:space="0" w:color="000000"/>
              <w:bottom w:val="single" w:sz="4" w:space="0" w:color="000000"/>
              <w:end w:val="single" w:sz="4" w:space="0" w:color="000000"/>
            </w:tcBorders>
          </w:tcPr>
          <w:p>
            <w:pPr>
              <w:pStyle w:val="Normal"/>
              <w:spacing w:before="0" w:after="160"/>
              <w:rPr>
                <w:sz w:val="20"/>
                <w:szCs w:val="20"/>
                <w:lang w:val="en-AU" w:eastAsia="en-AU"/>
              </w:rPr>
            </w:pPr>
            <w:r>
              <w:rPr>
                <w:sz w:val="20"/>
                <w:szCs w:val="20"/>
                <w:lang w:val="en-AU" w:eastAsia="en-AU"/>
              </w:rPr>
              <w:t>Solution source</w:t>
            </w:r>
          </w:p>
        </w:tc>
        <w:tc>
          <w:tcPr>
            <w:tcW w:w="6869" w:type="dxa"/>
            <w:tcBorders>
              <w:top w:val="single" w:sz="4" w:space="0" w:color="000000"/>
              <w:start w:val="single" w:sz="4" w:space="0" w:color="000000"/>
              <w:bottom w:val="single" w:sz="4" w:space="0" w:color="000000"/>
              <w:end w:val="single" w:sz="4" w:space="0" w:color="000000"/>
            </w:tcBorders>
          </w:tcPr>
          <w:p>
            <w:pPr>
              <w:pStyle w:val="Normal"/>
              <w:spacing w:before="0" w:after="160"/>
              <w:rPr>
                <w:sz w:val="20"/>
                <w:szCs w:val="20"/>
                <w:lang w:val="en-AU" w:eastAsia="en-AU"/>
              </w:rPr>
            </w:pPr>
            <w:r>
              <w:rPr>
                <w:sz w:val="20"/>
                <w:szCs w:val="20"/>
                <w:lang w:val="en-AU" w:eastAsia="en-AU"/>
              </w:rPr>
              <w:t>{{ faira_form.A1_8 | format_list }}</w:t>
            </w:r>
          </w:p>
        </w:tc>
      </w:tr>
      <w:tr>
        <w:trPr/>
        <w:tc>
          <w:tcPr>
            <w:tcW w:w="2157" w:type="dxa"/>
            <w:tcBorders>
              <w:top w:val="single" w:sz="4" w:space="0" w:color="000000"/>
              <w:start w:val="single" w:sz="4" w:space="0" w:color="000000"/>
              <w:bottom w:val="single" w:sz="4" w:space="0" w:color="000000"/>
              <w:end w:val="single" w:sz="4" w:space="0" w:color="000000"/>
            </w:tcBorders>
          </w:tcPr>
          <w:p>
            <w:pPr>
              <w:pStyle w:val="Normal"/>
              <w:spacing w:before="0" w:after="160"/>
              <w:rPr>
                <w:sz w:val="20"/>
                <w:szCs w:val="20"/>
                <w:lang w:val="en-AU" w:eastAsia="en-AU"/>
              </w:rPr>
            </w:pPr>
            <w:r>
              <w:rPr>
                <w:sz w:val="20"/>
                <w:szCs w:val="20"/>
                <w:lang w:val="en-AU" w:eastAsia="en-AU"/>
              </w:rPr>
              <w:t>System integrations</w:t>
            </w:r>
          </w:p>
        </w:tc>
        <w:tc>
          <w:tcPr>
            <w:tcW w:w="6869" w:type="dxa"/>
            <w:tcBorders>
              <w:top w:val="single" w:sz="4" w:space="0" w:color="000000"/>
              <w:start w:val="single" w:sz="4" w:space="0" w:color="000000"/>
              <w:bottom w:val="single" w:sz="4" w:space="0" w:color="000000"/>
              <w:end w:val="single" w:sz="4" w:space="0" w:color="000000"/>
            </w:tcBorders>
          </w:tcPr>
          <w:p>
            <w:pPr>
              <w:pStyle w:val="Normal"/>
              <w:keepNext w:val="true"/>
              <w:spacing w:before="0" w:after="160"/>
              <w:rPr>
                <w:sz w:val="20"/>
                <w:szCs w:val="20"/>
                <w:lang w:val="en-AU" w:eastAsia="en-AU"/>
              </w:rPr>
            </w:pPr>
            <w:r>
              <w:rPr>
                <w:sz w:val="20"/>
                <w:szCs w:val="20"/>
                <w:lang w:val="en-AU" w:eastAsia="en-AU"/>
              </w:rPr>
              <w:t>{{ faira_form.A1_9 | format_list }}</w:t>
            </w:r>
          </w:p>
        </w:tc>
      </w:tr>
    </w:tbl>
    <w:p>
      <w:pPr>
        <w:pStyle w:val="Caption"/>
        <w:rPr>
          <w:lang w:eastAsia="en-AU"/>
        </w:rPr>
      </w:pPr>
      <w:bookmarkStart w:id="5" w:name="_Toc220351592"/>
      <w:r>
        <w:rPr/>
        <w:t xml:space="preserve">Table </w:t>
      </w:r>
      <w:r>
        <w:rPr/>
        <w:fldChar w:fldCharType="begin"/>
      </w:r>
      <w:r>
        <w:rPr/>
        <w:instrText xml:space="preserve"> SEQ Table \* ARABIC </w:instrText>
      </w:r>
      <w:r>
        <w:rPr/>
        <w:fldChar w:fldCharType="separate"/>
      </w:r>
      <w:r>
        <w:rPr/>
        <w:t>1</w:t>
      </w:r>
      <w:r>
        <w:rPr/>
        <w:fldChar w:fldCharType="end"/>
      </w:r>
      <w:r>
        <w:rPr/>
        <w:t xml:space="preserve"> - System Overview summary</w:t>
      </w:r>
      <w:bookmarkEnd w:id="5"/>
    </w:p>
    <w:p>
      <w:pPr>
        <w:pStyle w:val="Heading02"/>
        <w:numPr>
          <w:ilvl w:val="1"/>
          <w:numId w:val="1"/>
        </w:numPr>
        <w:ind w:hanging="432" w:start="432"/>
        <w:rPr>
          <w:lang w:val="en-AU" w:eastAsia="en-AU"/>
        </w:rPr>
      </w:pPr>
      <w:bookmarkStart w:id="6" w:name="_Toc220351593"/>
      <w:r>
        <w:rPr>
          <w:lang w:val="en-AU" w:eastAsia="en-AU"/>
        </w:rPr>
        <w:t>Data and Inputs</w:t>
      </w:r>
      <w:bookmarkEnd w:id="6"/>
    </w:p>
    <w:p>
      <w:pPr>
        <w:pStyle w:val="Heading2"/>
        <w:rPr>
          <w:rFonts w:ascii="Arial" w:hAnsi="Arial" w:eastAsia="Aptos" w:cs="" w:cstheme="minorBidi" w:eastAsiaTheme="minorHAnsi"/>
          <w:i/>
          <w:iCs/>
          <w:color w:themeColor="text2" w:themeTint="bf" w:val="215E99"/>
          <w:sz w:val="22"/>
          <w:szCs w:val="22"/>
          <w:lang w:eastAsia="en-AU"/>
        </w:rPr>
      </w:pPr>
      <w:r>
        <w:rPr>
          <w:rFonts w:eastAsia="Aptos" w:cs="" w:ascii="Arial" w:hAnsi="Arial" w:cstheme="minorBidi" w:eastAsiaTheme="minorHAnsi"/>
          <w:i/>
          <w:iCs/>
          <w:color w:themeColor="text2" w:themeTint="bf" w:val="215E99"/>
          <w:sz w:val="22"/>
          <w:szCs w:val="22"/>
          <w:lang w:eastAsia="en-AU"/>
        </w:rPr>
        <w:t>Maps to FAIRA 1.8-1.9 (data used and data quality) and AI use inputs (Table 3)</w:t>
      </w:r>
    </w:p>
    <w:p>
      <w:pPr>
        <w:pStyle w:val="Normal"/>
        <w:rPr>
          <w:lang w:val="en-AU"/>
        </w:rPr>
      </w:pPr>
      <w:r>
        <w:rPr>
          <w:lang w:val="en-AU"/>
        </w:rPr>
        <w:t>This section describes the data inputs used by the AI system, including data sources, types, sensitivity, and input mechanisms. Understanding these characteristics provides important context for identifying potential risks related to privacy, data quality, fairness, and downstream impacts. The information presented in this section is descriptive in nature and is used to inform subsequent risk analysis rather than constitute an assessment of compliance or adequacy.</w:t>
      </w:r>
    </w:p>
    <w:p>
      <w:pPr>
        <w:pStyle w:val="Normal"/>
        <w:rPr>
          <w:lang w:val="en-AU" w:eastAsia="en-AU"/>
        </w:rPr>
      </w:pPr>
      <w:r>
        <w:rPr>
          <w:lang w:val="en-AU" w:eastAsia="en-AU"/>
        </w:rPr>
        <w:t>The AI system relies on input data that is tracked and recorded using {{ faira_form.A2_1 | format_list }}.</w:t>
      </w:r>
    </w:p>
    <w:p>
      <w:pPr>
        <w:pStyle w:val="Normal"/>
        <w:rPr/>
      </w:pPr>
      <w:r>
        <w:rPr/>
        <w:t>{%p if faira_form.A2_2 == "Yes" %}</w:t>
      </w:r>
    </w:p>
    <w:p>
      <w:pPr>
        <w:pStyle w:val="Normal"/>
        <w:rPr/>
      </w:pPr>
      <w:r>
        <w:rPr/>
        <w:t>The assessment indicates that the AI system requires data from digital or physical environmental sources. The data sources identified include {{ faira_form.A2_2_sources | format_list if faira_form.A2_2_sources else "source(s) not specified" }}, and the types of data ingested include {{ faira_form.A2_2_data_types | format_list if faira_form.A2_2_data_types else "type(s) not specified" }}.</w:t>
      </w:r>
    </w:p>
    <w:p>
      <w:pPr>
        <w:pStyle w:val="Normal"/>
        <w:rPr/>
      </w:pPr>
      <w:r>
        <w:rPr/>
        <w:t>Controls enabling users or operators to limit the data collected or used by the system are described as {{ faira_form.A2_2_user_limits | replace("Yes — ", "") | replace("Yes - ", "") if faira_form.A2_2_user_limits else "not specified" }}. The ability to trace ingested data back to its source is described as {{ faira_form.A2_2_traceability if faira_form.A2_2_traceability else "not specified" }}, supported by traceability mechanisms including {{ faira_form.A2_2_trace_mechanisms | format_list if faira_form.A2_2_trace_mechanisms else "mechanism(s) not specified" }}</w:t>
      </w:r>
    </w:p>
    <w:p>
      <w:pPr>
        <w:pStyle w:val="Normal"/>
        <w:rPr/>
      </w:pPr>
      <w:r>
        <w:rPr/>
        <w:t>{% if faira_form.A2_2_notes %}. Additional notes: {{ faira_form.A2_2_notes }}{% endif %}</w:t>
      </w:r>
    </w:p>
    <w:p>
      <w:pPr>
        <w:pStyle w:val="Normal"/>
        <w:rPr/>
      </w:pPr>
      <w:r>
        <w:rPr/>
        <w:t>{%p else %}</w:t>
      </w:r>
    </w:p>
    <w:p>
      <w:pPr>
        <w:pStyle w:val="Normal"/>
        <w:rPr/>
      </w:pPr>
      <w:r>
        <w:rPr/>
        <w:t>The assessment indicates that the AI system does not require data from digital or physical environmental sources.</w:t>
      </w:r>
    </w:p>
    <w:p>
      <w:pPr>
        <w:pStyle w:val="Normal"/>
        <w:rPr/>
      </w:pPr>
      <w:r>
        <w:rPr/>
        <w:t>{%p endif %}</w:t>
      </w:r>
    </w:p>
    <w:p>
      <w:pPr>
        <w:pStyle w:val="Normal"/>
        <w:rPr>
          <w:lang w:val="en-AU" w:eastAsia="en-AU"/>
        </w:rPr>
      </w:pPr>
      <w:r>
        <w:rPr>
          <w:lang w:val="en-AU" w:eastAsia="en-AU"/>
        </w:rPr>
        <w:t>To support data integrity and operational reliability, safeguards are implemented to detect and manage corrupted, missing, or out-of-range data inputs. These safeguards include {{ faira_form.A2_3 | format_list }}.</w:t>
      </w:r>
    </w:p>
    <w:p>
      <w:pPr>
        <w:pStyle w:val="Normal"/>
        <w:rPr>
          <w:lang w:val="en-AU" w:eastAsia="en-AU"/>
        </w:rPr>
      </w:pPr>
      <w:r>
        <w:rPr>
          <w:lang w:val="en-AU" w:eastAsia="en-AU"/>
        </w:rPr>
        <w:t>The types of data used by the AI system include {{ faira_form.A2_4 | format_list }}, with an assessed Business Impact Level (BIL) of {{ faira_form.A2_6 }}. This classification provides context for the sensitivity and potential consequence of data misuse or compromise.</w:t>
      </w:r>
    </w:p>
    <w:p>
      <w:pPr>
        <w:pStyle w:val="Normal"/>
        <w:rPr>
          <w:lang w:val="en-AU" w:eastAsia="en-AU"/>
        </w:rPr>
      </w:pPr>
      <w:r>
        <w:rPr>
          <w:lang w:val="en-AU" w:eastAsia="en-AU"/>
        </w:rPr>
        <w:t>The quality of the input data has been rated as follows:</w:t>
      </w:r>
    </w:p>
    <w:p>
      <w:pPr>
        <w:pStyle w:val="ListParagraph"/>
        <w:numPr>
          <w:ilvl w:val="0"/>
          <w:numId w:val="4"/>
        </w:numPr>
        <w:spacing w:before="60" w:after="60"/>
        <w:contextualSpacing w:val="false"/>
        <w:rPr>
          <w:b/>
          <w:bCs/>
          <w:lang w:val="en-AU" w:eastAsia="en-AU"/>
        </w:rPr>
      </w:pPr>
      <w:r>
        <w:rPr>
          <w:lang w:val="en-AU" w:eastAsia="en-AU"/>
        </w:rPr>
        <w:t xml:space="preserve">Accuracy: </w:t>
      </w:r>
      <w:r>
        <w:rPr>
          <w:b/>
          <w:bCs/>
          <w:lang w:eastAsia="en-AU"/>
        </w:rPr>
        <w:t>{{ faira_form.A2_5_accuracy | rating_label }}</w:t>
      </w:r>
    </w:p>
    <w:p>
      <w:pPr>
        <w:pStyle w:val="ListParagraph"/>
        <w:numPr>
          <w:ilvl w:val="0"/>
          <w:numId w:val="4"/>
        </w:numPr>
        <w:spacing w:before="60" w:after="60"/>
        <w:contextualSpacing w:val="false"/>
        <w:rPr>
          <w:lang w:val="en-AU" w:eastAsia="en-AU"/>
        </w:rPr>
      </w:pPr>
      <w:r>
        <w:rPr>
          <w:lang w:val="en-AU" w:eastAsia="en-AU"/>
        </w:rPr>
        <w:t xml:space="preserve">Completeness: </w:t>
      </w:r>
      <w:r>
        <w:rPr>
          <w:b/>
          <w:bCs/>
          <w:lang w:eastAsia="en-AU"/>
        </w:rPr>
        <w:t>{{ faira_form.A2_5_completeness | rating_label }}</w:t>
      </w:r>
    </w:p>
    <w:p>
      <w:pPr>
        <w:pStyle w:val="ListParagraph"/>
        <w:numPr>
          <w:ilvl w:val="0"/>
          <w:numId w:val="4"/>
        </w:numPr>
        <w:spacing w:before="60" w:after="60"/>
        <w:contextualSpacing w:val="false"/>
        <w:rPr>
          <w:lang w:val="en-AU" w:eastAsia="en-AU"/>
        </w:rPr>
      </w:pPr>
      <w:r>
        <w:rPr>
          <w:lang w:val="en-AU" w:eastAsia="en-AU"/>
        </w:rPr>
        <w:t xml:space="preserve">Reliability: </w:t>
      </w:r>
      <w:r>
        <w:rPr>
          <w:b/>
          <w:bCs/>
          <w:lang w:eastAsia="en-AU"/>
        </w:rPr>
        <w:t>{{ faira_form.A2_5_reliability | rating_label }}</w:t>
      </w:r>
    </w:p>
    <w:p>
      <w:pPr>
        <w:pStyle w:val="ListParagraph"/>
        <w:numPr>
          <w:ilvl w:val="0"/>
          <w:numId w:val="4"/>
        </w:numPr>
        <w:spacing w:before="60" w:after="60"/>
        <w:contextualSpacing w:val="false"/>
        <w:rPr>
          <w:b/>
          <w:bCs/>
          <w:lang w:val="en-AU" w:eastAsia="en-AU"/>
        </w:rPr>
      </w:pPr>
      <w:r>
        <w:rPr>
          <w:lang w:val="en-AU" w:eastAsia="en-AU"/>
        </w:rPr>
        <w:t xml:space="preserve">Relevance: </w:t>
      </w:r>
      <w:r>
        <w:rPr>
          <w:b/>
          <w:bCs/>
          <w:lang w:eastAsia="en-AU"/>
        </w:rPr>
        <w:t>{{ faira_form.A2_5_relevance | rating_label }}</w:t>
      </w:r>
    </w:p>
    <w:p>
      <w:pPr>
        <w:pStyle w:val="ListParagraph"/>
        <w:numPr>
          <w:ilvl w:val="0"/>
          <w:numId w:val="4"/>
        </w:numPr>
        <w:spacing w:before="60" w:after="60"/>
        <w:contextualSpacing w:val="false"/>
        <w:rPr>
          <w:lang w:val="en-AU" w:eastAsia="en-AU"/>
        </w:rPr>
      </w:pPr>
      <w:r>
        <w:rPr>
          <w:lang w:val="en-AU" w:eastAsia="en-AU"/>
        </w:rPr>
        <w:t xml:space="preserve">Timeliness: </w:t>
      </w:r>
      <w:r>
        <w:rPr>
          <w:b/>
          <w:bCs/>
          <w:lang w:eastAsia="en-AU"/>
        </w:rPr>
        <w:t>{{ faira_form.A2_5_timeliness | rating_label }}</w:t>
      </w:r>
    </w:p>
    <w:p>
      <w:pPr>
        <w:pStyle w:val="Normal"/>
        <w:spacing w:before="60" w:after="60"/>
        <w:rPr>
          <w:lang w:val="en-AU" w:eastAsia="en-AU"/>
        </w:rPr>
      </w:pPr>
      <w:r>
        <w:rPr>
          <w:lang w:val="en-AU" w:eastAsia="en-AU"/>
        </w:rPr>
      </w:r>
    </w:p>
    <w:p>
      <w:pPr>
        <w:pStyle w:val="Normal"/>
        <w:spacing w:before="60" w:after="60"/>
        <w:rPr>
          <w:lang w:val="en-AU" w:eastAsia="en-AU"/>
        </w:rPr>
      </w:pPr>
      <w:r>
        <w:rPr>
          <w:lang w:val="en-AU" w:eastAsia="en-AU"/>
        </w:rPr>
        <w:t>{%p if faira_form.A2_7 == "Yes" %}</w:t>
      </w:r>
    </w:p>
    <w:p>
      <w:pPr>
        <w:pStyle w:val="Normal"/>
        <w:spacing w:before="60" w:after="60"/>
        <w:rPr>
          <w:lang w:val="en-AU" w:eastAsia="en-AU"/>
        </w:rPr>
      </w:pPr>
      <w:r>
        <w:rPr>
          <w:lang w:val="en-AU" w:eastAsia="en-AU"/>
        </w:rPr>
        <w:t>The AI system has been identified as using regulated or sensitive data. The categories of regulated or sensitive data involved include {{ faira_form.A2_7_data_types | format_list }}.</w:t>
      </w:r>
    </w:p>
    <w:p>
      <w:pPr>
        <w:pStyle w:val="Normal"/>
        <w:spacing w:before="60" w:after="60"/>
        <w:rPr>
          <w:lang w:val="en-AU" w:eastAsia="en-AU"/>
        </w:rPr>
      </w:pPr>
      <w:r>
        <w:rPr>
          <w:lang w:val="en-AU" w:eastAsia="en-AU"/>
        </w:rPr>
        <w:t>{%p else %}</w:t>
      </w:r>
    </w:p>
    <w:p>
      <w:pPr>
        <w:pStyle w:val="Normal"/>
        <w:spacing w:before="60" w:after="60"/>
        <w:rPr>
          <w:lang w:val="en-AU" w:eastAsia="en-AU"/>
        </w:rPr>
      </w:pPr>
      <w:r>
        <w:rPr>
          <w:lang w:val="en-AU" w:eastAsia="en-AU"/>
        </w:rPr>
        <w:t>The organisation has indicated that the AI system does not use regulated or sensitive data.</w:t>
      </w:r>
    </w:p>
    <w:p>
      <w:pPr>
        <w:pStyle w:val="Normal"/>
        <w:spacing w:before="60" w:after="60"/>
        <w:rPr>
          <w:lang w:val="en-AU" w:eastAsia="en-AU"/>
        </w:rPr>
      </w:pPr>
      <w:r>
        <w:rPr>
          <w:lang w:val="en-AU" w:eastAsia="en-AU"/>
        </w:rPr>
        <w:t>{%p endif %}</w:t>
      </w:r>
    </w:p>
    <w:p>
      <w:pPr>
        <w:pStyle w:val="Normal"/>
        <w:spacing w:before="60" w:after="60"/>
        <w:rPr>
          <w:lang w:val="en-AU" w:eastAsia="en-AU"/>
        </w:rPr>
      </w:pPr>
      <w:r>
        <w:rPr>
          <w:lang w:val="en-AU" w:eastAsia="en-AU"/>
        </w:rPr>
        <w:t>{%p if faira_form.A2_8 == "Yes" %}</w:t>
      </w:r>
    </w:p>
    <w:p>
      <w:pPr>
        <w:pStyle w:val="Normal"/>
        <w:spacing w:before="60" w:after="60"/>
        <w:rPr>
          <w:lang w:val="en-AU" w:eastAsia="en-AU"/>
        </w:rPr>
      </w:pPr>
      <w:r>
        <w:rPr>
          <w:lang w:val="en-AU" w:eastAsia="en-AU"/>
        </w:rPr>
        <w:t>The AI system requires user-provided inputs to operate. These inputs include {{ faira_form.A2_8_types | format_list }}.</w:t>
      </w:r>
    </w:p>
    <w:p>
      <w:pPr>
        <w:pStyle w:val="Normal"/>
        <w:spacing w:before="60" w:after="60"/>
        <w:rPr>
          <w:lang w:val="en-AU" w:eastAsia="en-AU"/>
        </w:rPr>
      </w:pPr>
      <w:r>
        <w:rPr>
          <w:lang w:val="en-AU" w:eastAsia="en-AU"/>
        </w:rPr>
        <w:t>{%p else %}</w:t>
      </w:r>
    </w:p>
    <w:p>
      <w:pPr>
        <w:pStyle w:val="Normal"/>
        <w:spacing w:before="60" w:after="60"/>
        <w:rPr>
          <w:lang w:val="en-AU" w:eastAsia="en-AU"/>
        </w:rPr>
      </w:pPr>
      <w:r>
        <w:rPr>
          <w:lang w:val="en-AU" w:eastAsia="en-AU"/>
        </w:rPr>
        <w:t>The AI system does not require direct user inputs as part of its operation.</w:t>
      </w:r>
    </w:p>
    <w:p>
      <w:pPr>
        <w:pStyle w:val="Normal"/>
        <w:spacing w:before="60" w:after="60"/>
        <w:rPr>
          <w:lang w:val="en-AU" w:eastAsia="en-AU"/>
        </w:rPr>
      </w:pPr>
      <w:r>
        <w:rPr>
          <w:lang w:val="en-AU" w:eastAsia="en-AU"/>
        </w:rPr>
        <w:t>{%p endif %}</w:t>
      </w:r>
    </w:p>
    <w:p>
      <w:pPr>
        <w:pStyle w:val="Normal"/>
        <w:spacing w:before="60" w:after="60"/>
        <w:rPr>
          <w:lang w:val="en-AU" w:eastAsia="en-AU"/>
        </w:rPr>
      </w:pPr>
      <w:r>
        <w:rPr>
          <w:lang w:val="en-AU" w:eastAsia="en-AU"/>
        </w:rPr>
        <w:t>Together, these data characteristics inform the assessment of privacy, security, fairness, and reliability risks examined in later sections of this report.</w:t>
      </w:r>
    </w:p>
    <w:p>
      <w:pPr>
        <w:pStyle w:val="Normal"/>
        <w:spacing w:before="60" w:after="60"/>
        <w:rPr>
          <w:lang w:eastAsia="en-AU"/>
        </w:rPr>
      </w:pPr>
      <w:r>
        <w:rPr>
          <w:lang w:eastAsia="en-AU"/>
        </w:rPr>
        <w:t>A summary of key data characteristics is provided below for reference.</w:t>
      </w:r>
    </w:p>
    <w:p>
      <w:pPr>
        <w:pStyle w:val="Normal"/>
        <w:spacing w:before="60" w:after="60"/>
        <w:rPr>
          <w:sz w:val="20"/>
          <w:szCs w:val="20"/>
          <w:lang w:val="en-AU" w:eastAsia="en-AU"/>
        </w:rPr>
      </w:pPr>
      <w:r>
        <w:rPr>
          <w:sz w:val="20"/>
          <w:szCs w:val="20"/>
          <w:lang w:val="en-AU" w:eastAsia="en-AU"/>
        </w:rPr>
      </w:r>
    </w:p>
    <w:tbl>
      <w:tblPr>
        <w:tblW w:w="5000" w:type="pct"/>
        <w:jc w:val="start"/>
        <w:tblInd w:w="0" w:type="dxa"/>
        <w:tblLayout w:type="fixed"/>
        <w:tblCellMar>
          <w:top w:w="43" w:type="dxa"/>
          <w:start w:w="43" w:type="dxa"/>
          <w:bottom w:w="43" w:type="dxa"/>
          <w:end w:w="43" w:type="dxa"/>
        </w:tblCellMar>
        <w:tblLook w:firstRow="1" w:noVBand="1" w:lastRow="0" w:firstColumn="1" w:lastColumn="0" w:noHBand="0" w:val="04a0"/>
      </w:tblPr>
      <w:tblGrid>
        <w:gridCol w:w="2236"/>
        <w:gridCol w:w="6790"/>
      </w:tblGrid>
      <w:tr>
        <w:trPr>
          <w:tblHeader w:val="true"/>
        </w:trPr>
        <w:tc>
          <w:tcPr>
            <w:tcW w:w="2236" w:type="dxa"/>
            <w:tcBorders>
              <w:top w:val="single" w:sz="4" w:space="0" w:color="000000"/>
              <w:start w:val="single" w:sz="4" w:space="0" w:color="000000"/>
              <w:bottom w:val="single" w:sz="4" w:space="0" w:color="000000"/>
              <w:end w:val="single" w:sz="4" w:space="0" w:color="000000"/>
            </w:tcBorders>
            <w:shd w:color="auto" w:fill="D9D9D9" w:themeFill="background1" w:themeFillShade="d9" w:val="clear"/>
          </w:tcPr>
          <w:p>
            <w:pPr>
              <w:pStyle w:val="Normal"/>
              <w:spacing w:before="0" w:after="160"/>
              <w:rPr>
                <w:b/>
                <w:bCs/>
                <w:sz w:val="20"/>
                <w:szCs w:val="20"/>
                <w:lang w:val="en-AU" w:eastAsia="en-AU"/>
              </w:rPr>
            </w:pPr>
            <w:r>
              <w:rPr>
                <w:b/>
                <w:bCs/>
                <w:sz w:val="20"/>
                <w:szCs w:val="20"/>
                <w:lang w:val="en-AU" w:eastAsia="en-AU"/>
              </w:rPr>
              <w:t>Data Aspect</w:t>
            </w:r>
          </w:p>
        </w:tc>
        <w:tc>
          <w:tcPr>
            <w:tcW w:w="6790" w:type="dxa"/>
            <w:tcBorders>
              <w:top w:val="single" w:sz="4" w:space="0" w:color="000000"/>
              <w:start w:val="single" w:sz="4" w:space="0" w:color="000000"/>
              <w:bottom w:val="single" w:sz="4" w:space="0" w:color="000000"/>
              <w:end w:val="single" w:sz="4" w:space="0" w:color="000000"/>
            </w:tcBorders>
            <w:shd w:color="auto" w:fill="D9D9D9" w:themeFill="background1" w:themeFillShade="d9" w:val="clear"/>
          </w:tcPr>
          <w:p>
            <w:pPr>
              <w:pStyle w:val="Normal"/>
              <w:spacing w:before="0" w:after="160"/>
              <w:rPr>
                <w:b/>
                <w:bCs/>
                <w:sz w:val="20"/>
                <w:szCs w:val="20"/>
                <w:lang w:val="en-AU" w:eastAsia="en-AU"/>
              </w:rPr>
            </w:pPr>
            <w:r>
              <w:rPr>
                <w:b/>
                <w:bCs/>
                <w:sz w:val="20"/>
                <w:szCs w:val="20"/>
                <w:lang w:val="en-AU" w:eastAsia="en-AU"/>
              </w:rPr>
              <w:t>Description</w:t>
            </w:r>
          </w:p>
        </w:tc>
      </w:tr>
      <w:tr>
        <w:trPr/>
        <w:tc>
          <w:tcPr>
            <w:tcW w:w="2236" w:type="dxa"/>
            <w:tcBorders>
              <w:top w:val="single" w:sz="4" w:space="0" w:color="000000"/>
              <w:start w:val="single" w:sz="4" w:space="0" w:color="000000"/>
              <w:bottom w:val="single" w:sz="4" w:space="0" w:color="000000"/>
              <w:end w:val="single" w:sz="4" w:space="0" w:color="000000"/>
            </w:tcBorders>
          </w:tcPr>
          <w:p>
            <w:pPr>
              <w:pStyle w:val="Normal"/>
              <w:spacing w:before="0" w:after="160"/>
              <w:rPr>
                <w:sz w:val="20"/>
                <w:szCs w:val="20"/>
                <w:lang w:val="en-AU" w:eastAsia="en-AU"/>
              </w:rPr>
            </w:pPr>
            <w:r>
              <w:rPr>
                <w:sz w:val="20"/>
                <w:szCs w:val="20"/>
                <w:lang w:val="en-AU" w:eastAsia="en-AU"/>
              </w:rPr>
              <w:t>External / environmental data required</w:t>
            </w:r>
          </w:p>
        </w:tc>
        <w:tc>
          <w:tcPr>
            <w:tcW w:w="6790" w:type="dxa"/>
            <w:tcBorders>
              <w:top w:val="single" w:sz="4" w:space="0" w:color="000000"/>
              <w:start w:val="single" w:sz="4" w:space="0" w:color="000000"/>
              <w:bottom w:val="single" w:sz="4" w:space="0" w:color="000000"/>
              <w:end w:val="single" w:sz="4" w:space="0" w:color="000000"/>
            </w:tcBorders>
          </w:tcPr>
          <w:p>
            <w:pPr>
              <w:pStyle w:val="Normal"/>
              <w:spacing w:before="0" w:after="160"/>
              <w:rPr>
                <w:sz w:val="20"/>
                <w:szCs w:val="20"/>
                <w:lang w:val="en-AU" w:eastAsia="en-AU"/>
              </w:rPr>
            </w:pPr>
            <w:r>
              <w:rPr>
                <w:sz w:val="20"/>
                <w:szCs w:val="20"/>
              </w:rPr>
              <w:t>{{ faira_form.A2_2 if faira_form.A2_2 else "Not specified" }}</w:t>
            </w:r>
          </w:p>
        </w:tc>
      </w:tr>
      <w:tr>
        <w:trPr/>
        <w:tc>
          <w:tcPr>
            <w:tcW w:w="2236" w:type="dxa"/>
            <w:tcBorders>
              <w:top w:val="single" w:sz="4" w:space="0" w:color="000000"/>
              <w:start w:val="single" w:sz="4" w:space="0" w:color="000000"/>
              <w:bottom w:val="single" w:sz="4" w:space="0" w:color="000000"/>
              <w:end w:val="single" w:sz="4" w:space="0" w:color="000000"/>
            </w:tcBorders>
          </w:tcPr>
          <w:p>
            <w:pPr>
              <w:pStyle w:val="Normal"/>
              <w:spacing w:before="0" w:after="160"/>
              <w:rPr>
                <w:sz w:val="20"/>
                <w:szCs w:val="20"/>
                <w:lang w:val="en-AU" w:eastAsia="en-AU"/>
              </w:rPr>
            </w:pPr>
            <w:r>
              <w:rPr>
                <w:sz w:val="20"/>
                <w:szCs w:val="20"/>
              </w:rPr>
              <w:t>Data sources</w:t>
            </w:r>
          </w:p>
        </w:tc>
        <w:tc>
          <w:tcPr>
            <w:tcW w:w="6790" w:type="dxa"/>
            <w:tcBorders>
              <w:top w:val="single" w:sz="4" w:space="0" w:color="000000"/>
              <w:start w:val="single" w:sz="4" w:space="0" w:color="000000"/>
              <w:bottom w:val="single" w:sz="4" w:space="0" w:color="000000"/>
              <w:end w:val="single" w:sz="4" w:space="0" w:color="000000"/>
            </w:tcBorders>
          </w:tcPr>
          <w:p>
            <w:pPr>
              <w:pStyle w:val="Normal"/>
              <w:spacing w:before="0" w:after="160"/>
              <w:rPr>
                <w:sz w:val="20"/>
                <w:szCs w:val="20"/>
                <w:lang w:val="en-AU" w:eastAsia="en-AU"/>
              </w:rPr>
            </w:pPr>
            <w:r>
              <w:rPr>
                <w:sz w:val="20"/>
                <w:szCs w:val="20"/>
              </w:rPr>
              <w:t>{% if faira_form.A2_2 == "Yes" %}{{ faira_form.A2_2_sources | format_list if faira_form.A2_2_sources else "Not specified" }}{% else %}Not applicable{% endif %}</w:t>
            </w:r>
          </w:p>
        </w:tc>
      </w:tr>
      <w:tr>
        <w:trPr/>
        <w:tc>
          <w:tcPr>
            <w:tcW w:w="2236" w:type="dxa"/>
            <w:tcBorders>
              <w:top w:val="single" w:sz="4" w:space="0" w:color="000000"/>
              <w:start w:val="single" w:sz="4" w:space="0" w:color="000000"/>
              <w:bottom w:val="single" w:sz="4" w:space="0" w:color="000000"/>
              <w:end w:val="single" w:sz="4" w:space="0" w:color="000000"/>
            </w:tcBorders>
          </w:tcPr>
          <w:p>
            <w:pPr>
              <w:pStyle w:val="Normal"/>
              <w:spacing w:before="0" w:after="160"/>
              <w:rPr>
                <w:sz w:val="20"/>
                <w:szCs w:val="20"/>
                <w:lang w:val="en-AU" w:eastAsia="en-AU"/>
              </w:rPr>
            </w:pPr>
            <w:r>
              <w:rPr>
                <w:sz w:val="20"/>
                <w:szCs w:val="20"/>
              </w:rPr>
              <w:t>Data types</w:t>
            </w:r>
          </w:p>
        </w:tc>
        <w:tc>
          <w:tcPr>
            <w:tcW w:w="6790" w:type="dxa"/>
            <w:tcBorders>
              <w:top w:val="single" w:sz="4" w:space="0" w:color="000000"/>
              <w:start w:val="single" w:sz="4" w:space="0" w:color="000000"/>
              <w:bottom w:val="single" w:sz="4" w:space="0" w:color="000000"/>
              <w:end w:val="single" w:sz="4" w:space="0" w:color="000000"/>
            </w:tcBorders>
          </w:tcPr>
          <w:p>
            <w:pPr>
              <w:pStyle w:val="Normal"/>
              <w:spacing w:before="0" w:after="160"/>
              <w:rPr>
                <w:sz w:val="20"/>
                <w:szCs w:val="20"/>
                <w:lang w:val="en-AU" w:eastAsia="en-AU"/>
              </w:rPr>
            </w:pPr>
            <w:r>
              <w:rPr>
                <w:sz w:val="20"/>
                <w:szCs w:val="20"/>
              </w:rPr>
              <w:t>{% if faira_form.A2_2 == "Yes" %}{{ faira_form.A2_2_data_types | format_list if faira_form.A2_2_data_types else "Not specified" }}{% else %}Not applicable{% endif %}</w:t>
            </w:r>
          </w:p>
        </w:tc>
      </w:tr>
      <w:tr>
        <w:trPr/>
        <w:tc>
          <w:tcPr>
            <w:tcW w:w="2236" w:type="dxa"/>
            <w:tcBorders>
              <w:top w:val="single" w:sz="4" w:space="0" w:color="000000"/>
              <w:start w:val="single" w:sz="4" w:space="0" w:color="000000"/>
              <w:bottom w:val="single" w:sz="4" w:space="0" w:color="000000"/>
              <w:end w:val="single" w:sz="4" w:space="0" w:color="000000"/>
            </w:tcBorders>
          </w:tcPr>
          <w:p>
            <w:pPr>
              <w:pStyle w:val="Normal"/>
              <w:spacing w:before="0" w:after="160"/>
              <w:rPr>
                <w:sz w:val="20"/>
                <w:szCs w:val="20"/>
                <w:lang w:val="en-AU" w:eastAsia="en-AU"/>
              </w:rPr>
            </w:pPr>
            <w:r>
              <w:rPr>
                <w:sz w:val="20"/>
                <w:szCs w:val="20"/>
              </w:rPr>
              <w:t>User ability to limit data</w:t>
            </w:r>
          </w:p>
        </w:tc>
        <w:tc>
          <w:tcPr>
            <w:tcW w:w="6790" w:type="dxa"/>
            <w:tcBorders>
              <w:top w:val="single" w:sz="4" w:space="0" w:color="000000"/>
              <w:start w:val="single" w:sz="4" w:space="0" w:color="000000"/>
              <w:bottom w:val="single" w:sz="4" w:space="0" w:color="000000"/>
              <w:end w:val="single" w:sz="4" w:space="0" w:color="000000"/>
            </w:tcBorders>
          </w:tcPr>
          <w:p>
            <w:pPr>
              <w:pStyle w:val="Normal"/>
              <w:spacing w:before="0" w:after="160"/>
              <w:rPr>
                <w:sz w:val="20"/>
                <w:szCs w:val="20"/>
                <w:lang w:val="en-AU" w:eastAsia="en-AU"/>
              </w:rPr>
            </w:pPr>
            <w:r>
              <w:rPr>
                <w:sz w:val="20"/>
                <w:szCs w:val="20"/>
              </w:rPr>
              <w:t>{% if faira_form.A2_2 == "Yes" %}{{ faira_form.A2_2_user_limits if faira_form.A2_2_user_limits else "Not specified" }}{% else %}Not applicable{% endif %}</w:t>
            </w:r>
          </w:p>
        </w:tc>
      </w:tr>
      <w:tr>
        <w:trPr/>
        <w:tc>
          <w:tcPr>
            <w:tcW w:w="2236" w:type="dxa"/>
            <w:tcBorders>
              <w:top w:val="single" w:sz="4" w:space="0" w:color="000000"/>
              <w:start w:val="single" w:sz="4" w:space="0" w:color="000000"/>
              <w:bottom w:val="single" w:sz="4" w:space="0" w:color="000000"/>
              <w:end w:val="single" w:sz="4" w:space="0" w:color="000000"/>
            </w:tcBorders>
          </w:tcPr>
          <w:p>
            <w:pPr>
              <w:pStyle w:val="Normal"/>
              <w:spacing w:before="0" w:after="160"/>
              <w:rPr>
                <w:sz w:val="20"/>
                <w:szCs w:val="20"/>
                <w:lang w:val="en-AU" w:eastAsia="en-AU"/>
              </w:rPr>
            </w:pPr>
            <w:r>
              <w:rPr>
                <w:sz w:val="20"/>
                <w:szCs w:val="20"/>
              </w:rPr>
              <w:t>Data traceability</w:t>
            </w:r>
          </w:p>
        </w:tc>
        <w:tc>
          <w:tcPr>
            <w:tcW w:w="6790" w:type="dxa"/>
            <w:tcBorders>
              <w:top w:val="single" w:sz="4" w:space="0" w:color="000000"/>
              <w:start w:val="single" w:sz="4" w:space="0" w:color="000000"/>
              <w:bottom w:val="single" w:sz="4" w:space="0" w:color="000000"/>
              <w:end w:val="single" w:sz="4" w:space="0" w:color="000000"/>
            </w:tcBorders>
          </w:tcPr>
          <w:p>
            <w:pPr>
              <w:pStyle w:val="Normal"/>
              <w:spacing w:before="0" w:after="160"/>
              <w:rPr>
                <w:sz w:val="20"/>
                <w:szCs w:val="20"/>
                <w:lang w:val="en-AU" w:eastAsia="en-AU"/>
              </w:rPr>
            </w:pPr>
            <w:r>
              <w:rPr>
                <w:sz w:val="20"/>
                <w:szCs w:val="20"/>
              </w:rPr>
              <w:t>{% if faira_form.A2_2 == "Yes" %}{{ faira_form.A2_2_traceability if faira_form.A2_2_traceability else "Not specified" }}{% else %}Not applicable{% endif %}</w:t>
            </w:r>
          </w:p>
        </w:tc>
      </w:tr>
      <w:tr>
        <w:trPr/>
        <w:tc>
          <w:tcPr>
            <w:tcW w:w="2236" w:type="dxa"/>
            <w:tcBorders>
              <w:top w:val="single" w:sz="4" w:space="0" w:color="000000"/>
              <w:start w:val="single" w:sz="4" w:space="0" w:color="000000"/>
              <w:bottom w:val="single" w:sz="4" w:space="0" w:color="000000"/>
              <w:end w:val="single" w:sz="4" w:space="0" w:color="000000"/>
            </w:tcBorders>
          </w:tcPr>
          <w:p>
            <w:pPr>
              <w:pStyle w:val="Normal"/>
              <w:spacing w:before="0" w:after="160"/>
              <w:rPr>
                <w:sz w:val="20"/>
                <w:szCs w:val="20"/>
                <w:lang w:val="en-AU" w:eastAsia="en-AU"/>
              </w:rPr>
            </w:pPr>
            <w:r>
              <w:rPr>
                <w:sz w:val="20"/>
                <w:szCs w:val="20"/>
              </w:rPr>
              <w:t>Traceability mechanisms</w:t>
            </w:r>
          </w:p>
        </w:tc>
        <w:tc>
          <w:tcPr>
            <w:tcW w:w="6790" w:type="dxa"/>
            <w:tcBorders>
              <w:top w:val="single" w:sz="4" w:space="0" w:color="000000"/>
              <w:start w:val="single" w:sz="4" w:space="0" w:color="000000"/>
              <w:bottom w:val="single" w:sz="4" w:space="0" w:color="000000"/>
              <w:end w:val="single" w:sz="4" w:space="0" w:color="000000"/>
            </w:tcBorders>
          </w:tcPr>
          <w:p>
            <w:pPr>
              <w:pStyle w:val="Normal"/>
              <w:spacing w:before="0" w:after="160"/>
              <w:rPr>
                <w:sz w:val="20"/>
                <w:szCs w:val="20"/>
                <w:lang w:val="en-AU" w:eastAsia="en-AU"/>
              </w:rPr>
            </w:pPr>
            <w:r>
              <w:rPr>
                <w:sz w:val="20"/>
                <w:szCs w:val="20"/>
              </w:rPr>
              <w:t>{% if faira_form.A2_2 == "Yes" %}{{ faira_form.A2_2_trace_mechanisms | format_list if faira_form.A2_2_trace_mechanisms else "Not specified" }}{% else %}Not applicable{% endif %}</w:t>
            </w:r>
          </w:p>
        </w:tc>
      </w:tr>
      <w:tr>
        <w:trPr/>
        <w:tc>
          <w:tcPr>
            <w:tcW w:w="2236" w:type="dxa"/>
            <w:tcBorders>
              <w:top w:val="single" w:sz="4" w:space="0" w:color="000000"/>
              <w:start w:val="single" w:sz="4" w:space="0" w:color="000000"/>
              <w:bottom w:val="single" w:sz="4" w:space="0" w:color="000000"/>
              <w:end w:val="single" w:sz="4" w:space="0" w:color="000000"/>
            </w:tcBorders>
          </w:tcPr>
          <w:p>
            <w:pPr>
              <w:pStyle w:val="Normal"/>
              <w:spacing w:before="0" w:after="160"/>
              <w:rPr>
                <w:sz w:val="20"/>
                <w:szCs w:val="20"/>
              </w:rPr>
            </w:pPr>
            <w:r>
              <w:rPr>
                <w:sz w:val="20"/>
                <w:szCs w:val="20"/>
              </w:rPr>
              <w:t>Notes</w:t>
            </w:r>
          </w:p>
        </w:tc>
        <w:tc>
          <w:tcPr>
            <w:tcW w:w="6790" w:type="dxa"/>
            <w:tcBorders>
              <w:top w:val="single" w:sz="4" w:space="0" w:color="000000"/>
              <w:start w:val="single" w:sz="4" w:space="0" w:color="000000"/>
              <w:bottom w:val="single" w:sz="4" w:space="0" w:color="000000"/>
              <w:end w:val="single" w:sz="4" w:space="0" w:color="000000"/>
            </w:tcBorders>
          </w:tcPr>
          <w:p>
            <w:pPr>
              <w:pStyle w:val="Normal"/>
              <w:spacing w:before="0" w:after="160"/>
              <w:rPr>
                <w:sz w:val="20"/>
                <w:szCs w:val="20"/>
              </w:rPr>
            </w:pPr>
            <w:r>
              <w:rPr>
                <w:sz w:val="20"/>
                <w:szCs w:val="20"/>
              </w:rPr>
              <w:t>{% if faira_form.A2_2 == "Yes" and faira_form.A2_2_notes %}{{ faira_form.A2_2_notes }}{% else %}—{% endif %}</w:t>
            </w:r>
          </w:p>
        </w:tc>
      </w:tr>
      <w:tr>
        <w:trPr/>
        <w:tc>
          <w:tcPr>
            <w:tcW w:w="2236" w:type="dxa"/>
            <w:tcBorders>
              <w:top w:val="single" w:sz="4" w:space="0" w:color="000000"/>
              <w:start w:val="single" w:sz="4" w:space="0" w:color="000000"/>
              <w:bottom w:val="single" w:sz="4" w:space="0" w:color="000000"/>
              <w:end w:val="single" w:sz="4" w:space="0" w:color="000000"/>
            </w:tcBorders>
          </w:tcPr>
          <w:p>
            <w:pPr>
              <w:pStyle w:val="Normal"/>
              <w:spacing w:before="0" w:after="160"/>
              <w:rPr>
                <w:sz w:val="20"/>
                <w:szCs w:val="20"/>
                <w:lang w:val="en-AU" w:eastAsia="en-AU"/>
              </w:rPr>
            </w:pPr>
            <w:r>
              <w:rPr>
                <w:sz w:val="20"/>
                <w:szCs w:val="20"/>
                <w:lang w:val="en-AU" w:eastAsia="en-AU"/>
              </w:rPr>
              <w:t>Data integrity safeguards</w:t>
            </w:r>
          </w:p>
        </w:tc>
        <w:tc>
          <w:tcPr>
            <w:tcW w:w="6790" w:type="dxa"/>
            <w:tcBorders>
              <w:top w:val="single" w:sz="4" w:space="0" w:color="000000"/>
              <w:start w:val="single" w:sz="4" w:space="0" w:color="000000"/>
              <w:bottom w:val="single" w:sz="4" w:space="0" w:color="000000"/>
              <w:end w:val="single" w:sz="4" w:space="0" w:color="000000"/>
            </w:tcBorders>
          </w:tcPr>
          <w:p>
            <w:pPr>
              <w:pStyle w:val="Normal"/>
              <w:spacing w:before="0" w:after="160"/>
              <w:rPr>
                <w:sz w:val="20"/>
                <w:szCs w:val="20"/>
                <w:lang w:val="en-AU" w:eastAsia="en-AU"/>
              </w:rPr>
            </w:pPr>
            <w:r>
              <w:rPr>
                <w:sz w:val="20"/>
                <w:szCs w:val="20"/>
                <w:lang w:val="en-AU" w:eastAsia="en-AU"/>
              </w:rPr>
              <w:t>{{ faira_form.A2_3 | format_list }}</w:t>
            </w:r>
          </w:p>
        </w:tc>
      </w:tr>
      <w:tr>
        <w:trPr/>
        <w:tc>
          <w:tcPr>
            <w:tcW w:w="2236" w:type="dxa"/>
            <w:tcBorders>
              <w:top w:val="single" w:sz="4" w:space="0" w:color="000000"/>
              <w:start w:val="single" w:sz="4" w:space="0" w:color="000000"/>
              <w:bottom w:val="single" w:sz="4" w:space="0" w:color="000000"/>
              <w:end w:val="single" w:sz="4" w:space="0" w:color="000000"/>
            </w:tcBorders>
          </w:tcPr>
          <w:p>
            <w:pPr>
              <w:pStyle w:val="Normal"/>
              <w:spacing w:before="0" w:after="160"/>
              <w:rPr>
                <w:sz w:val="20"/>
                <w:szCs w:val="20"/>
                <w:lang w:val="en-AU" w:eastAsia="en-AU"/>
              </w:rPr>
            </w:pPr>
            <w:r>
              <w:rPr>
                <w:sz w:val="20"/>
                <w:szCs w:val="20"/>
                <w:lang w:val="en-AU" w:eastAsia="en-AU"/>
              </w:rPr>
              <w:t>Data types used</w:t>
            </w:r>
          </w:p>
        </w:tc>
        <w:tc>
          <w:tcPr>
            <w:tcW w:w="6790" w:type="dxa"/>
            <w:tcBorders>
              <w:top w:val="single" w:sz="4" w:space="0" w:color="000000"/>
              <w:start w:val="single" w:sz="4" w:space="0" w:color="000000"/>
              <w:bottom w:val="single" w:sz="4" w:space="0" w:color="000000"/>
              <w:end w:val="single" w:sz="4" w:space="0" w:color="000000"/>
            </w:tcBorders>
          </w:tcPr>
          <w:p>
            <w:pPr>
              <w:pStyle w:val="Normal"/>
              <w:spacing w:before="0" w:after="160"/>
              <w:rPr>
                <w:sz w:val="20"/>
                <w:szCs w:val="20"/>
                <w:lang w:val="en-AU" w:eastAsia="en-AU"/>
              </w:rPr>
            </w:pPr>
            <w:r>
              <w:rPr>
                <w:sz w:val="20"/>
                <w:szCs w:val="20"/>
                <w:lang w:val="en-AU" w:eastAsia="en-AU"/>
              </w:rPr>
              <w:t>{{ faira_form.A2_4 | format_list }}</w:t>
            </w:r>
          </w:p>
        </w:tc>
      </w:tr>
      <w:tr>
        <w:trPr/>
        <w:tc>
          <w:tcPr>
            <w:tcW w:w="2236" w:type="dxa"/>
            <w:tcBorders>
              <w:top w:val="single" w:sz="4" w:space="0" w:color="000000"/>
              <w:start w:val="single" w:sz="4" w:space="0" w:color="000000"/>
              <w:bottom w:val="single" w:sz="4" w:space="0" w:color="000000"/>
              <w:end w:val="single" w:sz="4" w:space="0" w:color="000000"/>
            </w:tcBorders>
          </w:tcPr>
          <w:p>
            <w:pPr>
              <w:pStyle w:val="Normal"/>
              <w:spacing w:before="0" w:after="160"/>
              <w:rPr>
                <w:sz w:val="20"/>
                <w:szCs w:val="20"/>
                <w:lang w:val="en-AU" w:eastAsia="en-AU"/>
              </w:rPr>
            </w:pPr>
            <w:r>
              <w:rPr>
                <w:sz w:val="20"/>
                <w:szCs w:val="20"/>
                <w:lang w:val="en-AU" w:eastAsia="en-AU"/>
              </w:rPr>
              <w:t>Business Impact Level (BIL)</w:t>
            </w:r>
          </w:p>
        </w:tc>
        <w:tc>
          <w:tcPr>
            <w:tcW w:w="6790" w:type="dxa"/>
            <w:tcBorders>
              <w:top w:val="single" w:sz="4" w:space="0" w:color="000000"/>
              <w:start w:val="single" w:sz="4" w:space="0" w:color="000000"/>
              <w:bottom w:val="single" w:sz="4" w:space="0" w:color="000000"/>
              <w:end w:val="single" w:sz="4" w:space="0" w:color="000000"/>
            </w:tcBorders>
          </w:tcPr>
          <w:p>
            <w:pPr>
              <w:pStyle w:val="Normal"/>
              <w:spacing w:before="0" w:after="160"/>
              <w:rPr>
                <w:sz w:val="20"/>
                <w:szCs w:val="20"/>
                <w:lang w:val="en-AU" w:eastAsia="en-AU"/>
              </w:rPr>
            </w:pPr>
            <w:r>
              <w:rPr>
                <w:sz w:val="20"/>
                <w:szCs w:val="20"/>
                <w:lang w:val="en-AU" w:eastAsia="en-AU"/>
              </w:rPr>
              <w:t>{{ faira_form.A2_6 if faira_form.A2_6 else "Not specified" }}</w:t>
            </w:r>
          </w:p>
        </w:tc>
      </w:tr>
      <w:tr>
        <w:trPr/>
        <w:tc>
          <w:tcPr>
            <w:tcW w:w="2236" w:type="dxa"/>
            <w:tcBorders>
              <w:top w:val="single" w:sz="4" w:space="0" w:color="000000"/>
              <w:start w:val="single" w:sz="4" w:space="0" w:color="000000"/>
              <w:bottom w:val="single" w:sz="4" w:space="0" w:color="000000"/>
              <w:end w:val="single" w:sz="4" w:space="0" w:color="000000"/>
            </w:tcBorders>
          </w:tcPr>
          <w:p>
            <w:pPr>
              <w:pStyle w:val="Normal"/>
              <w:spacing w:before="0" w:after="160"/>
              <w:rPr>
                <w:sz w:val="20"/>
                <w:szCs w:val="20"/>
                <w:lang w:val="en-AU" w:eastAsia="en-AU"/>
              </w:rPr>
            </w:pPr>
            <w:r>
              <w:rPr>
                <w:sz w:val="20"/>
                <w:szCs w:val="20"/>
                <w:lang w:val="en-AU" w:eastAsia="en-AU"/>
              </w:rPr>
              <w:t>Regulated or sensitive data</w:t>
            </w:r>
          </w:p>
        </w:tc>
        <w:tc>
          <w:tcPr>
            <w:tcW w:w="6790" w:type="dxa"/>
            <w:tcBorders>
              <w:top w:val="single" w:sz="4" w:space="0" w:color="000000"/>
              <w:start w:val="single" w:sz="4" w:space="0" w:color="000000"/>
              <w:bottom w:val="single" w:sz="4" w:space="0" w:color="000000"/>
              <w:end w:val="single" w:sz="4" w:space="0" w:color="000000"/>
            </w:tcBorders>
          </w:tcPr>
          <w:p>
            <w:pPr>
              <w:pStyle w:val="Normal"/>
              <w:spacing w:before="60" w:after="60"/>
              <w:rPr>
                <w:lang w:val="en-AU" w:eastAsia="en-AU"/>
              </w:rPr>
            </w:pPr>
            <w:r>
              <w:rPr>
                <w:sz w:val="20"/>
                <w:szCs w:val="20"/>
                <w:lang w:val="en-AU" w:eastAsia="en-AU"/>
              </w:rPr>
              <w:t>{% if faira_form.A2_7 == "Yes" %}Yes — {{ faira_form.A2_7_data_types | format_list }}{% endif %}</w:t>
            </w:r>
          </w:p>
          <w:p>
            <w:pPr>
              <w:pStyle w:val="Normal"/>
              <w:spacing w:before="0" w:after="160"/>
              <w:rPr>
                <w:sz w:val="20"/>
                <w:szCs w:val="20"/>
                <w:lang w:val="en-AU" w:eastAsia="en-AU"/>
              </w:rPr>
            </w:pPr>
            <w:r>
              <w:rPr>
                <w:sz w:val="20"/>
                <w:szCs w:val="20"/>
                <w:lang w:val="en-AU" w:eastAsia="en-AU"/>
              </w:rPr>
            </w:r>
          </w:p>
        </w:tc>
      </w:tr>
      <w:tr>
        <w:trPr/>
        <w:tc>
          <w:tcPr>
            <w:tcW w:w="2236" w:type="dxa"/>
            <w:tcBorders>
              <w:top w:val="single" w:sz="4" w:space="0" w:color="000000"/>
              <w:start w:val="single" w:sz="4" w:space="0" w:color="000000"/>
              <w:bottom w:val="single" w:sz="4" w:space="0" w:color="000000"/>
              <w:end w:val="single" w:sz="4" w:space="0" w:color="000000"/>
            </w:tcBorders>
          </w:tcPr>
          <w:p>
            <w:pPr>
              <w:pStyle w:val="Normal"/>
              <w:spacing w:before="0" w:after="160"/>
              <w:rPr>
                <w:sz w:val="20"/>
                <w:szCs w:val="20"/>
                <w:lang w:val="en-AU" w:eastAsia="en-AU"/>
              </w:rPr>
            </w:pPr>
            <w:r>
              <w:rPr>
                <w:sz w:val="20"/>
                <w:szCs w:val="20"/>
                <w:lang w:val="en-AU" w:eastAsia="en-AU"/>
              </w:rPr>
              <w:t>User-provided inputs required</w:t>
            </w:r>
          </w:p>
        </w:tc>
        <w:tc>
          <w:tcPr>
            <w:tcW w:w="6790" w:type="dxa"/>
            <w:tcBorders>
              <w:top w:val="single" w:sz="4" w:space="0" w:color="000000"/>
              <w:start w:val="single" w:sz="4" w:space="0" w:color="000000"/>
              <w:bottom w:val="single" w:sz="4" w:space="0" w:color="000000"/>
              <w:end w:val="single" w:sz="4" w:space="0" w:color="000000"/>
            </w:tcBorders>
          </w:tcPr>
          <w:p>
            <w:pPr>
              <w:pStyle w:val="Normal"/>
              <w:spacing w:before="0" w:after="160"/>
              <w:rPr>
                <w:sz w:val="20"/>
                <w:szCs w:val="20"/>
                <w:lang w:val="en-AU" w:eastAsia="en-AU"/>
              </w:rPr>
            </w:pPr>
            <w:r>
              <w:rPr>
                <w:sz w:val="20"/>
                <w:szCs w:val="20"/>
                <w:lang w:val="en-AU" w:eastAsia="en-AU"/>
              </w:rPr>
              <w:t>{% if faira_form.A2_8 == "Yes" %}Yes — {{ faira_form.A2_8_types | format_list }}{% endif %}</w:t>
            </w:r>
          </w:p>
        </w:tc>
      </w:tr>
    </w:tbl>
    <w:p>
      <w:pPr>
        <w:pStyle w:val="Caption"/>
        <w:rPr>
          <w:lang w:eastAsia="en-AU"/>
        </w:rPr>
      </w:pPr>
      <w:bookmarkStart w:id="7" w:name="_Toc220351594"/>
      <w:r>
        <w:rPr/>
        <w:t xml:space="preserve">Table </w:t>
      </w:r>
      <w:r>
        <w:rPr/>
        <w:fldChar w:fldCharType="begin"/>
      </w:r>
      <w:r>
        <w:rPr/>
        <w:instrText xml:space="preserve"> SEQ Table \* ARABIC </w:instrText>
      </w:r>
      <w:r>
        <w:rPr/>
        <w:fldChar w:fldCharType="separate"/>
      </w:r>
      <w:r>
        <w:rPr/>
        <w:t>2</w:t>
      </w:r>
      <w:r>
        <w:rPr/>
        <w:fldChar w:fldCharType="end"/>
      </w:r>
      <w:r>
        <w:rPr/>
        <w:t xml:space="preserve"> – Data Characteristics summary</w:t>
      </w:r>
      <w:bookmarkEnd w:id="7"/>
    </w:p>
    <w:p>
      <w:pPr>
        <w:pStyle w:val="Heading02"/>
        <w:numPr>
          <w:ilvl w:val="1"/>
          <w:numId w:val="1"/>
        </w:numPr>
        <w:ind w:hanging="432" w:start="432"/>
        <w:rPr>
          <w:lang w:val="en-AU" w:eastAsia="en-AU"/>
        </w:rPr>
      </w:pPr>
      <w:bookmarkStart w:id="8" w:name="_Toc220351595"/>
      <w:r>
        <w:rPr>
          <w:lang w:val="en-AU" w:eastAsia="en-AU"/>
        </w:rPr>
        <w:t>Human Interface and Impact</w:t>
      </w:r>
      <w:bookmarkEnd w:id="8"/>
    </w:p>
    <w:p>
      <w:pPr>
        <w:pStyle w:val="Heading2"/>
        <w:rPr>
          <w:rFonts w:ascii="Arial" w:hAnsi="Arial" w:eastAsia="Aptos" w:cs="" w:cstheme="minorBidi" w:eastAsiaTheme="minorHAnsi"/>
          <w:i/>
          <w:iCs/>
          <w:color w:themeColor="text2" w:themeTint="bf" w:val="215E99"/>
          <w:sz w:val="22"/>
          <w:szCs w:val="22"/>
          <w:lang w:eastAsia="en-AU"/>
        </w:rPr>
      </w:pPr>
      <w:r>
        <w:rPr>
          <w:rFonts w:eastAsia="Aptos" w:cs="" w:ascii="Arial" w:hAnsi="Arial" w:cstheme="minorBidi" w:eastAsiaTheme="minorHAnsi"/>
          <w:i/>
          <w:iCs/>
          <w:color w:themeColor="text2" w:themeTint="bf" w:val="215E99"/>
          <w:sz w:val="22"/>
          <w:szCs w:val="22"/>
          <w:lang w:eastAsia="en-AU"/>
        </w:rPr>
        <w:t>Maps to FAIRA Table 2 (HMI) and Table 5 (Object of AI action)</w:t>
      </w:r>
    </w:p>
    <w:p>
      <w:pPr>
        <w:pStyle w:val="Normal"/>
        <w:rPr>
          <w:lang w:val="en-AU"/>
        </w:rPr>
      </w:pPr>
      <w:r>
        <w:rPr>
          <w:lang w:val="en-AU"/>
        </w:rPr>
        <w:t>This section describes how humans interact with the AI system and identifies the individuals or groups who may be impacted by its use. Understanding interaction pathways, the expertise required to use the system, and the nature of potential impacts provides important context for later consideration of human-centred values, fairness, contestability, and wellbeing. The information presented in this section is descriptive and is intended to support contextual understanding rather than constitute an assessment of adequacy or compliance.</w:t>
      </w:r>
    </w:p>
    <w:p>
      <w:pPr>
        <w:pStyle w:val="Normal"/>
        <w:rPr>
          <w:lang w:val="en-AU" w:eastAsia="en-AU"/>
        </w:rPr>
      </w:pPr>
      <w:r>
        <w:rPr>
          <w:lang w:val="en-AU" w:eastAsia="en-AU"/>
        </w:rPr>
        <w:t>The system interfaces with humans through {{ faira_form.A3_1 | format_list }}. The level of expertise required to use the AI solution has been rated across multiple dimensions, including technical expertise ({{ faira_form.A3_2_technical | rating_label }}), domain expertise ({{ faira_form.A3_2_domain | rating_label }}), and AI literacy ({{ faira_form.A3_2_ai_literacy | rating_label }}).</w:t>
      </w:r>
    </w:p>
    <w:p>
      <w:pPr>
        <w:pStyle w:val="Normal"/>
        <w:rPr>
          <w:lang w:val="en-AU" w:eastAsia="en-AU"/>
        </w:rPr>
      </w:pPr>
      <w:r>
        <w:rPr>
          <w:lang w:val="en-AU" w:eastAsia="en-AU"/>
        </w:rPr>
        <w:t xml:space="preserve">The assessment identifies {{ faira_form.A3_3 | format_list }} as groups that may be potentially impacted by the AI system. Where impacted parties are informed of AI use, this is undertaken </w:t>
      </w:r>
      <w:r>
        <w:rPr>
          <w:highlight w:val="yellow"/>
          <w:lang w:val="en-AU" w:eastAsia="en-AU"/>
        </w:rPr>
        <w:t xml:space="preserve">via </w:t>
      </w:r>
      <w:r>
        <w:rPr>
          <w:b/>
          <w:bCs/>
          <w:highlight w:val="yellow"/>
          <w:lang w:val="en-AU" w:eastAsia="en-AU"/>
        </w:rPr>
        <w:t>{{ faira_form.A3_4 | format_list }}</w:t>
      </w:r>
      <w:r>
        <w:rPr>
          <w:highlight w:val="yellow"/>
          <w:lang w:val="en-AU" w:eastAsia="en-AU"/>
        </w:rPr>
        <w:t>.</w:t>
      </w:r>
    </w:p>
    <w:p>
      <w:pPr>
        <w:pStyle w:val="Normal"/>
        <w:rPr>
          <w:lang w:val="en-AU" w:eastAsia="en-AU"/>
        </w:rPr>
      </w:pPr>
      <w:r>
        <w:rPr>
          <w:lang w:val="en-AU" w:eastAsia="en-AU"/>
        </w:rPr>
        <w:t>Expected impacts on staff have been noted as {{ faira_form.A3_5a | format_list }}, with the overall severity of these impacts rated as {{ faira_form.A3_5b | rating_label }}.</w:t>
      </w:r>
    </w:p>
    <w:p>
      <w:pPr>
        <w:pStyle w:val="Normal"/>
        <w:rPr>
          <w:lang w:val="en-AU" w:eastAsia="en-AU"/>
        </w:rPr>
      </w:pPr>
      <w:r>
        <w:rPr>
          <w:lang w:val="en-AU" w:eastAsia="en-AU"/>
        </w:rPr>
        <w:t>Potential impacts to impacted groups have been noted as {{ faira_form.A3_6a | format_list }}, with severity rated as {{ faira_form.A3_6b | severity_label }}.</w:t>
      </w:r>
    </w:p>
    <w:tbl>
      <w:tblPr>
        <w:tblW w:w="5000" w:type="pct"/>
        <w:jc w:val="start"/>
        <w:tblInd w:w="0" w:type="dxa"/>
        <w:tblLayout w:type="fixed"/>
        <w:tblCellMar>
          <w:top w:w="43" w:type="dxa"/>
          <w:start w:w="43" w:type="dxa"/>
          <w:bottom w:w="43" w:type="dxa"/>
          <w:end w:w="43" w:type="dxa"/>
        </w:tblCellMar>
        <w:tblLook w:firstRow="1" w:noVBand="1" w:lastRow="0" w:firstColumn="1" w:lastColumn="0" w:noHBand="0" w:val="04a0"/>
      </w:tblPr>
      <w:tblGrid>
        <w:gridCol w:w="2998"/>
        <w:gridCol w:w="6028"/>
      </w:tblGrid>
      <w:tr>
        <w:trPr>
          <w:tblHeader w:val="true"/>
        </w:trPr>
        <w:tc>
          <w:tcPr>
            <w:tcW w:w="2998" w:type="dxa"/>
            <w:tcBorders>
              <w:top w:val="single" w:sz="4" w:space="0" w:color="000000"/>
              <w:start w:val="single" w:sz="4" w:space="0" w:color="000000"/>
              <w:bottom w:val="single" w:sz="4" w:space="0" w:color="000000"/>
              <w:end w:val="single" w:sz="4" w:space="0" w:color="000000"/>
            </w:tcBorders>
            <w:shd w:color="auto" w:fill="D9D9D9" w:themeFill="background1" w:themeFillShade="d9" w:val="clear"/>
          </w:tcPr>
          <w:p>
            <w:pPr>
              <w:pStyle w:val="Normal"/>
              <w:spacing w:before="0" w:after="160"/>
              <w:rPr>
                <w:b/>
                <w:bCs/>
                <w:sz w:val="20"/>
                <w:szCs w:val="20"/>
                <w:lang w:val="en-AU" w:eastAsia="en-AU"/>
              </w:rPr>
            </w:pPr>
            <w:r>
              <w:rPr>
                <w:b/>
                <w:bCs/>
                <w:sz w:val="20"/>
                <w:szCs w:val="20"/>
                <w:lang w:val="en-AU" w:eastAsia="en-AU"/>
              </w:rPr>
              <w:t>User and Stakeholder Aspect</w:t>
            </w:r>
          </w:p>
        </w:tc>
        <w:tc>
          <w:tcPr>
            <w:tcW w:w="6028" w:type="dxa"/>
            <w:tcBorders>
              <w:top w:val="single" w:sz="4" w:space="0" w:color="000000"/>
              <w:start w:val="single" w:sz="4" w:space="0" w:color="000000"/>
              <w:bottom w:val="single" w:sz="4" w:space="0" w:color="000000"/>
              <w:end w:val="single" w:sz="4" w:space="0" w:color="000000"/>
            </w:tcBorders>
            <w:shd w:color="auto" w:fill="D9D9D9" w:themeFill="background1" w:themeFillShade="d9" w:val="clear"/>
          </w:tcPr>
          <w:p>
            <w:pPr>
              <w:pStyle w:val="Normal"/>
              <w:spacing w:before="0" w:after="160"/>
              <w:rPr>
                <w:b/>
                <w:bCs/>
                <w:sz w:val="20"/>
                <w:szCs w:val="20"/>
                <w:lang w:val="en-AU" w:eastAsia="en-AU"/>
              </w:rPr>
            </w:pPr>
            <w:r>
              <w:rPr>
                <w:b/>
                <w:bCs/>
                <w:sz w:val="20"/>
                <w:szCs w:val="20"/>
                <w:lang w:val="en-AU" w:eastAsia="en-AU"/>
              </w:rPr>
              <w:t>Description</w:t>
            </w:r>
          </w:p>
        </w:tc>
      </w:tr>
      <w:tr>
        <w:trPr/>
        <w:tc>
          <w:tcPr>
            <w:tcW w:w="2998" w:type="dxa"/>
            <w:tcBorders>
              <w:top w:val="single" w:sz="4" w:space="0" w:color="000000"/>
              <w:start w:val="single" w:sz="4" w:space="0" w:color="000000"/>
              <w:bottom w:val="single" w:sz="4" w:space="0" w:color="000000"/>
              <w:end w:val="single" w:sz="4" w:space="0" w:color="000000"/>
            </w:tcBorders>
          </w:tcPr>
          <w:p>
            <w:pPr>
              <w:pStyle w:val="Normal"/>
              <w:spacing w:before="0" w:after="160"/>
              <w:rPr>
                <w:sz w:val="20"/>
                <w:szCs w:val="20"/>
                <w:lang w:val="en-AU" w:eastAsia="en-AU"/>
              </w:rPr>
            </w:pPr>
            <w:r>
              <w:rPr>
                <w:sz w:val="20"/>
                <w:szCs w:val="20"/>
                <w:lang w:val="en-AU" w:eastAsia="en-AU"/>
              </w:rPr>
              <w:t>Human interface</w:t>
            </w:r>
          </w:p>
        </w:tc>
        <w:tc>
          <w:tcPr>
            <w:tcW w:w="6028" w:type="dxa"/>
            <w:tcBorders>
              <w:top w:val="single" w:sz="4" w:space="0" w:color="000000"/>
              <w:start w:val="single" w:sz="4" w:space="0" w:color="000000"/>
              <w:bottom w:val="single" w:sz="4" w:space="0" w:color="000000"/>
              <w:end w:val="single" w:sz="4" w:space="0" w:color="000000"/>
            </w:tcBorders>
          </w:tcPr>
          <w:p>
            <w:pPr>
              <w:pStyle w:val="Normal"/>
              <w:spacing w:before="0" w:after="160"/>
              <w:rPr>
                <w:sz w:val="20"/>
                <w:szCs w:val="20"/>
                <w:lang w:val="en-AU" w:eastAsia="en-AU"/>
              </w:rPr>
            </w:pPr>
            <w:r>
              <w:rPr>
                <w:sz w:val="20"/>
                <w:szCs w:val="20"/>
                <w:lang w:val="en-AU" w:eastAsia="en-AU"/>
              </w:rPr>
              <w:t>{{ faira_form.A3_1 | format_list }}</w:t>
            </w:r>
          </w:p>
        </w:tc>
      </w:tr>
      <w:tr>
        <w:trPr/>
        <w:tc>
          <w:tcPr>
            <w:tcW w:w="2998" w:type="dxa"/>
            <w:tcBorders>
              <w:top w:val="single" w:sz="4" w:space="0" w:color="000000"/>
              <w:start w:val="single" w:sz="4" w:space="0" w:color="000000"/>
              <w:bottom w:val="single" w:sz="4" w:space="0" w:color="000000"/>
              <w:end w:val="single" w:sz="4" w:space="0" w:color="000000"/>
            </w:tcBorders>
          </w:tcPr>
          <w:p>
            <w:pPr>
              <w:pStyle w:val="Normal"/>
              <w:spacing w:before="0" w:after="160"/>
              <w:rPr>
                <w:sz w:val="20"/>
                <w:szCs w:val="20"/>
                <w:lang w:val="en-AU" w:eastAsia="en-AU"/>
              </w:rPr>
            </w:pPr>
            <w:r>
              <w:rPr>
                <w:sz w:val="20"/>
                <w:szCs w:val="20"/>
                <w:lang w:val="en-AU" w:eastAsia="en-AU"/>
              </w:rPr>
              <w:t>Expertise required – technical</w:t>
            </w:r>
          </w:p>
        </w:tc>
        <w:tc>
          <w:tcPr>
            <w:tcW w:w="6028" w:type="dxa"/>
            <w:tcBorders>
              <w:top w:val="single" w:sz="4" w:space="0" w:color="000000"/>
              <w:start w:val="single" w:sz="4" w:space="0" w:color="000000"/>
              <w:bottom w:val="single" w:sz="4" w:space="0" w:color="000000"/>
              <w:end w:val="single" w:sz="4" w:space="0" w:color="000000"/>
            </w:tcBorders>
          </w:tcPr>
          <w:p>
            <w:pPr>
              <w:pStyle w:val="Normal"/>
              <w:spacing w:before="0" w:after="160"/>
              <w:rPr>
                <w:sz w:val="20"/>
                <w:szCs w:val="20"/>
                <w:lang w:val="en-AU" w:eastAsia="en-AU"/>
              </w:rPr>
            </w:pPr>
            <w:r>
              <w:rPr>
                <w:sz w:val="20"/>
                <w:szCs w:val="20"/>
                <w:lang w:val="en-AU" w:eastAsia="en-AU"/>
              </w:rPr>
              <w:t>{{ faira_form.A3_2_technical | rating_label }}</w:t>
            </w:r>
          </w:p>
        </w:tc>
      </w:tr>
      <w:tr>
        <w:trPr/>
        <w:tc>
          <w:tcPr>
            <w:tcW w:w="2998" w:type="dxa"/>
            <w:tcBorders>
              <w:top w:val="single" w:sz="4" w:space="0" w:color="000000"/>
              <w:start w:val="single" w:sz="4" w:space="0" w:color="000000"/>
              <w:bottom w:val="single" w:sz="4" w:space="0" w:color="000000"/>
              <w:end w:val="single" w:sz="4" w:space="0" w:color="000000"/>
            </w:tcBorders>
          </w:tcPr>
          <w:p>
            <w:pPr>
              <w:pStyle w:val="Normal"/>
              <w:spacing w:before="0" w:after="160"/>
              <w:rPr>
                <w:sz w:val="20"/>
                <w:szCs w:val="20"/>
                <w:lang w:val="en-AU" w:eastAsia="en-AU"/>
              </w:rPr>
            </w:pPr>
            <w:r>
              <w:rPr>
                <w:sz w:val="20"/>
                <w:szCs w:val="20"/>
                <w:lang w:val="en-AU" w:eastAsia="en-AU"/>
              </w:rPr>
              <w:t>Expertise required – domain</w:t>
            </w:r>
          </w:p>
        </w:tc>
        <w:tc>
          <w:tcPr>
            <w:tcW w:w="6028" w:type="dxa"/>
            <w:tcBorders>
              <w:top w:val="single" w:sz="4" w:space="0" w:color="000000"/>
              <w:start w:val="single" w:sz="4" w:space="0" w:color="000000"/>
              <w:bottom w:val="single" w:sz="4" w:space="0" w:color="000000"/>
              <w:end w:val="single" w:sz="4" w:space="0" w:color="000000"/>
            </w:tcBorders>
          </w:tcPr>
          <w:p>
            <w:pPr>
              <w:pStyle w:val="Normal"/>
              <w:spacing w:before="0" w:after="160"/>
              <w:rPr>
                <w:sz w:val="20"/>
                <w:szCs w:val="20"/>
                <w:lang w:val="en-AU" w:eastAsia="en-AU"/>
              </w:rPr>
            </w:pPr>
            <w:r>
              <w:rPr>
                <w:sz w:val="20"/>
                <w:szCs w:val="20"/>
                <w:lang w:val="en-AU" w:eastAsia="en-AU"/>
              </w:rPr>
              <w:t>{{ faira_form.A3_2_domain | rating_label }}</w:t>
            </w:r>
          </w:p>
        </w:tc>
      </w:tr>
      <w:tr>
        <w:trPr/>
        <w:tc>
          <w:tcPr>
            <w:tcW w:w="2998" w:type="dxa"/>
            <w:tcBorders>
              <w:top w:val="single" w:sz="4" w:space="0" w:color="000000"/>
              <w:start w:val="single" w:sz="4" w:space="0" w:color="000000"/>
              <w:bottom w:val="single" w:sz="4" w:space="0" w:color="000000"/>
              <w:end w:val="single" w:sz="4" w:space="0" w:color="000000"/>
            </w:tcBorders>
          </w:tcPr>
          <w:p>
            <w:pPr>
              <w:pStyle w:val="Normal"/>
              <w:spacing w:before="0" w:after="160"/>
              <w:rPr>
                <w:sz w:val="20"/>
                <w:szCs w:val="20"/>
                <w:lang w:val="en-AU" w:eastAsia="en-AU"/>
              </w:rPr>
            </w:pPr>
            <w:r>
              <w:rPr>
                <w:sz w:val="20"/>
                <w:szCs w:val="20"/>
                <w:lang w:val="en-AU" w:eastAsia="en-AU"/>
              </w:rPr>
              <w:t>Expertise required – AI literacy</w:t>
            </w:r>
          </w:p>
        </w:tc>
        <w:tc>
          <w:tcPr>
            <w:tcW w:w="6028" w:type="dxa"/>
            <w:tcBorders>
              <w:top w:val="single" w:sz="4" w:space="0" w:color="000000"/>
              <w:start w:val="single" w:sz="4" w:space="0" w:color="000000"/>
              <w:bottom w:val="single" w:sz="4" w:space="0" w:color="000000"/>
              <w:end w:val="single" w:sz="4" w:space="0" w:color="000000"/>
            </w:tcBorders>
          </w:tcPr>
          <w:p>
            <w:pPr>
              <w:pStyle w:val="Normal"/>
              <w:spacing w:before="0" w:after="160"/>
              <w:rPr>
                <w:sz w:val="20"/>
                <w:szCs w:val="20"/>
                <w:lang w:val="en-AU" w:eastAsia="en-AU"/>
              </w:rPr>
            </w:pPr>
            <w:r>
              <w:rPr>
                <w:sz w:val="20"/>
                <w:szCs w:val="20"/>
                <w:lang w:val="en-AU" w:eastAsia="en-AU"/>
              </w:rPr>
              <w:t>{{ faira_form.A3_2_ai_literacy | rating_label }}</w:t>
            </w:r>
          </w:p>
        </w:tc>
      </w:tr>
      <w:tr>
        <w:trPr/>
        <w:tc>
          <w:tcPr>
            <w:tcW w:w="2998" w:type="dxa"/>
            <w:tcBorders>
              <w:top w:val="single" w:sz="4" w:space="0" w:color="000000"/>
              <w:start w:val="single" w:sz="4" w:space="0" w:color="000000"/>
              <w:bottom w:val="single" w:sz="4" w:space="0" w:color="000000"/>
              <w:end w:val="single" w:sz="4" w:space="0" w:color="000000"/>
            </w:tcBorders>
          </w:tcPr>
          <w:p>
            <w:pPr>
              <w:pStyle w:val="Normal"/>
              <w:spacing w:before="0" w:after="160"/>
              <w:rPr>
                <w:sz w:val="20"/>
                <w:szCs w:val="20"/>
                <w:lang w:val="en-AU" w:eastAsia="en-AU"/>
              </w:rPr>
            </w:pPr>
            <w:r>
              <w:rPr>
                <w:sz w:val="20"/>
                <w:szCs w:val="20"/>
                <w:lang w:val="en-AU" w:eastAsia="en-AU"/>
              </w:rPr>
              <w:t>Impacted groups</w:t>
            </w:r>
          </w:p>
        </w:tc>
        <w:tc>
          <w:tcPr>
            <w:tcW w:w="6028" w:type="dxa"/>
            <w:tcBorders>
              <w:top w:val="single" w:sz="4" w:space="0" w:color="000000"/>
              <w:start w:val="single" w:sz="4" w:space="0" w:color="000000"/>
              <w:bottom w:val="single" w:sz="4" w:space="0" w:color="000000"/>
              <w:end w:val="single" w:sz="4" w:space="0" w:color="000000"/>
            </w:tcBorders>
          </w:tcPr>
          <w:p>
            <w:pPr>
              <w:pStyle w:val="Normal"/>
              <w:spacing w:before="0" w:after="160"/>
              <w:rPr>
                <w:sz w:val="20"/>
                <w:szCs w:val="20"/>
                <w:lang w:val="en-AU" w:eastAsia="en-AU"/>
              </w:rPr>
            </w:pPr>
            <w:r>
              <w:rPr>
                <w:sz w:val="20"/>
                <w:szCs w:val="20"/>
                <w:lang w:val="en-AU" w:eastAsia="en-AU"/>
              </w:rPr>
              <w:t>{{ faira_form.A3_3 | format_list }}</w:t>
            </w:r>
          </w:p>
        </w:tc>
      </w:tr>
      <w:tr>
        <w:trPr/>
        <w:tc>
          <w:tcPr>
            <w:tcW w:w="2998" w:type="dxa"/>
            <w:tcBorders>
              <w:top w:val="single" w:sz="4" w:space="0" w:color="000000"/>
              <w:start w:val="single" w:sz="4" w:space="0" w:color="000000"/>
              <w:bottom w:val="single" w:sz="4" w:space="0" w:color="000000"/>
              <w:end w:val="single" w:sz="4" w:space="0" w:color="000000"/>
            </w:tcBorders>
          </w:tcPr>
          <w:p>
            <w:pPr>
              <w:pStyle w:val="Normal"/>
              <w:spacing w:before="0" w:after="160"/>
              <w:rPr>
                <w:sz w:val="20"/>
                <w:szCs w:val="20"/>
                <w:lang w:val="en-AU" w:eastAsia="en-AU"/>
              </w:rPr>
            </w:pPr>
            <w:r>
              <w:rPr>
                <w:sz w:val="20"/>
                <w:szCs w:val="20"/>
                <w:lang w:val="en-AU" w:eastAsia="en-AU"/>
              </w:rPr>
              <w:t>How impacted parties are informed</w:t>
            </w:r>
          </w:p>
        </w:tc>
        <w:tc>
          <w:tcPr>
            <w:tcW w:w="6028" w:type="dxa"/>
            <w:tcBorders>
              <w:top w:val="single" w:sz="4" w:space="0" w:color="000000"/>
              <w:start w:val="single" w:sz="4" w:space="0" w:color="000000"/>
              <w:bottom w:val="single" w:sz="4" w:space="0" w:color="000000"/>
              <w:end w:val="single" w:sz="4" w:space="0" w:color="000000"/>
            </w:tcBorders>
          </w:tcPr>
          <w:p>
            <w:pPr>
              <w:pStyle w:val="Normal"/>
              <w:spacing w:before="0" w:after="160"/>
              <w:rPr>
                <w:sz w:val="20"/>
                <w:szCs w:val="20"/>
                <w:lang w:val="en-AU" w:eastAsia="en-AU"/>
              </w:rPr>
            </w:pPr>
            <w:r>
              <w:rPr>
                <w:sz w:val="20"/>
                <w:szCs w:val="20"/>
                <w:lang w:val="en-AU" w:eastAsia="en-AU"/>
              </w:rPr>
              <w:t>{{ faira_form.A3_4 | format_list }}</w:t>
            </w:r>
          </w:p>
        </w:tc>
      </w:tr>
      <w:tr>
        <w:trPr/>
        <w:tc>
          <w:tcPr>
            <w:tcW w:w="2998" w:type="dxa"/>
            <w:tcBorders>
              <w:top w:val="single" w:sz="4" w:space="0" w:color="000000"/>
              <w:start w:val="single" w:sz="4" w:space="0" w:color="000000"/>
              <w:bottom w:val="single" w:sz="4" w:space="0" w:color="000000"/>
              <w:end w:val="single" w:sz="4" w:space="0" w:color="000000"/>
            </w:tcBorders>
          </w:tcPr>
          <w:p>
            <w:pPr>
              <w:pStyle w:val="Normal"/>
              <w:spacing w:before="0" w:after="160"/>
              <w:rPr>
                <w:sz w:val="20"/>
                <w:szCs w:val="20"/>
                <w:lang w:val="en-AU" w:eastAsia="en-AU"/>
              </w:rPr>
            </w:pPr>
            <w:r>
              <w:rPr>
                <w:sz w:val="20"/>
                <w:szCs w:val="20"/>
                <w:lang w:val="en-AU" w:eastAsia="en-AU"/>
              </w:rPr>
              <w:t>Staff impacts identified</w:t>
            </w:r>
          </w:p>
        </w:tc>
        <w:tc>
          <w:tcPr>
            <w:tcW w:w="6028" w:type="dxa"/>
            <w:tcBorders>
              <w:top w:val="single" w:sz="4" w:space="0" w:color="000000"/>
              <w:start w:val="single" w:sz="4" w:space="0" w:color="000000"/>
              <w:bottom w:val="single" w:sz="4" w:space="0" w:color="000000"/>
              <w:end w:val="single" w:sz="4" w:space="0" w:color="000000"/>
            </w:tcBorders>
          </w:tcPr>
          <w:p>
            <w:pPr>
              <w:pStyle w:val="Normal"/>
              <w:spacing w:before="0" w:after="160"/>
              <w:rPr>
                <w:sz w:val="20"/>
                <w:szCs w:val="20"/>
                <w:lang w:val="en-AU" w:eastAsia="en-AU"/>
              </w:rPr>
            </w:pPr>
            <w:r>
              <w:rPr>
                <w:sz w:val="20"/>
                <w:szCs w:val="20"/>
                <w:lang w:val="en-AU" w:eastAsia="en-AU"/>
              </w:rPr>
              <w:t>{{ faira_form.A3_5a | format_list }}</w:t>
            </w:r>
          </w:p>
        </w:tc>
      </w:tr>
      <w:tr>
        <w:trPr/>
        <w:tc>
          <w:tcPr>
            <w:tcW w:w="2998" w:type="dxa"/>
            <w:tcBorders>
              <w:top w:val="single" w:sz="4" w:space="0" w:color="000000"/>
              <w:start w:val="single" w:sz="4" w:space="0" w:color="000000"/>
              <w:bottom w:val="single" w:sz="4" w:space="0" w:color="000000"/>
              <w:end w:val="single" w:sz="4" w:space="0" w:color="000000"/>
            </w:tcBorders>
          </w:tcPr>
          <w:p>
            <w:pPr>
              <w:pStyle w:val="Normal"/>
              <w:spacing w:before="0" w:after="160"/>
              <w:rPr>
                <w:sz w:val="20"/>
                <w:szCs w:val="20"/>
                <w:lang w:val="en-AU" w:eastAsia="en-AU"/>
              </w:rPr>
            </w:pPr>
            <w:r>
              <w:rPr>
                <w:sz w:val="20"/>
                <w:szCs w:val="20"/>
                <w:lang w:val="en-AU" w:eastAsia="en-AU"/>
              </w:rPr>
              <w:t>Staff impacts severity</w:t>
            </w:r>
          </w:p>
        </w:tc>
        <w:tc>
          <w:tcPr>
            <w:tcW w:w="6028" w:type="dxa"/>
            <w:tcBorders>
              <w:top w:val="single" w:sz="4" w:space="0" w:color="000000"/>
              <w:start w:val="single" w:sz="4" w:space="0" w:color="000000"/>
              <w:bottom w:val="single" w:sz="4" w:space="0" w:color="000000"/>
              <w:end w:val="single" w:sz="4" w:space="0" w:color="000000"/>
            </w:tcBorders>
          </w:tcPr>
          <w:p>
            <w:pPr>
              <w:pStyle w:val="Normal"/>
              <w:spacing w:before="0" w:after="160"/>
              <w:rPr>
                <w:sz w:val="20"/>
                <w:szCs w:val="20"/>
                <w:lang w:val="en-AU" w:eastAsia="en-AU"/>
              </w:rPr>
            </w:pPr>
            <w:r>
              <w:rPr>
                <w:sz w:val="20"/>
                <w:szCs w:val="20"/>
                <w:lang w:val="en-AU" w:eastAsia="en-AU"/>
              </w:rPr>
              <w:t>{{ faira_form.A3_5b | rating_label }}</w:t>
            </w:r>
          </w:p>
        </w:tc>
      </w:tr>
      <w:tr>
        <w:trPr/>
        <w:tc>
          <w:tcPr>
            <w:tcW w:w="2998" w:type="dxa"/>
            <w:tcBorders>
              <w:top w:val="single" w:sz="4" w:space="0" w:color="000000"/>
              <w:start w:val="single" w:sz="4" w:space="0" w:color="000000"/>
              <w:bottom w:val="single" w:sz="4" w:space="0" w:color="000000"/>
              <w:end w:val="single" w:sz="4" w:space="0" w:color="000000"/>
            </w:tcBorders>
          </w:tcPr>
          <w:p>
            <w:pPr>
              <w:pStyle w:val="Normal"/>
              <w:spacing w:before="0" w:after="160"/>
              <w:rPr>
                <w:sz w:val="20"/>
                <w:szCs w:val="20"/>
                <w:lang w:val="en-AU" w:eastAsia="en-AU"/>
              </w:rPr>
            </w:pPr>
            <w:r>
              <w:rPr>
                <w:sz w:val="20"/>
                <w:szCs w:val="20"/>
                <w:lang w:val="en-AU" w:eastAsia="en-AU"/>
              </w:rPr>
              <w:t>Impacts to affected groups identified</w:t>
            </w:r>
          </w:p>
        </w:tc>
        <w:tc>
          <w:tcPr>
            <w:tcW w:w="6028" w:type="dxa"/>
            <w:tcBorders>
              <w:top w:val="single" w:sz="4" w:space="0" w:color="000000"/>
              <w:start w:val="single" w:sz="4" w:space="0" w:color="000000"/>
              <w:bottom w:val="single" w:sz="4" w:space="0" w:color="000000"/>
              <w:end w:val="single" w:sz="4" w:space="0" w:color="000000"/>
            </w:tcBorders>
          </w:tcPr>
          <w:p>
            <w:pPr>
              <w:pStyle w:val="Normal"/>
              <w:spacing w:before="0" w:after="160"/>
              <w:rPr>
                <w:sz w:val="20"/>
                <w:szCs w:val="20"/>
                <w:lang w:val="en-AU" w:eastAsia="en-AU"/>
              </w:rPr>
            </w:pPr>
            <w:r>
              <w:rPr>
                <w:sz w:val="20"/>
                <w:szCs w:val="20"/>
                <w:lang w:val="en-AU" w:eastAsia="en-AU"/>
              </w:rPr>
              <w:t>{{ faira_form.A3_6a | format_list }}</w:t>
            </w:r>
          </w:p>
        </w:tc>
      </w:tr>
      <w:tr>
        <w:trPr/>
        <w:tc>
          <w:tcPr>
            <w:tcW w:w="2998" w:type="dxa"/>
            <w:tcBorders>
              <w:top w:val="single" w:sz="4" w:space="0" w:color="000000"/>
              <w:start w:val="single" w:sz="4" w:space="0" w:color="000000"/>
              <w:bottom w:val="single" w:sz="4" w:space="0" w:color="000000"/>
              <w:end w:val="single" w:sz="4" w:space="0" w:color="000000"/>
            </w:tcBorders>
          </w:tcPr>
          <w:p>
            <w:pPr>
              <w:pStyle w:val="Normal"/>
              <w:spacing w:before="0" w:after="160"/>
              <w:rPr>
                <w:sz w:val="20"/>
                <w:szCs w:val="20"/>
                <w:lang w:val="en-AU" w:eastAsia="en-AU"/>
              </w:rPr>
            </w:pPr>
            <w:r>
              <w:rPr>
                <w:sz w:val="20"/>
                <w:szCs w:val="20"/>
                <w:lang w:val="en-AU" w:eastAsia="en-AU"/>
              </w:rPr>
              <w:t>Affected group severity</w:t>
            </w:r>
          </w:p>
        </w:tc>
        <w:tc>
          <w:tcPr>
            <w:tcW w:w="6028" w:type="dxa"/>
            <w:tcBorders>
              <w:top w:val="single" w:sz="4" w:space="0" w:color="000000"/>
              <w:start w:val="single" w:sz="4" w:space="0" w:color="000000"/>
              <w:bottom w:val="single" w:sz="4" w:space="0" w:color="000000"/>
              <w:end w:val="single" w:sz="4" w:space="0" w:color="000000"/>
            </w:tcBorders>
          </w:tcPr>
          <w:p>
            <w:pPr>
              <w:pStyle w:val="Normal"/>
              <w:keepNext w:val="true"/>
              <w:spacing w:before="0" w:after="160"/>
              <w:rPr>
                <w:sz w:val="20"/>
                <w:szCs w:val="20"/>
                <w:lang w:val="en-AU" w:eastAsia="en-AU"/>
              </w:rPr>
            </w:pPr>
            <w:r>
              <w:rPr>
                <w:sz w:val="20"/>
                <w:szCs w:val="20"/>
                <w:lang w:val="en-AU" w:eastAsia="en-AU"/>
              </w:rPr>
              <w:t>{{ faira_form.A3_6b | severity_label }}</w:t>
            </w:r>
          </w:p>
        </w:tc>
      </w:tr>
    </w:tbl>
    <w:p>
      <w:pPr>
        <w:pStyle w:val="Caption"/>
        <w:rPr/>
      </w:pPr>
      <w:bookmarkStart w:id="9" w:name="_Toc220351596"/>
      <w:r>
        <w:rPr/>
        <w:t xml:space="preserve">Table </w:t>
      </w:r>
      <w:r>
        <w:rPr/>
        <w:fldChar w:fldCharType="begin"/>
      </w:r>
      <w:r>
        <w:rPr/>
        <w:instrText xml:space="preserve"> SEQ Table \* ARABIC </w:instrText>
      </w:r>
      <w:r>
        <w:rPr/>
        <w:fldChar w:fldCharType="separate"/>
      </w:r>
      <w:r>
        <w:rPr/>
        <w:t>3</w:t>
      </w:r>
      <w:r>
        <w:rPr/>
        <w:fldChar w:fldCharType="end"/>
      </w:r>
      <w:r>
        <w:rPr/>
        <w:t xml:space="preserve"> - Users and Stakeholders summary</w:t>
      </w:r>
      <w:bookmarkEnd w:id="9"/>
    </w:p>
    <w:p>
      <w:pPr>
        <w:pStyle w:val="Normal"/>
        <w:rPr>
          <w:lang w:eastAsia="en-AU"/>
        </w:rPr>
      </w:pPr>
      <w:r>
        <w:rPr>
          <w:lang w:eastAsia="en-AU"/>
        </w:rPr>
      </w:r>
    </w:p>
    <w:p>
      <w:pPr>
        <w:pStyle w:val="Heading02"/>
        <w:numPr>
          <w:ilvl w:val="1"/>
          <w:numId w:val="1"/>
        </w:numPr>
        <w:ind w:hanging="432" w:start="432"/>
        <w:rPr>
          <w:lang w:val="en-AU" w:eastAsia="en-AU"/>
        </w:rPr>
      </w:pPr>
      <w:bookmarkStart w:id="10" w:name="_Toc220351597"/>
      <w:r>
        <w:rPr>
          <w:lang w:val="en-AU" w:eastAsia="en-AU"/>
        </w:rPr>
        <w:t>Outputs and Actions</w:t>
      </w:r>
      <w:bookmarkEnd w:id="10"/>
    </w:p>
    <w:p>
      <w:pPr>
        <w:pStyle w:val="Heading2"/>
        <w:rPr>
          <w:rFonts w:ascii="Arial" w:hAnsi="Arial" w:eastAsia="Aptos" w:cs="" w:cstheme="minorBidi" w:eastAsiaTheme="minorHAnsi"/>
          <w:i/>
          <w:iCs/>
          <w:color w:themeColor="text2" w:themeTint="bf" w:val="215E99"/>
          <w:sz w:val="22"/>
          <w:szCs w:val="22"/>
          <w:lang w:eastAsia="en-AU"/>
        </w:rPr>
      </w:pPr>
      <w:r>
        <w:rPr>
          <w:rFonts w:eastAsia="Aptos" w:cs="" w:ascii="Arial" w:hAnsi="Arial" w:cstheme="minorBidi" w:eastAsiaTheme="minorHAnsi"/>
          <w:i/>
          <w:iCs/>
          <w:color w:themeColor="text2" w:themeTint="bf" w:val="215E99"/>
          <w:sz w:val="22"/>
          <w:szCs w:val="22"/>
          <w:lang w:eastAsia="en-AU"/>
        </w:rPr>
        <w:t>Maps to FAIRA Table 4: AI use outputs</w:t>
      </w:r>
    </w:p>
    <w:p>
      <w:pPr>
        <w:pStyle w:val="Normal"/>
        <w:rPr/>
      </w:pPr>
      <w:r>
        <w:rPr/>
        <w:t>This section describes the outputs produced by the AI system and how those outputs may be used, transmitted, tracked, and accessed in operational settings. Understanding the nature of AI outputs, whether outputs are forwarded externally, and whether outputs may contain regulated or sensitive information provides important context for subsequent analysis across privacy, security, transparency, and accountability domains. The information presented in this section is descriptive in nature and is not intended to constitute an assessment of adequacy, compliance, or control effectiveness.</w:t>
      </w:r>
    </w:p>
    <w:p>
      <w:pPr>
        <w:pStyle w:val="Normal"/>
        <w:rPr>
          <w:lang w:val="en-AU"/>
        </w:rPr>
      </w:pPr>
      <w:r>
        <w:rPr>
          <w:lang w:val="en-AU"/>
        </w:rPr>
        <w:t>The AI system produces {{ faira_form.A4_1 | format_list }} as the primary outputs. The Business Impact Level (BIL) associated with these outputs is recorded as {{ faira_form.A4_3 }}, providing context for the potential consequence of unauthorised disclosure or misuse of system outputs.</w:t>
      </w:r>
    </w:p>
    <w:p>
      <w:pPr>
        <w:pStyle w:val="Normal"/>
        <w:spacing w:before="60" w:after="60"/>
        <w:rPr>
          <w:lang w:val="en-AU"/>
        </w:rPr>
      </w:pPr>
      <w:r>
        <w:rPr>
          <w:lang w:val="en-AU"/>
        </w:rPr>
        <w:t>{%p if faira_form.A4_2 == "Yes" %}</w:t>
      </w:r>
    </w:p>
    <w:p>
      <w:pPr>
        <w:pStyle w:val="Normal"/>
        <w:spacing w:before="60" w:after="60"/>
        <w:rPr>
          <w:lang w:val="en-AU"/>
        </w:rPr>
      </w:pPr>
      <w:r>
        <w:rPr>
          <w:lang w:val="en-AU"/>
        </w:rPr>
        <w:t>AI outputs are sent to external systems without human review.</w:t>
      </w:r>
    </w:p>
    <w:p>
      <w:pPr>
        <w:pStyle w:val="Normal"/>
        <w:spacing w:before="60" w:after="60"/>
        <w:rPr>
          <w:lang w:val="en-AU"/>
        </w:rPr>
      </w:pPr>
      <w:r>
        <w:rPr>
          <w:lang w:val="en-AU"/>
        </w:rPr>
        <w:t>{%p else %}</w:t>
      </w:r>
    </w:p>
    <w:p>
      <w:pPr>
        <w:pStyle w:val="Normal"/>
        <w:spacing w:before="60" w:after="60"/>
        <w:rPr>
          <w:lang w:val="en-AU"/>
        </w:rPr>
      </w:pPr>
      <w:r>
        <w:rPr>
          <w:lang w:val="en-AU"/>
        </w:rPr>
        <w:t>AI outputs are not sent to external systems without human review.</w:t>
      </w:r>
    </w:p>
    <w:p>
      <w:pPr>
        <w:pStyle w:val="Normal"/>
        <w:spacing w:before="60" w:after="60"/>
        <w:rPr>
          <w:lang w:val="en-AU"/>
        </w:rPr>
      </w:pPr>
      <w:r>
        <w:rPr>
          <w:lang w:val="en-AU"/>
        </w:rPr>
        <w:t>{%p endif %}</w:t>
      </w:r>
    </w:p>
    <w:p>
      <w:pPr>
        <w:pStyle w:val="Normal"/>
        <w:rPr>
          <w:lang w:val="en-AU"/>
        </w:rPr>
      </w:pPr>
      <w:r>
        <w:rPr>
          <w:lang w:val="en-AU"/>
        </w:rPr>
        <w:t xml:space="preserve">Outputs are tracked and recorded </w:t>
      </w:r>
      <w:r>
        <w:rPr>
          <w:highlight w:val="yellow"/>
          <w:lang w:val="en-AU"/>
        </w:rPr>
        <w:t xml:space="preserve">using </w:t>
      </w:r>
      <w:r>
        <w:rPr>
          <w:b/>
          <w:bCs/>
          <w:highlight w:val="yellow"/>
          <w:lang w:val="en-AU"/>
        </w:rPr>
        <w:t>{{ faira_form.A4_4 | format_list }}</w:t>
      </w:r>
      <w:r>
        <w:rPr>
          <w:highlight w:val="yellow"/>
          <w:lang w:val="en-AU"/>
        </w:rPr>
        <w:t>,</w:t>
      </w:r>
      <w:r>
        <w:rPr>
          <w:lang w:val="en-AU"/>
        </w:rPr>
        <w:t xml:space="preserve"> which provides context on how outputs may be referenced, audited, or reviewed over time.</w:t>
      </w:r>
    </w:p>
    <w:p>
      <w:pPr>
        <w:pStyle w:val="Normal"/>
        <w:spacing w:before="60" w:after="60"/>
        <w:rPr>
          <w:lang w:val="en-AU"/>
        </w:rPr>
      </w:pPr>
      <w:r>
        <w:rPr>
          <w:lang w:val="en-AU"/>
        </w:rPr>
        <w:t>{%p if faira_form.A4_5 == "Yes" %}</w:t>
      </w:r>
    </w:p>
    <w:p>
      <w:pPr>
        <w:pStyle w:val="Normal"/>
        <w:spacing w:before="60" w:after="60"/>
        <w:rPr>
          <w:lang w:val="en-AU"/>
        </w:rPr>
      </w:pPr>
      <w:r>
        <w:rPr>
          <w:lang w:val="en-AU"/>
        </w:rPr>
        <w:t>The assessment indicates that AI outputs may be accessible in ways that could lead to unauthorised access. Relevant scenarios include {{ faira_form.A4_5_scenarios | format_list }}.</w:t>
      </w:r>
    </w:p>
    <w:p>
      <w:pPr>
        <w:pStyle w:val="Normal"/>
        <w:spacing w:before="60" w:after="60"/>
        <w:rPr>
          <w:lang w:val="en-AU"/>
        </w:rPr>
      </w:pPr>
      <w:r>
        <w:rPr>
          <w:lang w:val="en-AU"/>
        </w:rPr>
        <w:t>{%p else %}</w:t>
      </w:r>
    </w:p>
    <w:p>
      <w:pPr>
        <w:pStyle w:val="Normal"/>
        <w:spacing w:before="60" w:after="60"/>
        <w:rPr>
          <w:lang w:val="en-AU"/>
        </w:rPr>
      </w:pPr>
      <w:r>
        <w:rPr>
          <w:lang w:val="en-AU"/>
        </w:rPr>
        <w:t>The assessment indicates that unauthorised access to AI outputs has not been identified within the scope of this assessment.</w:t>
      </w:r>
    </w:p>
    <w:p>
      <w:pPr>
        <w:pStyle w:val="Normal"/>
        <w:spacing w:before="60" w:after="60"/>
        <w:rPr>
          <w:lang w:val="en-AU"/>
        </w:rPr>
      </w:pPr>
      <w:r>
        <w:rPr>
          <w:lang w:val="en-AU"/>
        </w:rPr>
        <w:t>{%p endif %}</w:t>
      </w:r>
    </w:p>
    <w:p>
      <w:pPr>
        <w:pStyle w:val="Normal"/>
        <w:spacing w:before="60" w:after="60"/>
        <w:rPr>
          <w:lang w:val="en-AU"/>
        </w:rPr>
      </w:pPr>
      <w:r>
        <w:rPr>
          <w:lang w:val="en-AU"/>
        </w:rPr>
        <w:t>{%p if faira_form.A4_6 == "Yes" %}</w:t>
      </w:r>
    </w:p>
    <w:p>
      <w:pPr>
        <w:pStyle w:val="Normal"/>
        <w:spacing w:before="60" w:after="60"/>
        <w:rPr>
          <w:lang w:val="en-AU"/>
        </w:rPr>
      </w:pPr>
      <w:r>
        <w:rPr>
          <w:lang w:val="en-AU"/>
        </w:rPr>
        <w:t>The AI outputs have been identified as potentially including regulated or sensitive information. The categories of regulated or sensitive data involved include {{ faira_form.A4_6_data_types | format_list }}.</w:t>
      </w:r>
    </w:p>
    <w:p>
      <w:pPr>
        <w:pStyle w:val="Normal"/>
        <w:spacing w:before="60" w:after="60"/>
        <w:rPr>
          <w:lang w:val="en-AU"/>
        </w:rPr>
      </w:pPr>
      <w:r>
        <w:rPr>
          <w:lang w:val="en-AU"/>
        </w:rPr>
        <w:t>{%p else %}</w:t>
      </w:r>
    </w:p>
    <w:p>
      <w:pPr>
        <w:pStyle w:val="Normal"/>
        <w:spacing w:before="60" w:after="60"/>
        <w:rPr>
          <w:lang w:val="en-AU"/>
        </w:rPr>
      </w:pPr>
      <w:r>
        <w:rPr>
          <w:lang w:val="en-AU"/>
        </w:rPr>
        <w:t>The AI outputs have not been identified as including regulated or sensitive information.</w:t>
      </w:r>
    </w:p>
    <w:p>
      <w:pPr>
        <w:pStyle w:val="Normal"/>
        <w:spacing w:before="60" w:after="60"/>
        <w:rPr>
          <w:lang w:val="en-AU"/>
        </w:rPr>
      </w:pPr>
      <w:r>
        <w:rPr>
          <w:lang w:val="en-AU"/>
        </w:rPr>
        <w:t>{%p endif %}</w:t>
      </w:r>
    </w:p>
    <w:p>
      <w:pPr>
        <w:pStyle w:val="Normal"/>
        <w:rPr/>
      </w:pPr>
      <w:r>
        <w:rPr/>
        <w:t>{%p if faira_form.A4_7 == "Yes" %}</w:t>
      </w:r>
    </w:p>
    <w:p>
      <w:pPr>
        <w:pStyle w:val="Normal"/>
        <w:rPr/>
      </w:pPr>
      <w:r>
        <w:rPr/>
        <w:t>The assessment indicates that AI outputs may contain personally identifiable information (PII). The PII categories identified include {{ faira_form.A4_7_pii_types | format_list if faira_form.A4_7_pii_types else "type(s) not specified" }}. Access to outputs containing PII is described as {{ faira_form.A4_7_access_scope if faira_form.A4_7_access_scope else "not specified" }}. Controls limiting access to outputs containing PII include {{ faira_form.A4_7_access_controls | format_list if faira_form.A4_7_access_controls else "control(s) not specified" }}.</w:t>
      </w:r>
    </w:p>
    <w:p>
      <w:pPr>
        <w:pStyle w:val="Normal"/>
        <w:rPr/>
      </w:pPr>
      <w:r>
        <w:rPr/>
        <w:t>{% if faira_form.A4_7_notes %}. Additional notes: {{ faira_form.A4_7_notes }}.</w:t>
      </w:r>
    </w:p>
    <w:p>
      <w:pPr>
        <w:pStyle w:val="Normal"/>
        <w:rPr/>
      </w:pPr>
      <w:r>
        <w:rPr/>
        <w:t>{% endif %}</w:t>
      </w:r>
    </w:p>
    <w:p>
      <w:pPr>
        <w:pStyle w:val="Normal"/>
        <w:rPr/>
      </w:pPr>
      <w:r>
        <w:rPr/>
        <w:t>{%p else %}</w:t>
      </w:r>
    </w:p>
    <w:p>
      <w:pPr>
        <w:pStyle w:val="Normal"/>
        <w:rPr/>
      </w:pPr>
      <w:r>
        <w:rPr/>
        <w:t>The assessment indicates that AI outputs are not expected to contain personally identifiable information (PII).</w:t>
      </w:r>
    </w:p>
    <w:p>
      <w:pPr>
        <w:pStyle w:val="Normal"/>
        <w:rPr/>
      </w:pPr>
      <w:r>
        <w:rPr/>
        <w:t>{%p endif %}</w:t>
      </w:r>
    </w:p>
    <w:p>
      <w:pPr>
        <w:pStyle w:val="Normal"/>
        <w:rPr/>
      </w:pPr>
      <w:r>
        <w:rPr/>
        <w:t>{%p if faira_form.A4_8 == "Yes" %}</w:t>
      </w:r>
    </w:p>
    <w:p>
      <w:pPr>
        <w:pStyle w:val="Normal"/>
        <w:rPr>
          <w:highlight w:val="yellow"/>
        </w:rPr>
      </w:pPr>
      <w:r>
        <w:rPr/>
        <w:t xml:space="preserve">The assessment indicates that AI outputs may directly trigger actions with legal or regulatory effect. The types of actions identified include {{ faira_form.A4_8_action_types | format_list if faira_form.A4_8_action_types else "type(s) not specified" }}. </w:t>
      </w:r>
      <w:r>
        <w:rPr>
          <w:highlight w:val="green"/>
        </w:rPr>
        <w:t xml:space="preserve">These actions are </w:t>
      </w:r>
      <w:r>
        <w:rPr>
          <w:highlight w:val="yellow"/>
        </w:rPr>
        <w:t>triggered via {{ faira_form.A4_8_trigger_pathway if faira_form.A4_8_trigger_pathway else "a pathway not specified" }}.</w:t>
      </w:r>
    </w:p>
    <w:p>
      <w:pPr>
        <w:pStyle w:val="Normal"/>
        <w:rPr>
          <w:highlight w:val="green"/>
        </w:rPr>
      </w:pPr>
      <w:r>
        <w:rPr>
          <w:highlight w:val="green"/>
        </w:rPr>
        <w:t>Individuals or groups that may be affected by these actions include {{ faira_form.A4_8_affected_parties | format_list if faira_form.A4_8_affected_parties else "party/parties not specified" }}. Records supporting traceability of decisions are maintained through {{ faira_form.A4_8_decision_records | format_list if faira_form.A4_8_decision_records else "mechanism(s) not specified" }}.</w:t>
      </w:r>
    </w:p>
    <w:p>
      <w:pPr>
        <w:pStyle w:val="Normal"/>
        <w:rPr>
          <w:highlight w:val="green"/>
        </w:rPr>
      </w:pPr>
      <w:r>
        <w:rPr>
          <w:highlight w:val="green"/>
        </w:rPr>
        <w:t>{%p if faira_form.A4_8_review_appeal %}</w:t>
      </w:r>
    </w:p>
    <w:p>
      <w:pPr>
        <w:pStyle w:val="Normal"/>
        <w:rPr>
          <w:highlight w:val="green"/>
        </w:rPr>
      </w:pPr>
      <w:r>
        <w:rPr>
          <w:highlight w:val="green"/>
        </w:rPr>
        <w:t>Review or appeal mechanisms for affected parties are described as {{ faira_form.A4_8_review_appeal }}.</w:t>
      </w:r>
    </w:p>
    <w:p>
      <w:pPr>
        <w:pStyle w:val="Normal"/>
        <w:rPr>
          <w:highlight w:val="green"/>
        </w:rPr>
      </w:pPr>
      <w:r>
        <w:rPr>
          <w:highlight w:val="green"/>
        </w:rPr>
        <w:t>{%p endif %}</w:t>
      </w:r>
    </w:p>
    <w:p>
      <w:pPr>
        <w:pStyle w:val="Normal"/>
        <w:rPr>
          <w:highlight w:val="green"/>
        </w:rPr>
      </w:pPr>
      <w:r>
        <w:rPr>
          <w:highlight w:val="green"/>
        </w:rPr>
        <w:t>The legal or policy basis supporting these actions includes {{ faira_form.A4_8_legal_basis | format_list if faira_form.A4_8_legal_basis else "basis not specified" }}.</w:t>
      </w:r>
    </w:p>
    <w:p>
      <w:pPr>
        <w:pStyle w:val="Normal"/>
        <w:rPr>
          <w:highlight w:val="green"/>
        </w:rPr>
      </w:pPr>
      <w:r>
        <w:rPr>
          <w:highlight w:val="green"/>
        </w:rPr>
        <w:t>{% if faira_form.A4_8_notes %}. Additional notes: {{ faira_form.A4_8_notes }}{% endif %}.</w:t>
      </w:r>
    </w:p>
    <w:p>
      <w:pPr>
        <w:pStyle w:val="Normal"/>
        <w:rPr>
          <w:highlight w:val="green"/>
        </w:rPr>
      </w:pPr>
      <w:r>
        <w:rPr>
          <w:highlight w:val="green"/>
        </w:rPr>
        <w:t>{%p else %}</w:t>
      </w:r>
    </w:p>
    <w:p>
      <w:pPr>
        <w:pStyle w:val="Normal"/>
        <w:rPr>
          <w:highlight w:val="green"/>
        </w:rPr>
      </w:pPr>
      <w:r>
        <w:rPr>
          <w:highlight w:val="green"/>
        </w:rPr>
        <w:t>The assessment indicates that AI outputs are not used to directly trigger actions with legal or regulatory effect.</w:t>
      </w:r>
    </w:p>
    <w:p>
      <w:pPr>
        <w:pStyle w:val="Normal"/>
        <w:rPr/>
      </w:pPr>
      <w:r>
        <w:rPr>
          <w:highlight w:val="green"/>
        </w:rPr>
        <w:t>{%p endif %}</w:t>
      </w:r>
    </w:p>
    <w:tbl>
      <w:tblPr>
        <w:tblW w:w="9016" w:type="dxa"/>
        <w:jc w:val="start"/>
        <w:tblInd w:w="0" w:type="dxa"/>
        <w:tblLayout w:type="fixed"/>
        <w:tblCellMar>
          <w:top w:w="43" w:type="dxa"/>
          <w:start w:w="43" w:type="dxa"/>
          <w:bottom w:w="43" w:type="dxa"/>
          <w:end w:w="43" w:type="dxa"/>
        </w:tblCellMar>
        <w:tblLook w:firstRow="1" w:noVBand="1" w:lastRow="0" w:firstColumn="1" w:lastColumn="0" w:noHBand="0" w:val="04a0"/>
      </w:tblPr>
      <w:tblGrid>
        <w:gridCol w:w="2356"/>
        <w:gridCol w:w="6660"/>
      </w:tblGrid>
      <w:tr>
        <w:trPr>
          <w:tblHeader w:val="true"/>
        </w:trPr>
        <w:tc>
          <w:tcPr>
            <w:tcW w:w="2356" w:type="dxa"/>
            <w:tcBorders>
              <w:top w:val="single" w:sz="4" w:space="0" w:color="000000"/>
              <w:start w:val="single" w:sz="4" w:space="0" w:color="000000"/>
              <w:bottom w:val="single" w:sz="4" w:space="0" w:color="000000"/>
              <w:end w:val="single" w:sz="4" w:space="0" w:color="000000"/>
            </w:tcBorders>
            <w:shd w:color="auto" w:fill="D9D9D9" w:themeFill="background1" w:themeFillShade="d9" w:val="clear"/>
          </w:tcPr>
          <w:p>
            <w:pPr>
              <w:pStyle w:val="Normal"/>
              <w:spacing w:before="0" w:after="160"/>
              <w:rPr>
                <w:b/>
                <w:bCs/>
                <w:sz w:val="20"/>
                <w:szCs w:val="20"/>
                <w:lang w:val="en-AU" w:eastAsia="en-AU"/>
              </w:rPr>
            </w:pPr>
            <w:r>
              <w:rPr>
                <w:b/>
                <w:bCs/>
                <w:sz w:val="20"/>
                <w:szCs w:val="20"/>
                <w:lang w:val="en-AU" w:eastAsia="en-AU"/>
              </w:rPr>
              <w:t>Deployment Context</w:t>
            </w:r>
          </w:p>
        </w:tc>
        <w:tc>
          <w:tcPr>
            <w:tcW w:w="6660" w:type="dxa"/>
            <w:tcBorders>
              <w:top w:val="single" w:sz="4" w:space="0" w:color="000000"/>
              <w:start w:val="single" w:sz="4" w:space="0" w:color="000000"/>
              <w:bottom w:val="single" w:sz="4" w:space="0" w:color="000000"/>
              <w:end w:val="single" w:sz="4" w:space="0" w:color="000000"/>
            </w:tcBorders>
            <w:shd w:color="auto" w:fill="D9D9D9" w:themeFill="background1" w:themeFillShade="d9" w:val="clear"/>
          </w:tcPr>
          <w:p>
            <w:pPr>
              <w:pStyle w:val="Normal"/>
              <w:spacing w:before="0" w:after="160"/>
              <w:rPr>
                <w:b/>
                <w:bCs/>
                <w:sz w:val="20"/>
                <w:szCs w:val="20"/>
                <w:lang w:val="en-AU" w:eastAsia="en-AU"/>
              </w:rPr>
            </w:pPr>
            <w:r>
              <w:rPr>
                <w:b/>
                <w:bCs/>
                <w:sz w:val="20"/>
                <w:szCs w:val="20"/>
                <w:lang w:val="en-AU" w:eastAsia="en-AU"/>
              </w:rPr>
              <w:t>Description</w:t>
            </w:r>
          </w:p>
        </w:tc>
      </w:tr>
      <w:tr>
        <w:trPr/>
        <w:tc>
          <w:tcPr>
            <w:tcW w:w="2356" w:type="dxa"/>
            <w:tcBorders>
              <w:top w:val="single" w:sz="4" w:space="0" w:color="000000"/>
              <w:start w:val="single" w:sz="4" w:space="0" w:color="000000"/>
              <w:bottom w:val="single" w:sz="4" w:space="0" w:color="000000"/>
              <w:end w:val="single" w:sz="4" w:space="0" w:color="000000"/>
            </w:tcBorders>
          </w:tcPr>
          <w:p>
            <w:pPr>
              <w:pStyle w:val="Normal"/>
              <w:spacing w:before="0" w:after="160"/>
              <w:rPr>
                <w:sz w:val="20"/>
                <w:szCs w:val="20"/>
                <w:lang w:val="en-AU" w:eastAsia="en-AU"/>
              </w:rPr>
            </w:pPr>
            <w:r>
              <w:rPr>
                <w:sz w:val="20"/>
                <w:szCs w:val="20"/>
                <w:lang w:val="en-AU" w:eastAsia="en-AU"/>
              </w:rPr>
              <w:t>Primary outputs (A4.1)</w:t>
            </w:r>
          </w:p>
        </w:tc>
        <w:tc>
          <w:tcPr>
            <w:tcW w:w="6660" w:type="dxa"/>
            <w:tcBorders>
              <w:top w:val="single" w:sz="4" w:space="0" w:color="000000"/>
              <w:start w:val="single" w:sz="4" w:space="0" w:color="000000"/>
              <w:bottom w:val="single" w:sz="4" w:space="0" w:color="000000"/>
              <w:end w:val="single" w:sz="4" w:space="0" w:color="000000"/>
            </w:tcBorders>
          </w:tcPr>
          <w:p>
            <w:pPr>
              <w:pStyle w:val="Normal"/>
              <w:spacing w:before="0" w:after="160"/>
              <w:rPr>
                <w:sz w:val="20"/>
                <w:szCs w:val="20"/>
                <w:lang w:val="en-AU" w:eastAsia="en-AU"/>
              </w:rPr>
            </w:pPr>
            <w:r>
              <w:rPr>
                <w:sz w:val="20"/>
                <w:szCs w:val="20"/>
                <w:lang w:val="en-AU" w:eastAsia="en-AU"/>
              </w:rPr>
              <w:t>{{ faira_form.A4_1 | format_list }}</w:t>
            </w:r>
          </w:p>
        </w:tc>
      </w:tr>
      <w:tr>
        <w:trPr/>
        <w:tc>
          <w:tcPr>
            <w:tcW w:w="2356" w:type="dxa"/>
            <w:tcBorders>
              <w:top w:val="single" w:sz="4" w:space="0" w:color="000000"/>
              <w:start w:val="single" w:sz="4" w:space="0" w:color="000000"/>
              <w:bottom w:val="single" w:sz="4" w:space="0" w:color="000000"/>
              <w:end w:val="single" w:sz="4" w:space="0" w:color="000000"/>
            </w:tcBorders>
          </w:tcPr>
          <w:p>
            <w:pPr>
              <w:pStyle w:val="Normal"/>
              <w:spacing w:before="0" w:after="160"/>
              <w:rPr>
                <w:sz w:val="20"/>
                <w:szCs w:val="20"/>
                <w:lang w:val="en-AU" w:eastAsia="en-AU"/>
              </w:rPr>
            </w:pPr>
            <w:r>
              <w:rPr>
                <w:sz w:val="20"/>
                <w:szCs w:val="20"/>
                <w:lang w:val="en-AU" w:eastAsia="en-AU"/>
              </w:rPr>
              <w:t>Outputs sent externally without human review (A4.2)</w:t>
            </w:r>
          </w:p>
        </w:tc>
        <w:tc>
          <w:tcPr>
            <w:tcW w:w="6660" w:type="dxa"/>
            <w:tcBorders>
              <w:top w:val="single" w:sz="4" w:space="0" w:color="000000"/>
              <w:start w:val="single" w:sz="4" w:space="0" w:color="000000"/>
              <w:bottom w:val="single" w:sz="4" w:space="0" w:color="000000"/>
              <w:end w:val="single" w:sz="4" w:space="0" w:color="000000"/>
            </w:tcBorders>
          </w:tcPr>
          <w:p>
            <w:pPr>
              <w:pStyle w:val="Normal"/>
              <w:spacing w:before="0" w:after="160"/>
              <w:rPr>
                <w:sz w:val="20"/>
                <w:szCs w:val="20"/>
                <w:lang w:val="en-AU" w:eastAsia="en-AU"/>
              </w:rPr>
            </w:pPr>
            <w:r>
              <w:rPr>
                <w:sz w:val="20"/>
                <w:szCs w:val="20"/>
                <w:lang w:val="en-AU" w:eastAsia="en-AU"/>
              </w:rPr>
              <w:t>{{ faira_form.A4_2 if faira_form.A4_2 else "Not specified" }}</w:t>
            </w:r>
          </w:p>
        </w:tc>
      </w:tr>
      <w:tr>
        <w:trPr/>
        <w:tc>
          <w:tcPr>
            <w:tcW w:w="2356" w:type="dxa"/>
            <w:tcBorders>
              <w:top w:val="single" w:sz="4" w:space="0" w:color="000000"/>
              <w:start w:val="single" w:sz="4" w:space="0" w:color="000000"/>
              <w:bottom w:val="single" w:sz="4" w:space="0" w:color="000000"/>
              <w:end w:val="single" w:sz="4" w:space="0" w:color="000000"/>
            </w:tcBorders>
          </w:tcPr>
          <w:p>
            <w:pPr>
              <w:pStyle w:val="Normal"/>
              <w:spacing w:before="0" w:after="160"/>
              <w:rPr>
                <w:sz w:val="20"/>
                <w:szCs w:val="20"/>
                <w:lang w:val="en-AU" w:eastAsia="en-AU"/>
              </w:rPr>
            </w:pPr>
            <w:r>
              <w:rPr>
                <w:sz w:val="20"/>
                <w:szCs w:val="20"/>
                <w:lang w:val="en-AU" w:eastAsia="en-AU"/>
              </w:rPr>
              <w:t>Output Business Impact Level (BIL) (A4.3)</w:t>
            </w:r>
          </w:p>
        </w:tc>
        <w:tc>
          <w:tcPr>
            <w:tcW w:w="6660" w:type="dxa"/>
            <w:tcBorders>
              <w:top w:val="single" w:sz="4" w:space="0" w:color="000000"/>
              <w:start w:val="single" w:sz="4" w:space="0" w:color="000000"/>
              <w:bottom w:val="single" w:sz="4" w:space="0" w:color="000000"/>
              <w:end w:val="single" w:sz="4" w:space="0" w:color="000000"/>
            </w:tcBorders>
          </w:tcPr>
          <w:p>
            <w:pPr>
              <w:pStyle w:val="Normal"/>
              <w:spacing w:before="0" w:after="160"/>
              <w:rPr>
                <w:sz w:val="20"/>
                <w:szCs w:val="20"/>
                <w:lang w:val="en-AU" w:eastAsia="en-AU"/>
              </w:rPr>
            </w:pPr>
            <w:r>
              <w:rPr>
                <w:sz w:val="20"/>
                <w:szCs w:val="20"/>
                <w:lang w:val="en-AU" w:eastAsia="en-AU"/>
              </w:rPr>
              <w:t>{{ faira_form.A4_3 }}</w:t>
            </w:r>
          </w:p>
        </w:tc>
      </w:tr>
      <w:tr>
        <w:trPr/>
        <w:tc>
          <w:tcPr>
            <w:tcW w:w="2356" w:type="dxa"/>
            <w:tcBorders>
              <w:top w:val="single" w:sz="4" w:space="0" w:color="000000"/>
              <w:start w:val="single" w:sz="4" w:space="0" w:color="000000"/>
              <w:bottom w:val="single" w:sz="4" w:space="0" w:color="000000"/>
              <w:end w:val="single" w:sz="4" w:space="0" w:color="000000"/>
            </w:tcBorders>
          </w:tcPr>
          <w:p>
            <w:pPr>
              <w:pStyle w:val="Normal"/>
              <w:spacing w:before="0" w:after="160"/>
              <w:rPr>
                <w:sz w:val="20"/>
                <w:szCs w:val="20"/>
                <w:lang w:val="en-AU" w:eastAsia="en-AU"/>
              </w:rPr>
            </w:pPr>
            <w:r>
              <w:rPr>
                <w:sz w:val="20"/>
                <w:szCs w:val="20"/>
                <w:lang w:val="en-AU" w:eastAsia="en-AU"/>
              </w:rPr>
              <w:t>Output tracking / recording method(s) (A4.4)</w:t>
            </w:r>
          </w:p>
        </w:tc>
        <w:tc>
          <w:tcPr>
            <w:tcW w:w="6660" w:type="dxa"/>
            <w:tcBorders>
              <w:top w:val="single" w:sz="4" w:space="0" w:color="000000"/>
              <w:start w:val="single" w:sz="4" w:space="0" w:color="000000"/>
              <w:bottom w:val="single" w:sz="4" w:space="0" w:color="000000"/>
              <w:end w:val="single" w:sz="4" w:space="0" w:color="000000"/>
            </w:tcBorders>
          </w:tcPr>
          <w:p>
            <w:pPr>
              <w:pStyle w:val="Normal"/>
              <w:spacing w:before="0" w:after="160"/>
              <w:rPr>
                <w:sz w:val="20"/>
                <w:szCs w:val="20"/>
                <w:lang w:val="en-AU" w:eastAsia="en-AU"/>
              </w:rPr>
            </w:pPr>
            <w:r>
              <w:rPr>
                <w:sz w:val="20"/>
                <w:szCs w:val="20"/>
                <w:lang w:val="en-AU" w:eastAsia="en-AU"/>
              </w:rPr>
              <w:t>{{ faira_form.A4_4 | format_list }}</w:t>
            </w:r>
          </w:p>
        </w:tc>
      </w:tr>
      <w:tr>
        <w:trPr/>
        <w:tc>
          <w:tcPr>
            <w:tcW w:w="2356" w:type="dxa"/>
            <w:tcBorders>
              <w:top w:val="single" w:sz="4" w:space="0" w:color="000000"/>
              <w:start w:val="single" w:sz="4" w:space="0" w:color="000000"/>
              <w:bottom w:val="single" w:sz="4" w:space="0" w:color="000000"/>
              <w:end w:val="single" w:sz="4" w:space="0" w:color="000000"/>
            </w:tcBorders>
          </w:tcPr>
          <w:p>
            <w:pPr>
              <w:pStyle w:val="Normal"/>
              <w:spacing w:before="0" w:after="160"/>
              <w:rPr>
                <w:sz w:val="20"/>
                <w:szCs w:val="20"/>
                <w:lang w:val="en-AU" w:eastAsia="en-AU"/>
              </w:rPr>
            </w:pPr>
            <w:r>
              <w:rPr>
                <w:sz w:val="20"/>
                <w:szCs w:val="20"/>
                <w:lang w:val="en-AU" w:eastAsia="en-AU"/>
              </w:rPr>
              <w:t>Unauthorised access to outputs identified (A4.5)</w:t>
            </w:r>
          </w:p>
        </w:tc>
        <w:tc>
          <w:tcPr>
            <w:tcW w:w="6660" w:type="dxa"/>
            <w:tcBorders>
              <w:top w:val="single" w:sz="4" w:space="0" w:color="000000"/>
              <w:start w:val="single" w:sz="4" w:space="0" w:color="000000"/>
              <w:bottom w:val="single" w:sz="4" w:space="0" w:color="000000"/>
              <w:end w:val="single" w:sz="4" w:space="0" w:color="000000"/>
            </w:tcBorders>
          </w:tcPr>
          <w:p>
            <w:pPr>
              <w:pStyle w:val="Normal"/>
              <w:spacing w:before="0" w:after="160"/>
              <w:rPr>
                <w:sz w:val="20"/>
                <w:szCs w:val="20"/>
                <w:lang w:val="en-AU" w:eastAsia="en-AU"/>
              </w:rPr>
            </w:pPr>
            <w:r>
              <w:rPr>
                <w:sz w:val="20"/>
                <w:szCs w:val="20"/>
                <w:lang w:val="en-AU" w:eastAsia="en-AU"/>
              </w:rPr>
              <w:t>{% if faira_form.A4_5 == "Yes" %}Yes — {{ faira_form.A4_5_scenarios | format_list }}{% endif %}</w:t>
            </w:r>
          </w:p>
        </w:tc>
      </w:tr>
      <w:tr>
        <w:trPr/>
        <w:tc>
          <w:tcPr>
            <w:tcW w:w="2356" w:type="dxa"/>
            <w:tcBorders>
              <w:top w:val="single" w:sz="4" w:space="0" w:color="000000"/>
              <w:start w:val="single" w:sz="4" w:space="0" w:color="000000"/>
              <w:bottom w:val="single" w:sz="4" w:space="0" w:color="000000"/>
              <w:end w:val="single" w:sz="4" w:space="0" w:color="000000"/>
            </w:tcBorders>
          </w:tcPr>
          <w:p>
            <w:pPr>
              <w:pStyle w:val="Normal"/>
              <w:spacing w:before="0" w:after="160"/>
              <w:rPr>
                <w:sz w:val="20"/>
                <w:szCs w:val="20"/>
                <w:lang w:val="en-AU" w:eastAsia="en-AU"/>
              </w:rPr>
            </w:pPr>
            <w:r>
              <w:rPr>
                <w:sz w:val="20"/>
                <w:szCs w:val="20"/>
                <w:lang w:val="en-AU" w:eastAsia="en-AU"/>
              </w:rPr>
              <w:t>Outputs include regulated / sensitive data (A4.6)</w:t>
            </w:r>
          </w:p>
        </w:tc>
        <w:tc>
          <w:tcPr>
            <w:tcW w:w="6660" w:type="dxa"/>
            <w:tcBorders>
              <w:top w:val="single" w:sz="4" w:space="0" w:color="000000"/>
              <w:start w:val="single" w:sz="4" w:space="0" w:color="000000"/>
              <w:bottom w:val="single" w:sz="4" w:space="0" w:color="000000"/>
              <w:end w:val="single" w:sz="4" w:space="0" w:color="000000"/>
            </w:tcBorders>
          </w:tcPr>
          <w:p>
            <w:pPr>
              <w:pStyle w:val="Normal"/>
              <w:spacing w:before="0" w:after="160"/>
              <w:rPr>
                <w:sz w:val="20"/>
                <w:szCs w:val="20"/>
                <w:lang w:val="en-AU" w:eastAsia="en-AU"/>
              </w:rPr>
            </w:pPr>
            <w:r>
              <w:rPr>
                <w:sz w:val="20"/>
                <w:szCs w:val="20"/>
                <w:lang w:val="en-AU" w:eastAsia="en-AU"/>
              </w:rPr>
              <w:t>{% if faira_form.A4_6 == "Yes" %}Yes — {{ faira_form.A4_6_data_types | format_list }}{% endif %}</w:t>
            </w:r>
          </w:p>
        </w:tc>
      </w:tr>
      <w:tr>
        <w:trPr/>
        <w:tc>
          <w:tcPr>
            <w:tcW w:w="2356" w:type="dxa"/>
            <w:tcBorders>
              <w:top w:val="single" w:sz="4" w:space="0" w:color="000000"/>
              <w:start w:val="single" w:sz="4" w:space="0" w:color="000000"/>
              <w:bottom w:val="single" w:sz="4" w:space="0" w:color="000000"/>
              <w:end w:val="single" w:sz="4" w:space="0" w:color="000000"/>
            </w:tcBorders>
          </w:tcPr>
          <w:p>
            <w:pPr>
              <w:pStyle w:val="Normal"/>
              <w:spacing w:before="0" w:after="160"/>
              <w:rPr>
                <w:sz w:val="20"/>
                <w:szCs w:val="20"/>
                <w:lang w:val="en-AU" w:eastAsia="en-AU"/>
              </w:rPr>
            </w:pPr>
            <w:r>
              <w:rPr>
                <w:sz w:val="20"/>
                <w:szCs w:val="20"/>
                <w:lang w:val="en-AU" w:eastAsia="en-AU"/>
              </w:rPr>
              <w:t>Personal information access / handling (A4.7)</w:t>
            </w:r>
          </w:p>
        </w:tc>
        <w:tc>
          <w:tcPr>
            <w:tcW w:w="6660" w:type="dxa"/>
            <w:tcBorders>
              <w:top w:val="single" w:sz="4" w:space="0" w:color="000000"/>
              <w:start w:val="single" w:sz="4" w:space="0" w:color="000000"/>
              <w:bottom w:val="single" w:sz="4" w:space="0" w:color="000000"/>
              <w:end w:val="single" w:sz="4" w:space="0" w:color="000000"/>
            </w:tcBorders>
          </w:tcPr>
          <w:p>
            <w:pPr>
              <w:pStyle w:val="Normal"/>
              <w:spacing w:before="0" w:after="160"/>
              <w:rPr>
                <w:sz w:val="20"/>
                <w:szCs w:val="20"/>
                <w:lang w:val="en-AU" w:eastAsia="en-AU"/>
              </w:rPr>
            </w:pPr>
            <w:r>
              <w:rPr>
                <w:sz w:val="20"/>
                <w:szCs w:val="20"/>
                <w:lang w:val="en-AU" w:eastAsia="en-AU"/>
              </w:rPr>
              <w:t>{{ faira_form.A4_7 if faira_form.A4_7 else "Not specified" }}</w:t>
            </w:r>
          </w:p>
        </w:tc>
      </w:tr>
      <w:tr>
        <w:trPr/>
        <w:tc>
          <w:tcPr>
            <w:tcW w:w="2356" w:type="dxa"/>
            <w:tcBorders>
              <w:top w:val="single" w:sz="4" w:space="0" w:color="000000"/>
              <w:start w:val="single" w:sz="4" w:space="0" w:color="000000"/>
              <w:bottom w:val="single" w:sz="4" w:space="0" w:color="000000"/>
              <w:end w:val="single" w:sz="4" w:space="0" w:color="000000"/>
            </w:tcBorders>
          </w:tcPr>
          <w:p>
            <w:pPr>
              <w:pStyle w:val="Normal"/>
              <w:spacing w:before="0" w:after="160"/>
              <w:rPr>
                <w:sz w:val="20"/>
                <w:szCs w:val="20"/>
                <w:lang w:val="en-AU" w:eastAsia="en-AU"/>
              </w:rPr>
            </w:pPr>
            <w:r>
              <w:rPr>
                <w:sz w:val="20"/>
                <w:szCs w:val="20"/>
              </w:rPr>
              <w:t>Outputs contain PII</w:t>
            </w:r>
          </w:p>
        </w:tc>
        <w:tc>
          <w:tcPr>
            <w:tcW w:w="6660" w:type="dxa"/>
            <w:tcBorders>
              <w:top w:val="single" w:sz="4" w:space="0" w:color="000000"/>
              <w:start w:val="single" w:sz="4" w:space="0" w:color="000000"/>
              <w:bottom w:val="single" w:sz="4" w:space="0" w:color="000000"/>
              <w:end w:val="single" w:sz="4" w:space="0" w:color="000000"/>
            </w:tcBorders>
          </w:tcPr>
          <w:p>
            <w:pPr>
              <w:pStyle w:val="Normal"/>
              <w:spacing w:before="0" w:after="160"/>
              <w:rPr>
                <w:sz w:val="20"/>
                <w:szCs w:val="20"/>
                <w:lang w:val="en-AU" w:eastAsia="en-AU"/>
              </w:rPr>
            </w:pPr>
            <w:r>
              <w:rPr>
                <w:sz w:val="20"/>
                <w:szCs w:val="20"/>
              </w:rPr>
              <w:t>{{ faira_form.A4_7 if faira_form.A4_7 else "Not specified" }}</w:t>
            </w:r>
          </w:p>
        </w:tc>
      </w:tr>
      <w:tr>
        <w:trPr/>
        <w:tc>
          <w:tcPr>
            <w:tcW w:w="2356" w:type="dxa"/>
            <w:tcBorders>
              <w:top w:val="single" w:sz="4" w:space="0" w:color="000000"/>
              <w:start w:val="single" w:sz="4" w:space="0" w:color="000000"/>
              <w:bottom w:val="single" w:sz="4" w:space="0" w:color="000000"/>
              <w:end w:val="single" w:sz="4" w:space="0" w:color="000000"/>
            </w:tcBorders>
          </w:tcPr>
          <w:p>
            <w:pPr>
              <w:pStyle w:val="Normal"/>
              <w:spacing w:before="0" w:after="160"/>
              <w:rPr>
                <w:sz w:val="20"/>
                <w:szCs w:val="20"/>
                <w:lang w:val="en-AU" w:eastAsia="en-AU"/>
              </w:rPr>
            </w:pPr>
            <w:r>
              <w:rPr>
                <w:sz w:val="20"/>
                <w:szCs w:val="20"/>
              </w:rPr>
              <w:t>PII categories</w:t>
            </w:r>
          </w:p>
        </w:tc>
        <w:tc>
          <w:tcPr>
            <w:tcW w:w="6660" w:type="dxa"/>
            <w:tcBorders>
              <w:top w:val="single" w:sz="4" w:space="0" w:color="000000"/>
              <w:start w:val="single" w:sz="4" w:space="0" w:color="000000"/>
              <w:bottom w:val="single" w:sz="4" w:space="0" w:color="000000"/>
              <w:end w:val="single" w:sz="4" w:space="0" w:color="000000"/>
            </w:tcBorders>
          </w:tcPr>
          <w:p>
            <w:pPr>
              <w:pStyle w:val="Normal"/>
              <w:spacing w:before="0" w:after="160"/>
              <w:rPr>
                <w:sz w:val="20"/>
                <w:szCs w:val="20"/>
                <w:lang w:val="en-AU" w:eastAsia="en-AU"/>
              </w:rPr>
            </w:pPr>
            <w:r>
              <w:rPr>
                <w:sz w:val="20"/>
                <w:szCs w:val="20"/>
              </w:rPr>
              <w:t>{% if faira_form.A4_7 == "Yes" %}{{ faira_form.A4_7_pii_types | format_list if faira_form.A4_7_pii_types else "Not specified" }}{% else %}Not applicable{% endif %}</w:t>
            </w:r>
          </w:p>
        </w:tc>
      </w:tr>
      <w:tr>
        <w:trPr/>
        <w:tc>
          <w:tcPr>
            <w:tcW w:w="2356" w:type="dxa"/>
            <w:tcBorders>
              <w:top w:val="single" w:sz="4" w:space="0" w:color="000000"/>
              <w:start w:val="single" w:sz="4" w:space="0" w:color="000000"/>
              <w:bottom w:val="single" w:sz="4" w:space="0" w:color="000000"/>
              <w:end w:val="single" w:sz="4" w:space="0" w:color="000000"/>
            </w:tcBorders>
          </w:tcPr>
          <w:p>
            <w:pPr>
              <w:pStyle w:val="Normal"/>
              <w:spacing w:before="0" w:after="160"/>
              <w:rPr>
                <w:sz w:val="20"/>
                <w:szCs w:val="20"/>
                <w:lang w:val="en-AU" w:eastAsia="en-AU"/>
              </w:rPr>
            </w:pPr>
            <w:r>
              <w:rPr>
                <w:sz w:val="20"/>
                <w:szCs w:val="20"/>
              </w:rPr>
              <w:t>Access scope</w:t>
            </w:r>
          </w:p>
        </w:tc>
        <w:tc>
          <w:tcPr>
            <w:tcW w:w="6660" w:type="dxa"/>
            <w:tcBorders>
              <w:top w:val="single" w:sz="4" w:space="0" w:color="000000"/>
              <w:start w:val="single" w:sz="4" w:space="0" w:color="000000"/>
              <w:bottom w:val="single" w:sz="4" w:space="0" w:color="000000"/>
              <w:end w:val="single" w:sz="4" w:space="0" w:color="000000"/>
            </w:tcBorders>
          </w:tcPr>
          <w:p>
            <w:pPr>
              <w:pStyle w:val="Normal"/>
              <w:spacing w:before="0" w:after="160"/>
              <w:rPr>
                <w:sz w:val="20"/>
                <w:szCs w:val="20"/>
                <w:lang w:val="en-AU" w:eastAsia="en-AU"/>
              </w:rPr>
            </w:pPr>
            <w:r>
              <w:rPr>
                <w:sz w:val="20"/>
                <w:szCs w:val="20"/>
              </w:rPr>
              <w:t>{% if faira_form.A4_7 == "Yes" %}{{ faira_form.A4_7_access_scope if faira_form.A4_7_access_scope else "Not specified" }}{% else %}Not applicable{% endif %}</w:t>
            </w:r>
          </w:p>
        </w:tc>
      </w:tr>
      <w:tr>
        <w:trPr/>
        <w:tc>
          <w:tcPr>
            <w:tcW w:w="2356" w:type="dxa"/>
            <w:tcBorders>
              <w:top w:val="single" w:sz="4" w:space="0" w:color="000000"/>
              <w:start w:val="single" w:sz="4" w:space="0" w:color="000000"/>
              <w:bottom w:val="single" w:sz="4" w:space="0" w:color="000000"/>
              <w:end w:val="single" w:sz="4" w:space="0" w:color="000000"/>
            </w:tcBorders>
          </w:tcPr>
          <w:p>
            <w:pPr>
              <w:pStyle w:val="Normal"/>
              <w:spacing w:before="0" w:after="160"/>
              <w:rPr>
                <w:sz w:val="20"/>
                <w:szCs w:val="20"/>
                <w:lang w:val="en-AU" w:eastAsia="en-AU"/>
              </w:rPr>
            </w:pPr>
            <w:r>
              <w:rPr>
                <w:sz w:val="20"/>
                <w:szCs w:val="20"/>
              </w:rPr>
              <w:t>Access controls</w:t>
            </w:r>
          </w:p>
        </w:tc>
        <w:tc>
          <w:tcPr>
            <w:tcW w:w="6660" w:type="dxa"/>
            <w:tcBorders>
              <w:top w:val="single" w:sz="4" w:space="0" w:color="000000"/>
              <w:start w:val="single" w:sz="4" w:space="0" w:color="000000"/>
              <w:bottom w:val="single" w:sz="4" w:space="0" w:color="000000"/>
              <w:end w:val="single" w:sz="4" w:space="0" w:color="000000"/>
            </w:tcBorders>
          </w:tcPr>
          <w:p>
            <w:pPr>
              <w:pStyle w:val="Normal"/>
              <w:spacing w:before="0" w:after="160"/>
              <w:rPr>
                <w:sz w:val="20"/>
                <w:szCs w:val="20"/>
                <w:lang w:val="en-AU" w:eastAsia="en-AU"/>
              </w:rPr>
            </w:pPr>
            <w:r>
              <w:rPr>
                <w:sz w:val="20"/>
                <w:szCs w:val="20"/>
              </w:rPr>
              <w:t>{% if faira_form.A4_7 == "Yes" %}{{ faira_form.A4_7_access_controls | format_list if faira_form.A4_7_access_controls else "Not specified" }}{% else %}Not applicable{% endif %}</w:t>
            </w:r>
          </w:p>
        </w:tc>
      </w:tr>
      <w:tr>
        <w:trPr/>
        <w:tc>
          <w:tcPr>
            <w:tcW w:w="2356" w:type="dxa"/>
            <w:tcBorders>
              <w:top w:val="single" w:sz="4" w:space="0" w:color="000000"/>
              <w:start w:val="single" w:sz="4" w:space="0" w:color="000000"/>
              <w:bottom w:val="single" w:sz="4" w:space="0" w:color="000000"/>
              <w:end w:val="single" w:sz="4" w:space="0" w:color="000000"/>
            </w:tcBorders>
          </w:tcPr>
          <w:p>
            <w:pPr>
              <w:pStyle w:val="Normal"/>
              <w:spacing w:before="0" w:after="160"/>
              <w:rPr>
                <w:sz w:val="20"/>
                <w:szCs w:val="20"/>
              </w:rPr>
            </w:pPr>
            <w:r>
              <w:rPr>
                <w:sz w:val="20"/>
                <w:szCs w:val="20"/>
              </w:rPr>
              <w:t>Notes</w:t>
            </w:r>
          </w:p>
        </w:tc>
        <w:tc>
          <w:tcPr>
            <w:tcW w:w="6660" w:type="dxa"/>
            <w:tcBorders>
              <w:top w:val="single" w:sz="4" w:space="0" w:color="000000"/>
              <w:start w:val="single" w:sz="4" w:space="0" w:color="000000"/>
              <w:bottom w:val="single" w:sz="4" w:space="0" w:color="000000"/>
              <w:end w:val="single" w:sz="4" w:space="0" w:color="000000"/>
            </w:tcBorders>
          </w:tcPr>
          <w:p>
            <w:pPr>
              <w:pStyle w:val="Normal"/>
              <w:spacing w:before="0" w:after="160"/>
              <w:rPr>
                <w:sz w:val="20"/>
                <w:szCs w:val="20"/>
              </w:rPr>
            </w:pPr>
            <w:r>
              <w:rPr>
                <w:sz w:val="20"/>
                <w:szCs w:val="20"/>
              </w:rPr>
              <w:t>{% if faira_form.A4_7 == "Yes" and faira_form.A4_7_notes %}{{ faira_form.A4_7_notes }}{% else %}—{% endif %}</w:t>
            </w:r>
          </w:p>
        </w:tc>
      </w:tr>
      <w:tr>
        <w:trPr/>
        <w:tc>
          <w:tcPr>
            <w:tcW w:w="2356" w:type="dxa"/>
            <w:tcBorders>
              <w:top w:val="single" w:sz="4" w:space="0" w:color="000000"/>
              <w:start w:val="single" w:sz="4" w:space="0" w:color="000000"/>
              <w:bottom w:val="single" w:sz="4" w:space="0" w:color="000000"/>
              <w:end w:val="single" w:sz="4" w:space="0" w:color="000000"/>
            </w:tcBorders>
          </w:tcPr>
          <w:p>
            <w:pPr>
              <w:pStyle w:val="Normal"/>
              <w:spacing w:before="0" w:after="160"/>
              <w:rPr>
                <w:sz w:val="20"/>
                <w:szCs w:val="20"/>
                <w:lang w:val="en-AU" w:eastAsia="en-AU"/>
              </w:rPr>
            </w:pPr>
            <w:r>
              <w:rPr>
                <w:sz w:val="20"/>
                <w:szCs w:val="20"/>
                <w:lang w:val="en-AU" w:eastAsia="en-AU"/>
              </w:rPr>
              <w:t>Legal / regulatory / policy actions (A4.8)</w:t>
            </w:r>
          </w:p>
        </w:tc>
        <w:tc>
          <w:tcPr>
            <w:tcW w:w="6660" w:type="dxa"/>
            <w:tcBorders>
              <w:top w:val="single" w:sz="4" w:space="0" w:color="000000"/>
              <w:start w:val="single" w:sz="4" w:space="0" w:color="000000"/>
              <w:bottom w:val="single" w:sz="4" w:space="0" w:color="000000"/>
              <w:end w:val="single" w:sz="4" w:space="0" w:color="000000"/>
            </w:tcBorders>
          </w:tcPr>
          <w:p>
            <w:pPr>
              <w:pStyle w:val="Normal"/>
              <w:keepNext w:val="true"/>
              <w:spacing w:before="0" w:after="160"/>
              <w:rPr>
                <w:sz w:val="20"/>
                <w:szCs w:val="20"/>
                <w:lang w:val="en-AU" w:eastAsia="en-AU"/>
              </w:rPr>
            </w:pPr>
            <w:r>
              <w:rPr>
                <w:sz w:val="20"/>
                <w:szCs w:val="20"/>
                <w:lang w:val="en-AU" w:eastAsia="en-AU"/>
              </w:rPr>
              <w:t>{{ faira_form.A4_8 if faira_form.A4_8 else "Not specified" }}</w:t>
            </w:r>
          </w:p>
        </w:tc>
      </w:tr>
      <w:tr>
        <w:trPr/>
        <w:tc>
          <w:tcPr>
            <w:tcW w:w="2356" w:type="dxa"/>
            <w:tcBorders>
              <w:top w:val="single" w:sz="4" w:space="0" w:color="000000"/>
              <w:start w:val="single" w:sz="4" w:space="0" w:color="000000"/>
              <w:bottom w:val="single" w:sz="4" w:space="0" w:color="000000"/>
              <w:end w:val="single" w:sz="4" w:space="0" w:color="000000"/>
            </w:tcBorders>
          </w:tcPr>
          <w:p>
            <w:pPr>
              <w:pStyle w:val="Normal"/>
              <w:spacing w:before="0" w:after="160"/>
              <w:rPr>
                <w:sz w:val="20"/>
                <w:szCs w:val="20"/>
                <w:lang w:val="en-AU" w:eastAsia="en-AU"/>
              </w:rPr>
            </w:pPr>
            <w:r>
              <w:rPr>
                <w:sz w:val="20"/>
                <w:szCs w:val="20"/>
              </w:rPr>
              <w:t>Actions with legal/regulatory effect</w:t>
            </w:r>
          </w:p>
        </w:tc>
        <w:tc>
          <w:tcPr>
            <w:tcW w:w="6660" w:type="dxa"/>
            <w:tcBorders>
              <w:top w:val="single" w:sz="4" w:space="0" w:color="000000"/>
              <w:start w:val="single" w:sz="4" w:space="0" w:color="000000"/>
              <w:bottom w:val="single" w:sz="4" w:space="0" w:color="000000"/>
              <w:end w:val="single" w:sz="4" w:space="0" w:color="000000"/>
            </w:tcBorders>
          </w:tcPr>
          <w:p>
            <w:pPr>
              <w:pStyle w:val="Normal"/>
              <w:spacing w:before="0" w:after="160"/>
              <w:rPr>
                <w:sz w:val="20"/>
                <w:szCs w:val="20"/>
                <w:lang w:val="en-AU" w:eastAsia="en-AU"/>
              </w:rPr>
            </w:pPr>
            <w:r>
              <w:rPr>
                <w:sz w:val="20"/>
                <w:szCs w:val="20"/>
              </w:rPr>
              <w:t>{{ faira_form.A4_8 if faira_form.A4_8 else "Not specified" }}</w:t>
            </w:r>
          </w:p>
        </w:tc>
      </w:tr>
      <w:tr>
        <w:trPr/>
        <w:tc>
          <w:tcPr>
            <w:tcW w:w="2356" w:type="dxa"/>
            <w:tcBorders>
              <w:top w:val="single" w:sz="4" w:space="0" w:color="000000"/>
              <w:start w:val="single" w:sz="4" w:space="0" w:color="000000"/>
              <w:bottom w:val="single" w:sz="4" w:space="0" w:color="000000"/>
              <w:end w:val="single" w:sz="4" w:space="0" w:color="000000"/>
            </w:tcBorders>
          </w:tcPr>
          <w:p>
            <w:pPr>
              <w:pStyle w:val="Normal"/>
              <w:spacing w:before="0" w:after="160"/>
              <w:rPr>
                <w:sz w:val="20"/>
                <w:szCs w:val="20"/>
                <w:lang w:val="en-AU" w:eastAsia="en-AU"/>
              </w:rPr>
            </w:pPr>
            <w:r>
              <w:rPr>
                <w:sz w:val="20"/>
                <w:szCs w:val="20"/>
              </w:rPr>
              <w:t>Action types</w:t>
            </w:r>
          </w:p>
        </w:tc>
        <w:tc>
          <w:tcPr>
            <w:tcW w:w="6660" w:type="dxa"/>
            <w:tcBorders>
              <w:top w:val="single" w:sz="4" w:space="0" w:color="000000"/>
              <w:start w:val="single" w:sz="4" w:space="0" w:color="000000"/>
              <w:bottom w:val="single" w:sz="4" w:space="0" w:color="000000"/>
              <w:end w:val="single" w:sz="4" w:space="0" w:color="000000"/>
            </w:tcBorders>
          </w:tcPr>
          <w:p>
            <w:pPr>
              <w:pStyle w:val="Normal"/>
              <w:spacing w:before="0" w:after="160"/>
              <w:rPr>
                <w:sz w:val="20"/>
                <w:szCs w:val="20"/>
                <w:lang w:val="en-AU" w:eastAsia="en-AU"/>
              </w:rPr>
            </w:pPr>
            <w:r>
              <w:rPr>
                <w:sz w:val="20"/>
                <w:szCs w:val="20"/>
              </w:rPr>
              <w:t>{% if faira_form.A4_8 == "Yes" %}{{ faira_form.A4_8_action_types | format_list if faira_form.A4_8_action_types else "Not specified" }}{% else %}Not applicable{% endif %}</w:t>
            </w:r>
          </w:p>
        </w:tc>
      </w:tr>
      <w:tr>
        <w:trPr/>
        <w:tc>
          <w:tcPr>
            <w:tcW w:w="2356" w:type="dxa"/>
            <w:tcBorders>
              <w:top w:val="single" w:sz="4" w:space="0" w:color="000000"/>
              <w:start w:val="single" w:sz="4" w:space="0" w:color="000000"/>
              <w:bottom w:val="single" w:sz="4" w:space="0" w:color="000000"/>
              <w:end w:val="single" w:sz="4" w:space="0" w:color="000000"/>
            </w:tcBorders>
          </w:tcPr>
          <w:p>
            <w:pPr>
              <w:pStyle w:val="Normal"/>
              <w:spacing w:before="0" w:after="160"/>
              <w:rPr>
                <w:sz w:val="20"/>
                <w:szCs w:val="20"/>
                <w:lang w:val="en-AU" w:eastAsia="en-AU"/>
              </w:rPr>
            </w:pPr>
            <w:r>
              <w:rPr>
                <w:sz w:val="20"/>
                <w:szCs w:val="20"/>
              </w:rPr>
              <w:t>Trigger pathway</w:t>
            </w:r>
          </w:p>
        </w:tc>
        <w:tc>
          <w:tcPr>
            <w:tcW w:w="6660" w:type="dxa"/>
            <w:tcBorders>
              <w:top w:val="single" w:sz="4" w:space="0" w:color="000000"/>
              <w:start w:val="single" w:sz="4" w:space="0" w:color="000000"/>
              <w:bottom w:val="single" w:sz="4" w:space="0" w:color="000000"/>
              <w:end w:val="single" w:sz="4" w:space="0" w:color="000000"/>
            </w:tcBorders>
          </w:tcPr>
          <w:p>
            <w:pPr>
              <w:pStyle w:val="Normal"/>
              <w:spacing w:before="0" w:after="160"/>
              <w:rPr>
                <w:sz w:val="20"/>
                <w:szCs w:val="20"/>
                <w:lang w:val="en-AU" w:eastAsia="en-AU"/>
              </w:rPr>
            </w:pPr>
            <w:r>
              <w:rPr>
                <w:sz w:val="20"/>
                <w:szCs w:val="20"/>
              </w:rPr>
              <w:t>{% if faira_form.A4_8 == "Yes" %}{{ faira_form.A4_8_trigger_pathway if faira_form.A4_8_trigger_pathway else "Not specified" }}{% else %}Not applicable{% endif %}</w:t>
            </w:r>
          </w:p>
        </w:tc>
      </w:tr>
      <w:tr>
        <w:trPr/>
        <w:tc>
          <w:tcPr>
            <w:tcW w:w="2356" w:type="dxa"/>
            <w:tcBorders>
              <w:top w:val="single" w:sz="4" w:space="0" w:color="000000"/>
              <w:start w:val="single" w:sz="4" w:space="0" w:color="000000"/>
              <w:bottom w:val="single" w:sz="4" w:space="0" w:color="000000"/>
              <w:end w:val="single" w:sz="4" w:space="0" w:color="000000"/>
            </w:tcBorders>
          </w:tcPr>
          <w:p>
            <w:pPr>
              <w:pStyle w:val="Normal"/>
              <w:spacing w:before="0" w:after="160"/>
              <w:rPr>
                <w:sz w:val="20"/>
                <w:szCs w:val="20"/>
                <w:lang w:val="en-AU" w:eastAsia="en-AU"/>
              </w:rPr>
            </w:pPr>
            <w:r>
              <w:rPr>
                <w:sz w:val="20"/>
                <w:szCs w:val="20"/>
              </w:rPr>
              <w:t>Affected parties</w:t>
            </w:r>
          </w:p>
        </w:tc>
        <w:tc>
          <w:tcPr>
            <w:tcW w:w="6660" w:type="dxa"/>
            <w:tcBorders>
              <w:top w:val="single" w:sz="4" w:space="0" w:color="000000"/>
              <w:start w:val="single" w:sz="4" w:space="0" w:color="000000"/>
              <w:bottom w:val="single" w:sz="4" w:space="0" w:color="000000"/>
              <w:end w:val="single" w:sz="4" w:space="0" w:color="000000"/>
            </w:tcBorders>
          </w:tcPr>
          <w:p>
            <w:pPr>
              <w:pStyle w:val="Normal"/>
              <w:spacing w:before="0" w:after="160"/>
              <w:rPr>
                <w:sz w:val="20"/>
                <w:szCs w:val="20"/>
                <w:lang w:val="en-AU" w:eastAsia="en-AU"/>
              </w:rPr>
            </w:pPr>
            <w:r>
              <w:rPr>
                <w:sz w:val="20"/>
                <w:szCs w:val="20"/>
              </w:rPr>
              <w:t>{% if faira_form.A4_8 == "Yes" %}{{ faira_form.A4_8_affected_parties | format_list if faira_form.A4_8_affected_parties else "Not specified" }}{% else %}Not applicable{% endif %}</w:t>
            </w:r>
          </w:p>
        </w:tc>
      </w:tr>
      <w:tr>
        <w:trPr/>
        <w:tc>
          <w:tcPr>
            <w:tcW w:w="2356" w:type="dxa"/>
            <w:tcBorders>
              <w:top w:val="single" w:sz="4" w:space="0" w:color="000000"/>
              <w:start w:val="single" w:sz="4" w:space="0" w:color="000000"/>
              <w:bottom w:val="single" w:sz="4" w:space="0" w:color="000000"/>
              <w:end w:val="single" w:sz="4" w:space="0" w:color="000000"/>
            </w:tcBorders>
          </w:tcPr>
          <w:p>
            <w:pPr>
              <w:pStyle w:val="Normal"/>
              <w:spacing w:before="0" w:after="160"/>
              <w:rPr>
                <w:sz w:val="20"/>
                <w:szCs w:val="20"/>
                <w:lang w:val="en-AU" w:eastAsia="en-AU"/>
              </w:rPr>
            </w:pPr>
            <w:r>
              <w:rPr>
                <w:sz w:val="20"/>
                <w:szCs w:val="20"/>
              </w:rPr>
              <w:t>Decision records / traceability</w:t>
            </w:r>
          </w:p>
        </w:tc>
        <w:tc>
          <w:tcPr>
            <w:tcW w:w="6660" w:type="dxa"/>
            <w:tcBorders>
              <w:top w:val="single" w:sz="4" w:space="0" w:color="000000"/>
              <w:start w:val="single" w:sz="4" w:space="0" w:color="000000"/>
              <w:bottom w:val="single" w:sz="4" w:space="0" w:color="000000"/>
              <w:end w:val="single" w:sz="4" w:space="0" w:color="000000"/>
            </w:tcBorders>
          </w:tcPr>
          <w:p>
            <w:pPr>
              <w:pStyle w:val="Normal"/>
              <w:spacing w:before="0" w:after="160"/>
              <w:rPr>
                <w:sz w:val="20"/>
                <w:szCs w:val="20"/>
                <w:lang w:val="en-AU" w:eastAsia="en-AU"/>
              </w:rPr>
            </w:pPr>
            <w:r>
              <w:rPr>
                <w:sz w:val="20"/>
                <w:szCs w:val="20"/>
              </w:rPr>
              <w:t>{% if faira_form.A4_8 == "Yes" %}{{ faira_form.A4_8_decision_records | format_list if faira_form.A4_8_decision_records else "Not specified" }}{% else %}Not applicable{% endif %}</w:t>
            </w:r>
          </w:p>
        </w:tc>
      </w:tr>
      <w:tr>
        <w:trPr/>
        <w:tc>
          <w:tcPr>
            <w:tcW w:w="2356" w:type="dxa"/>
            <w:tcBorders>
              <w:top w:val="single" w:sz="4" w:space="0" w:color="000000"/>
              <w:start w:val="single" w:sz="4" w:space="0" w:color="000000"/>
              <w:bottom w:val="single" w:sz="4" w:space="0" w:color="000000"/>
              <w:end w:val="single" w:sz="4" w:space="0" w:color="000000"/>
            </w:tcBorders>
          </w:tcPr>
          <w:p>
            <w:pPr>
              <w:pStyle w:val="Normal"/>
              <w:spacing w:before="0" w:after="160"/>
              <w:rPr>
                <w:sz w:val="20"/>
                <w:szCs w:val="20"/>
                <w:lang w:val="en-AU" w:eastAsia="en-AU"/>
              </w:rPr>
            </w:pPr>
            <w:r>
              <w:rPr>
                <w:sz w:val="20"/>
                <w:szCs w:val="20"/>
              </w:rPr>
              <w:t>Review / appeal mechanism</w:t>
            </w:r>
          </w:p>
        </w:tc>
        <w:tc>
          <w:tcPr>
            <w:tcW w:w="6660" w:type="dxa"/>
            <w:tcBorders>
              <w:top w:val="single" w:sz="4" w:space="0" w:color="000000"/>
              <w:start w:val="single" w:sz="4" w:space="0" w:color="000000"/>
              <w:bottom w:val="single" w:sz="4" w:space="0" w:color="000000"/>
              <w:end w:val="single" w:sz="4" w:space="0" w:color="000000"/>
            </w:tcBorders>
          </w:tcPr>
          <w:p>
            <w:pPr>
              <w:pStyle w:val="Normal"/>
              <w:spacing w:before="0" w:after="160"/>
              <w:rPr>
                <w:sz w:val="20"/>
                <w:szCs w:val="20"/>
                <w:lang w:val="en-AU" w:eastAsia="en-AU"/>
              </w:rPr>
            </w:pPr>
            <w:r>
              <w:rPr>
                <w:sz w:val="20"/>
                <w:szCs w:val="20"/>
              </w:rPr>
              <w:t>{% if faira_form.A4_8 == "Yes" %}{{ faira_form.A4_8_review_appeal if faira_form.A4_8_review_appeal else "Not specified" }}{% else %}Not applicable{% endif %}</w:t>
            </w:r>
          </w:p>
        </w:tc>
      </w:tr>
      <w:tr>
        <w:trPr/>
        <w:tc>
          <w:tcPr>
            <w:tcW w:w="2356" w:type="dxa"/>
            <w:tcBorders>
              <w:top w:val="single" w:sz="4" w:space="0" w:color="000000"/>
              <w:start w:val="single" w:sz="4" w:space="0" w:color="000000"/>
              <w:bottom w:val="single" w:sz="4" w:space="0" w:color="000000"/>
              <w:end w:val="single" w:sz="4" w:space="0" w:color="000000"/>
            </w:tcBorders>
          </w:tcPr>
          <w:p>
            <w:pPr>
              <w:pStyle w:val="Normal"/>
              <w:spacing w:before="0" w:after="160"/>
              <w:rPr>
                <w:sz w:val="20"/>
                <w:szCs w:val="20"/>
                <w:lang w:val="en-AU" w:eastAsia="en-AU"/>
              </w:rPr>
            </w:pPr>
            <w:r>
              <w:rPr>
                <w:sz w:val="20"/>
                <w:szCs w:val="20"/>
              </w:rPr>
              <w:t>Legal / policy basis</w:t>
            </w:r>
          </w:p>
        </w:tc>
        <w:tc>
          <w:tcPr>
            <w:tcW w:w="6660" w:type="dxa"/>
            <w:tcBorders>
              <w:top w:val="single" w:sz="4" w:space="0" w:color="000000"/>
              <w:start w:val="single" w:sz="4" w:space="0" w:color="000000"/>
              <w:bottom w:val="single" w:sz="4" w:space="0" w:color="000000"/>
              <w:end w:val="single" w:sz="4" w:space="0" w:color="000000"/>
            </w:tcBorders>
          </w:tcPr>
          <w:p>
            <w:pPr>
              <w:pStyle w:val="Normal"/>
              <w:spacing w:before="0" w:after="160"/>
              <w:rPr>
                <w:sz w:val="20"/>
                <w:szCs w:val="20"/>
                <w:lang w:val="en-AU" w:eastAsia="en-AU"/>
              </w:rPr>
            </w:pPr>
            <w:r>
              <w:rPr>
                <w:sz w:val="20"/>
                <w:szCs w:val="20"/>
              </w:rPr>
              <w:t>{% if faira_form.A4_8 == "Yes" %}{{ faira_form.A4_8_legal_basis | format_list if faira_form.A4_8_legal_basis else "Not specified" }}{% else %}Not applicable{% endif %}</w:t>
            </w:r>
          </w:p>
        </w:tc>
      </w:tr>
      <w:tr>
        <w:trPr/>
        <w:tc>
          <w:tcPr>
            <w:tcW w:w="2356" w:type="dxa"/>
            <w:tcBorders>
              <w:top w:val="single" w:sz="4" w:space="0" w:color="000000"/>
              <w:start w:val="single" w:sz="4" w:space="0" w:color="000000"/>
              <w:bottom w:val="single" w:sz="4" w:space="0" w:color="000000"/>
              <w:end w:val="single" w:sz="4" w:space="0" w:color="000000"/>
            </w:tcBorders>
          </w:tcPr>
          <w:p>
            <w:pPr>
              <w:pStyle w:val="Normal"/>
              <w:spacing w:before="0" w:after="160"/>
              <w:rPr>
                <w:sz w:val="20"/>
                <w:szCs w:val="20"/>
                <w:lang w:val="en-AU" w:eastAsia="en-AU"/>
              </w:rPr>
            </w:pPr>
            <w:r>
              <w:rPr>
                <w:sz w:val="20"/>
                <w:szCs w:val="20"/>
              </w:rPr>
              <w:t>Notes</w:t>
            </w:r>
          </w:p>
        </w:tc>
        <w:tc>
          <w:tcPr>
            <w:tcW w:w="6660" w:type="dxa"/>
            <w:tcBorders>
              <w:top w:val="single" w:sz="4" w:space="0" w:color="000000"/>
              <w:start w:val="single" w:sz="4" w:space="0" w:color="000000"/>
              <w:bottom w:val="single" w:sz="4" w:space="0" w:color="000000"/>
              <w:end w:val="single" w:sz="4" w:space="0" w:color="000000"/>
            </w:tcBorders>
          </w:tcPr>
          <w:p>
            <w:pPr>
              <w:pStyle w:val="Normal"/>
              <w:spacing w:before="0" w:after="160"/>
              <w:rPr>
                <w:sz w:val="20"/>
                <w:szCs w:val="20"/>
                <w:lang w:val="en-AU" w:eastAsia="en-AU"/>
              </w:rPr>
            </w:pPr>
            <w:r>
              <w:rPr>
                <w:sz w:val="20"/>
                <w:szCs w:val="20"/>
              </w:rPr>
              <w:t>{% if faira_form.A4_8 == "Yes" and faira_form.A4_8_notes %}{{ faira_form.A4_8_notes }}{% else %}—{% endif %}</w:t>
            </w:r>
          </w:p>
        </w:tc>
      </w:tr>
    </w:tbl>
    <w:p>
      <w:pPr>
        <w:pStyle w:val="Caption"/>
        <w:rPr/>
      </w:pPr>
      <w:bookmarkStart w:id="11" w:name="_Toc220351598"/>
      <w:r>
        <w:rPr/>
        <w:t xml:space="preserve">Table </w:t>
      </w:r>
      <w:r>
        <w:rPr/>
        <w:fldChar w:fldCharType="begin"/>
      </w:r>
      <w:r>
        <w:rPr/>
        <w:instrText xml:space="preserve"> SEQ Table \* ARABIC </w:instrText>
      </w:r>
      <w:r>
        <w:rPr/>
        <w:fldChar w:fldCharType="separate"/>
      </w:r>
      <w:r>
        <w:rPr/>
        <w:t>4</w:t>
      </w:r>
      <w:r>
        <w:rPr/>
        <w:fldChar w:fldCharType="end"/>
      </w:r>
      <w:r>
        <w:rPr/>
        <w:t xml:space="preserve"> - Deployment Context summary</w:t>
      </w:r>
      <w:bookmarkEnd w:id="11"/>
    </w:p>
    <w:p>
      <w:pPr>
        <w:pStyle w:val="Normal"/>
        <w:rPr>
          <w:lang w:eastAsia="en-AU"/>
        </w:rPr>
      </w:pPr>
      <w:r>
        <w:rPr>
          <w:lang w:eastAsia="en-AU"/>
        </w:rPr>
      </w:r>
    </w:p>
    <w:p>
      <w:pPr>
        <w:pStyle w:val="Heading02"/>
        <w:numPr>
          <w:ilvl w:val="1"/>
          <w:numId w:val="1"/>
        </w:numPr>
        <w:ind w:hanging="432" w:start="432"/>
        <w:rPr>
          <w:lang w:val="en-AU" w:eastAsia="en-AU"/>
        </w:rPr>
      </w:pPr>
      <w:bookmarkStart w:id="12" w:name="_Toc220351599"/>
      <w:r>
        <w:rPr>
          <w:lang w:val="en-AU" w:eastAsia="en-AU"/>
        </w:rPr>
        <w:t>Governance and Oversight</w:t>
      </w:r>
      <w:bookmarkEnd w:id="12"/>
    </w:p>
    <w:p>
      <w:pPr>
        <w:pStyle w:val="Heading2"/>
        <w:rPr>
          <w:rFonts w:ascii="Arial" w:hAnsi="Arial" w:eastAsia="Aptos" w:cs="" w:cstheme="minorBidi" w:eastAsiaTheme="minorHAnsi"/>
          <w:i/>
          <w:iCs/>
          <w:color w:themeColor="text2" w:themeTint="bf" w:val="215E99"/>
          <w:sz w:val="22"/>
          <w:szCs w:val="22"/>
          <w:lang w:eastAsia="en-AU"/>
        </w:rPr>
      </w:pPr>
      <w:r>
        <w:rPr>
          <w:rFonts w:eastAsia="Aptos" w:cs="" w:ascii="Arial" w:hAnsi="Arial" w:cstheme="minorBidi" w:eastAsiaTheme="minorHAnsi"/>
          <w:i/>
          <w:iCs/>
          <w:color w:themeColor="text2" w:themeTint="bf" w:val="215E99"/>
          <w:sz w:val="22"/>
          <w:szCs w:val="22"/>
          <w:lang w:eastAsia="en-AU"/>
        </w:rPr>
        <w:t>Maps to FAIRA Table 9 (Monitoring and evaluation) plus accountability references</w:t>
      </w:r>
    </w:p>
    <w:p>
      <w:pPr>
        <w:pStyle w:val="Normal"/>
        <w:rPr>
          <w:lang w:val="en-AU"/>
        </w:rPr>
      </w:pPr>
      <w:r>
        <w:rPr>
          <w:lang w:val="en-AU"/>
        </w:rPr>
        <w:t>This section describes the governance and oversight arrangements associated with the AI system, including accountability, monitoring, stakeholder engagement, and the regulatory context in which the system operates. These governance characteristics provide important context for understanding how responsibility for AI-supported decisions is assigned, how system performance and impacts are monitored, and how obligations arising from laws, frameworks, or standards are identified. The information presented here is descriptive in nature and does not represent an assessment of governance effectiveness or compliance.</w:t>
      </w:r>
    </w:p>
    <w:p>
      <w:pPr>
        <w:pStyle w:val="Normal"/>
        <w:rPr>
          <w:lang w:val="en-AU" w:eastAsia="en-AU"/>
        </w:rPr>
      </w:pPr>
      <w:r>
        <w:rPr>
          <w:lang w:val="en-AU" w:eastAsia="en-AU"/>
        </w:rPr>
        <w:t xml:space="preserve">Accountability for decisions made using the AI system has been assigned to the {{ faira_form.A5_1 }}, establishing primary responsibility for oversight of AI-supported outcomes. </w:t>
      </w:r>
    </w:p>
    <w:p>
      <w:pPr>
        <w:pStyle w:val="Normal"/>
        <w:rPr/>
      </w:pPr>
      <w:r>
        <w:rPr/>
        <w:t>{%p if faira_form.A5_2 == "Yes" %}</w:t>
      </w:r>
    </w:p>
    <w:p>
      <w:pPr>
        <w:pStyle w:val="Normal"/>
        <w:rPr/>
      </w:pPr>
      <w:r>
        <w:rPr/>
        <w:t xml:space="preserve">The assessment indicates that AI inputs, outputs, and/or decisions are logged or recorded. The elements captured include </w:t>
      </w:r>
      <w:r>
        <w:rPr>
          <w:highlight w:val="yellow"/>
        </w:rPr>
        <w:t>{{ faira_form.A5_2_logged_items | format_list if faira_form.A5_2_logged_items else "item(s) not specified" }},</w:t>
      </w:r>
      <w:r>
        <w:rPr/>
        <w:t xml:space="preserve"> using logging or record-keeping mechanisms such as {{ faira_form.A5_2_logging_mechanisms | format_list if faira_form.A5_2_logging_mechanisms else "mechanism(s) not specified" }}.</w:t>
      </w:r>
    </w:p>
    <w:p>
      <w:pPr>
        <w:pStyle w:val="Normal"/>
        <w:rPr/>
      </w:pPr>
      <w:r>
        <w:rPr/>
        <w:t>Records are retained for {{ faira_form.A5_2_retention if faira_form.A5_2_retention else "a period not specified" }}, with access to logs or records described as {{ faira_form.A5_2_access_scope if faira_form.A5_2_access_scope else "not specified" }}</w:t>
      </w:r>
    </w:p>
    <w:p>
      <w:pPr>
        <w:pStyle w:val="Normal"/>
        <w:rPr/>
      </w:pPr>
      <w:r>
        <w:rPr/>
        <w:t>{%p if faira_form.A5_2_notes %}. Additional notes: {{ faira_form.A5_2_notes }}.</w:t>
      </w:r>
    </w:p>
    <w:p>
      <w:pPr>
        <w:pStyle w:val="Normal"/>
        <w:rPr/>
      </w:pPr>
      <w:r>
        <w:rPr/>
        <w:t>{%p endif %}</w:t>
      </w:r>
    </w:p>
    <w:p>
      <w:pPr>
        <w:pStyle w:val="Normal"/>
        <w:rPr/>
      </w:pPr>
      <w:r>
        <w:rPr/>
        <w:t>{%p else %}</w:t>
      </w:r>
    </w:p>
    <w:p>
      <w:pPr>
        <w:pStyle w:val="Normal"/>
        <w:rPr/>
      </w:pPr>
      <w:r>
        <w:rPr/>
        <w:t>The assessment indicates that AI inputs, outputs, and/or decisions are not logged or recorded.</w:t>
      </w:r>
    </w:p>
    <w:p>
      <w:pPr>
        <w:pStyle w:val="Normal"/>
        <w:rPr/>
      </w:pPr>
      <w:r>
        <w:rPr/>
        <w:t>{%p endif %}</w:t>
      </w:r>
    </w:p>
    <w:p>
      <w:pPr>
        <w:pStyle w:val="Normal"/>
        <w:rPr>
          <w:lang w:val="en-AU" w:eastAsia="en-AU"/>
        </w:rPr>
      </w:pPr>
      <w:r>
        <w:rPr>
          <w:lang w:val="en-AU" w:eastAsia="en-AU"/>
        </w:rPr>
        <w:t>Monitoring and evaluation of the AI system are supported through {{ faira_form.A5_3 | format_list }}, with monitoring activities occurring {{ faira_form.A5_4 }}. Responsibility for conducting monitoring and evaluation activities rests with the {{ faira_form.A5_6 }}.</w:t>
      </w:r>
    </w:p>
    <w:p>
      <w:pPr>
        <w:pStyle w:val="Normal"/>
        <w:spacing w:before="60" w:after="60"/>
        <w:rPr>
          <w:lang w:val="en-AU" w:eastAsia="en-AU"/>
        </w:rPr>
      </w:pPr>
      <w:r>
        <w:rPr>
          <w:lang w:val="en-AU" w:eastAsia="en-AU"/>
        </w:rPr>
        <w:t>{%p if faira_form.A5_5 == "Yes" %}</w:t>
      </w:r>
    </w:p>
    <w:p>
      <w:pPr>
        <w:pStyle w:val="Normal"/>
        <w:spacing w:before="60" w:after="60"/>
        <w:rPr>
          <w:lang w:val="en-AU" w:eastAsia="en-AU"/>
        </w:rPr>
      </w:pPr>
      <w:r>
        <w:rPr>
          <w:lang w:val="en-AU" w:eastAsia="en-AU"/>
        </w:rPr>
        <w:t>The AI system has been subject to independent review.</w:t>
      </w:r>
    </w:p>
    <w:p>
      <w:pPr>
        <w:pStyle w:val="Normal"/>
        <w:spacing w:before="60" w:after="60"/>
        <w:rPr>
          <w:lang w:val="en-AU" w:eastAsia="en-AU"/>
        </w:rPr>
      </w:pPr>
      <w:r>
        <w:rPr>
          <w:lang w:val="en-AU" w:eastAsia="en-AU"/>
        </w:rPr>
        <w:t>{%p else %}</w:t>
      </w:r>
    </w:p>
    <w:p>
      <w:pPr>
        <w:pStyle w:val="Normal"/>
        <w:spacing w:before="60" w:after="60"/>
        <w:rPr>
          <w:lang w:val="en-AU" w:eastAsia="en-AU"/>
        </w:rPr>
      </w:pPr>
      <w:r>
        <w:rPr>
          <w:lang w:val="en-AU" w:eastAsia="en-AU"/>
        </w:rPr>
        <w:t>The AI system has not been subject to independent review.</w:t>
      </w:r>
    </w:p>
    <w:p>
      <w:pPr>
        <w:pStyle w:val="Normal"/>
        <w:spacing w:before="60" w:after="60"/>
        <w:rPr>
          <w:lang w:val="en-AU" w:eastAsia="en-AU"/>
        </w:rPr>
      </w:pPr>
      <w:r>
        <w:rPr>
          <w:lang w:val="en-AU" w:eastAsia="en-AU"/>
        </w:rPr>
        <w:t>{%p endif %}</w:t>
      </w:r>
    </w:p>
    <w:p>
      <w:pPr>
        <w:pStyle w:val="Normal"/>
        <w:rPr>
          <w:lang w:val="en-AU" w:eastAsia="en-AU"/>
        </w:rPr>
      </w:pPr>
      <w:r>
        <w:rPr>
          <w:lang w:val="en-AU" w:eastAsia="en-AU"/>
        </w:rPr>
        <w:t>Stakeholders are engaged in monitoring and evaluation activities through {{ faira_form.A5_7 | format_list }}. Mechanisms for detecting undesirable or harmful outcomes associated with AI use include {{ faira_form.A5_8 | format_list }}, providing context on how potential issues may be identified during operation.</w:t>
      </w:r>
    </w:p>
    <w:p>
      <w:pPr>
        <w:pStyle w:val="Normal"/>
        <w:rPr>
          <w:lang w:val="en-AU" w:eastAsia="en-AU"/>
        </w:rPr>
      </w:pPr>
      <w:r>
        <w:rPr>
          <w:lang w:val="en-AU" w:eastAsia="en-AU"/>
        </w:rPr>
        <w:t>The design and use of the AI system have been informed by the following values, principles, or organisational standards: {{ faira_form.A5_9 | format_list }}.</w:t>
      </w:r>
    </w:p>
    <w:p>
      <w:pPr>
        <w:pStyle w:val="Normal"/>
        <w:rPr>
          <w:lang w:val="en-AU" w:eastAsia="en-AU"/>
        </w:rPr>
      </w:pPr>
      <w:r>
        <w:rPr>
          <w:lang w:val="en-AU" w:eastAsia="en-AU"/>
        </w:rPr>
        <w:t>{%p if faira_form.A5_10 == "Yes" %}</w:t>
      </w:r>
    </w:p>
    <w:p>
      <w:pPr>
        <w:pStyle w:val="Normal"/>
        <w:rPr>
          <w:lang w:val="en-AU" w:eastAsia="en-AU"/>
        </w:rPr>
      </w:pPr>
      <w:r>
        <w:rPr>
          <w:lang w:val="en-AU" w:eastAsia="en-AU"/>
        </w:rPr>
        <w:t>Sector-specific frameworks, laws, or regulatory obligations have been identified as applicable to this AI system. These include:</w:t>
      </w:r>
    </w:p>
    <w:p>
      <w:pPr>
        <w:pStyle w:val="ListParagraph"/>
        <w:numPr>
          <w:ilvl w:val="0"/>
          <w:numId w:val="3"/>
        </w:numPr>
        <w:spacing w:before="60" w:after="60"/>
        <w:contextualSpacing w:val="false"/>
        <w:rPr>
          <w:lang w:val="en-AU" w:eastAsia="en-AU"/>
        </w:rPr>
      </w:pPr>
      <w:r>
        <w:rPr>
          <w:b/>
          <w:bCs/>
          <w:lang w:val="en-AU" w:eastAsia="en-AU"/>
        </w:rPr>
        <w:t>Commonwealth legislation:</w:t>
      </w:r>
      <w:r>
        <w:rPr>
          <w:lang w:val="en-AU" w:eastAsia="en-AU"/>
        </w:rPr>
        <w:t xml:space="preserve"> {{ faira_form.A5_10_commonwealth | format_list if faira_form.A5_10_commonwealth else "not specified" }}</w:t>
      </w:r>
    </w:p>
    <w:p>
      <w:pPr>
        <w:pStyle w:val="ListParagraph"/>
        <w:numPr>
          <w:ilvl w:val="0"/>
          <w:numId w:val="3"/>
        </w:numPr>
        <w:spacing w:before="60" w:after="60"/>
        <w:contextualSpacing w:val="false"/>
        <w:rPr>
          <w:lang w:val="en-AU" w:eastAsia="en-AU"/>
        </w:rPr>
      </w:pPr>
      <w:r>
        <w:rPr>
          <w:b/>
          <w:bCs/>
          <w:lang w:val="en-AU" w:eastAsia="en-AU"/>
        </w:rPr>
        <w:t>Queensland legislation:</w:t>
      </w:r>
      <w:r>
        <w:rPr>
          <w:lang w:val="en-AU" w:eastAsia="en-AU"/>
        </w:rPr>
        <w:t xml:space="preserve"> {{ faira_form.A5_10_qld | format_list if faira_form.A5_10_qld else "not specified" }}</w:t>
      </w:r>
    </w:p>
    <w:p>
      <w:pPr>
        <w:pStyle w:val="ListParagraph"/>
        <w:numPr>
          <w:ilvl w:val="0"/>
          <w:numId w:val="3"/>
        </w:numPr>
        <w:spacing w:before="60" w:after="60"/>
        <w:contextualSpacing w:val="false"/>
        <w:rPr>
          <w:lang w:val="en-AU" w:eastAsia="en-AU"/>
        </w:rPr>
      </w:pPr>
      <w:r>
        <w:rPr>
          <w:b/>
          <w:bCs/>
          <w:lang w:val="en-AU" w:eastAsia="en-AU"/>
        </w:rPr>
        <w:t>Sector-specific obligations:</w:t>
      </w:r>
      <w:r>
        <w:rPr>
          <w:lang w:val="en-AU" w:eastAsia="en-AU"/>
        </w:rPr>
        <w:t xml:space="preserve"> {{ faira_form.A5_10_sector | format_list if faira_form.A5_10_sector else "not specified" }}</w:t>
      </w:r>
    </w:p>
    <w:p>
      <w:pPr>
        <w:pStyle w:val="ListParagraph"/>
        <w:numPr>
          <w:ilvl w:val="0"/>
          <w:numId w:val="3"/>
        </w:numPr>
        <w:spacing w:before="60" w:after="60"/>
        <w:contextualSpacing w:val="false"/>
        <w:rPr>
          <w:lang w:val="en-AU" w:eastAsia="en-AU"/>
        </w:rPr>
      </w:pPr>
      <w:r>
        <w:rPr>
          <w:b/>
          <w:bCs/>
          <w:lang w:val="en-AU" w:eastAsia="en-AU"/>
        </w:rPr>
        <w:t>Frameworks and standards:</w:t>
      </w:r>
      <w:r>
        <w:rPr>
          <w:lang w:val="en-AU" w:eastAsia="en-AU"/>
        </w:rPr>
        <w:t xml:space="preserve"> {{ faira_form.A5_10_frameworks | format_list if faira_form.A5_10_frameworks else "not specified" }}</w:t>
      </w:r>
    </w:p>
    <w:p>
      <w:pPr>
        <w:pStyle w:val="Normal"/>
        <w:rPr>
          <w:lang w:val="en-AU" w:eastAsia="en-AU"/>
        </w:rPr>
      </w:pPr>
      <w:r>
        <w:rPr>
          <w:lang w:val="en-AU" w:eastAsia="en-AU"/>
        </w:rPr>
        <w:t>{%p if faira_form.A5_10_other %}</w:t>
      </w:r>
    </w:p>
    <w:p>
      <w:pPr>
        <w:pStyle w:val="ListParagraph"/>
        <w:numPr>
          <w:ilvl w:val="0"/>
          <w:numId w:val="3"/>
        </w:numPr>
        <w:rPr>
          <w:lang w:val="en-AU" w:eastAsia="en-AU"/>
        </w:rPr>
      </w:pPr>
      <w:r>
        <w:rPr>
          <w:b/>
          <w:bCs/>
          <w:lang w:val="en-AU" w:eastAsia="en-AU"/>
        </w:rPr>
        <w:t>Other obligations:</w:t>
      </w:r>
      <w:r>
        <w:rPr>
          <w:lang w:val="en-AU" w:eastAsia="en-AU"/>
        </w:rPr>
        <w:t xml:space="preserve"> {{ faira_form.A5_10_other }}</w:t>
      </w:r>
    </w:p>
    <w:p>
      <w:pPr>
        <w:pStyle w:val="Normal"/>
        <w:rPr>
          <w:lang w:val="en-AU" w:eastAsia="en-AU"/>
        </w:rPr>
      </w:pPr>
      <w:r>
        <w:rPr>
          <w:lang w:val="en-AU" w:eastAsia="en-AU"/>
        </w:rPr>
        <w:t>{%p endif %}</w:t>
      </w:r>
    </w:p>
    <w:p>
      <w:pPr>
        <w:pStyle w:val="Normal"/>
        <w:rPr>
          <w:lang w:val="en-AU" w:eastAsia="en-AU"/>
        </w:rPr>
      </w:pPr>
      <w:r>
        <w:rPr>
          <w:lang w:val="en-AU" w:eastAsia="en-AU"/>
        </w:rPr>
        <w:t>{%p else %}</w:t>
      </w:r>
    </w:p>
    <w:p>
      <w:pPr>
        <w:pStyle w:val="Normal"/>
        <w:rPr>
          <w:lang w:val="en-AU" w:eastAsia="en-AU"/>
        </w:rPr>
      </w:pPr>
      <w:r>
        <w:rPr>
          <w:lang w:val="en-AU" w:eastAsia="en-AU"/>
        </w:rPr>
        <w:t>No sector-specific frameworks, laws, or regulatory obligations were identified as applying to this AI system.</w:t>
      </w:r>
    </w:p>
    <w:p>
      <w:pPr>
        <w:pStyle w:val="Normal"/>
        <w:rPr>
          <w:lang w:val="en-AU" w:eastAsia="en-AU"/>
        </w:rPr>
      </w:pPr>
      <w:r>
        <w:rPr>
          <w:lang w:val="en-AU" w:eastAsia="en-AU"/>
        </w:rPr>
        <w:t>{%p endif %}</w:t>
      </w:r>
    </w:p>
    <w:p>
      <w:pPr>
        <w:pStyle w:val="Normal"/>
        <w:rPr>
          <w:lang w:val="en-AU" w:eastAsia="en-AU"/>
        </w:rPr>
      </w:pPr>
      <w:r>
        <w:rPr>
          <w:lang w:val="en-AU" w:eastAsia="en-AU"/>
        </w:rPr>
        <w:t xml:space="preserve">The AI system is deployed in the following context: {{ faira_form.A5_11 }}. </w:t>
      </w:r>
    </w:p>
    <w:p>
      <w:pPr>
        <w:pStyle w:val="Normal"/>
        <w:rPr>
          <w:lang w:val="en-AU" w:eastAsia="en-AU"/>
        </w:rPr>
      </w:pPr>
      <w:r>
        <w:rPr>
          <w:lang w:val="en-AU" w:eastAsia="en-AU"/>
        </w:rPr>
        <w:t>Additional frameworks, standards, or governance references relevant to the system are identified as {{ faira_form.A5_12 | format_list }}.</w:t>
      </w:r>
    </w:p>
    <w:tbl>
      <w:tblPr>
        <w:tblW w:w="9016" w:type="dxa"/>
        <w:jc w:val="start"/>
        <w:tblInd w:w="0" w:type="dxa"/>
        <w:tblLayout w:type="fixed"/>
        <w:tblCellMar>
          <w:top w:w="43" w:type="dxa"/>
          <w:start w:w="43" w:type="dxa"/>
          <w:bottom w:w="43" w:type="dxa"/>
          <w:end w:w="43" w:type="dxa"/>
        </w:tblCellMar>
        <w:tblLook w:firstRow="1" w:noVBand="1" w:lastRow="0" w:firstColumn="1" w:lastColumn="0" w:noHBand="0" w:val="04a0"/>
      </w:tblPr>
      <w:tblGrid>
        <w:gridCol w:w="4315"/>
        <w:gridCol w:w="4701"/>
      </w:tblGrid>
      <w:tr>
        <w:trPr>
          <w:tblHeader w:val="true"/>
        </w:trPr>
        <w:tc>
          <w:tcPr>
            <w:tcW w:w="4315" w:type="dxa"/>
            <w:tcBorders>
              <w:top w:val="single" w:sz="4" w:space="0" w:color="000000"/>
              <w:start w:val="single" w:sz="4" w:space="0" w:color="000000"/>
              <w:bottom w:val="single" w:sz="4" w:space="0" w:color="000000"/>
              <w:end w:val="single" w:sz="4" w:space="0" w:color="000000"/>
            </w:tcBorders>
            <w:shd w:color="auto" w:fill="D9D9D9" w:themeFill="background1" w:themeFillShade="d9" w:val="clear"/>
          </w:tcPr>
          <w:p>
            <w:pPr>
              <w:pStyle w:val="Normal"/>
              <w:spacing w:before="0" w:after="160"/>
              <w:rPr>
                <w:b/>
                <w:bCs/>
                <w:sz w:val="20"/>
                <w:szCs w:val="20"/>
                <w:lang w:val="en-AU" w:eastAsia="en-AU"/>
              </w:rPr>
            </w:pPr>
            <w:r>
              <w:rPr>
                <w:b/>
                <w:bCs/>
                <w:sz w:val="20"/>
                <w:szCs w:val="20"/>
                <w:lang w:val="en-AU" w:eastAsia="en-AU"/>
              </w:rPr>
              <w:t>Governance Aspect</w:t>
            </w:r>
          </w:p>
        </w:tc>
        <w:tc>
          <w:tcPr>
            <w:tcW w:w="4701" w:type="dxa"/>
            <w:tcBorders>
              <w:top w:val="single" w:sz="4" w:space="0" w:color="000000"/>
              <w:start w:val="single" w:sz="4" w:space="0" w:color="000000"/>
              <w:bottom w:val="single" w:sz="4" w:space="0" w:color="000000"/>
              <w:end w:val="single" w:sz="4" w:space="0" w:color="000000"/>
            </w:tcBorders>
            <w:shd w:color="auto" w:fill="D9D9D9" w:themeFill="background1" w:themeFillShade="d9" w:val="clear"/>
          </w:tcPr>
          <w:p>
            <w:pPr>
              <w:pStyle w:val="Normal"/>
              <w:spacing w:before="0" w:after="160"/>
              <w:rPr>
                <w:b/>
                <w:bCs/>
                <w:sz w:val="20"/>
                <w:szCs w:val="20"/>
                <w:lang w:val="en-AU" w:eastAsia="en-AU"/>
              </w:rPr>
            </w:pPr>
            <w:r>
              <w:rPr>
                <w:b/>
                <w:bCs/>
                <w:sz w:val="20"/>
                <w:szCs w:val="20"/>
                <w:lang w:val="en-AU" w:eastAsia="en-AU"/>
              </w:rPr>
              <w:t>Description</w:t>
            </w:r>
          </w:p>
        </w:tc>
      </w:tr>
      <w:tr>
        <w:trPr/>
        <w:tc>
          <w:tcPr>
            <w:tcW w:w="4315" w:type="dxa"/>
            <w:tcBorders>
              <w:top w:val="single" w:sz="4" w:space="0" w:color="000000"/>
              <w:start w:val="single" w:sz="4" w:space="0" w:color="000000"/>
              <w:bottom w:val="single" w:sz="4" w:space="0" w:color="000000"/>
              <w:end w:val="single" w:sz="4" w:space="0" w:color="000000"/>
            </w:tcBorders>
          </w:tcPr>
          <w:p>
            <w:pPr>
              <w:pStyle w:val="Normal"/>
              <w:spacing w:before="0" w:after="160"/>
              <w:rPr>
                <w:sz w:val="20"/>
                <w:szCs w:val="20"/>
                <w:lang w:val="en-AU" w:eastAsia="en-AU"/>
              </w:rPr>
            </w:pPr>
            <w:r>
              <w:rPr>
                <w:sz w:val="20"/>
                <w:szCs w:val="20"/>
                <w:lang w:val="en-AU" w:eastAsia="en-AU"/>
              </w:rPr>
              <w:t>Accountable role (A5.1)</w:t>
            </w:r>
          </w:p>
        </w:tc>
        <w:tc>
          <w:tcPr>
            <w:tcW w:w="4701" w:type="dxa"/>
            <w:tcBorders>
              <w:top w:val="single" w:sz="4" w:space="0" w:color="000000"/>
              <w:start w:val="single" w:sz="4" w:space="0" w:color="000000"/>
              <w:bottom w:val="single" w:sz="4" w:space="0" w:color="000000"/>
              <w:end w:val="single" w:sz="4" w:space="0" w:color="000000"/>
            </w:tcBorders>
          </w:tcPr>
          <w:p>
            <w:pPr>
              <w:pStyle w:val="Normal"/>
              <w:spacing w:before="0" w:after="160"/>
              <w:rPr>
                <w:sz w:val="20"/>
                <w:szCs w:val="20"/>
                <w:lang w:val="en-AU" w:eastAsia="en-AU"/>
              </w:rPr>
            </w:pPr>
            <w:r>
              <w:rPr>
                <w:sz w:val="20"/>
                <w:szCs w:val="20"/>
                <w:lang w:val="en-AU" w:eastAsia="en-AU"/>
              </w:rPr>
              <w:t>{{ faira_form.A5_1 if faira_form.A5_1 else "Not specified" }}</w:t>
            </w:r>
          </w:p>
        </w:tc>
      </w:tr>
      <w:tr>
        <w:trPr/>
        <w:tc>
          <w:tcPr>
            <w:tcW w:w="4315" w:type="dxa"/>
            <w:tcBorders>
              <w:top w:val="single" w:sz="4" w:space="0" w:color="000000"/>
              <w:start w:val="single" w:sz="4" w:space="0" w:color="000000"/>
              <w:bottom w:val="single" w:sz="4" w:space="0" w:color="000000"/>
              <w:end w:val="single" w:sz="4" w:space="0" w:color="000000"/>
            </w:tcBorders>
          </w:tcPr>
          <w:p>
            <w:pPr>
              <w:pStyle w:val="Normal"/>
              <w:spacing w:before="0" w:after="160"/>
              <w:rPr>
                <w:sz w:val="20"/>
                <w:szCs w:val="20"/>
                <w:lang w:val="en-AU" w:eastAsia="en-AU"/>
              </w:rPr>
            </w:pPr>
            <w:r>
              <w:rPr>
                <w:sz w:val="20"/>
                <w:szCs w:val="20"/>
              </w:rPr>
              <w:t>Logging of AI inputs, outputs, and decisions (A5.2)</w:t>
            </w:r>
          </w:p>
        </w:tc>
        <w:tc>
          <w:tcPr>
            <w:tcW w:w="4701" w:type="dxa"/>
            <w:tcBorders>
              <w:top w:val="single" w:sz="4" w:space="0" w:color="000000"/>
              <w:start w:val="single" w:sz="4" w:space="0" w:color="000000"/>
              <w:bottom w:val="single" w:sz="4" w:space="0" w:color="000000"/>
              <w:end w:val="single" w:sz="4" w:space="0" w:color="000000"/>
            </w:tcBorders>
          </w:tcPr>
          <w:p>
            <w:pPr>
              <w:pStyle w:val="Normal"/>
              <w:rPr>
                <w:sz w:val="20"/>
                <w:szCs w:val="20"/>
              </w:rPr>
            </w:pPr>
            <w:r>
              <w:rPr>
                <w:sz w:val="20"/>
                <w:szCs w:val="20"/>
              </w:rPr>
              <w:t xml:space="preserve">{% if faira_form.A5_2 == "Yes" %}Yes — </w:t>
            </w:r>
          </w:p>
          <w:p>
            <w:pPr>
              <w:pStyle w:val="ListParagraph"/>
              <w:numPr>
                <w:ilvl w:val="0"/>
                <w:numId w:val="13"/>
              </w:numPr>
              <w:spacing w:before="60" w:after="60"/>
              <w:contextualSpacing w:val="false"/>
              <w:rPr>
                <w:sz w:val="20"/>
                <w:szCs w:val="20"/>
              </w:rPr>
            </w:pPr>
            <w:r>
              <w:rPr>
                <w:sz w:val="20"/>
                <w:szCs w:val="20"/>
              </w:rPr>
              <w:t>Logged: {{ faira_form.A5_2_logged_items | format_list if faira_form.A5_2_logged_items else "not specified" }}</w:t>
            </w:r>
          </w:p>
          <w:p>
            <w:pPr>
              <w:pStyle w:val="ListParagraph"/>
              <w:numPr>
                <w:ilvl w:val="0"/>
                <w:numId w:val="13"/>
              </w:numPr>
              <w:spacing w:before="60" w:after="60"/>
              <w:contextualSpacing w:val="false"/>
              <w:rPr>
                <w:sz w:val="20"/>
                <w:szCs w:val="20"/>
              </w:rPr>
            </w:pPr>
            <w:r>
              <w:rPr>
                <w:sz w:val="20"/>
                <w:szCs w:val="20"/>
              </w:rPr>
              <w:t>Mechanisms: {{ faira_form.A5_2_logging_mechanisms | format_list if faira_form.A5_2_logging_mechanisms else "not specified" }}</w:t>
            </w:r>
          </w:p>
          <w:p>
            <w:pPr>
              <w:pStyle w:val="ListParagraph"/>
              <w:numPr>
                <w:ilvl w:val="0"/>
                <w:numId w:val="13"/>
              </w:numPr>
              <w:spacing w:before="60" w:after="60"/>
              <w:contextualSpacing w:val="false"/>
              <w:rPr>
                <w:sz w:val="20"/>
                <w:szCs w:val="20"/>
              </w:rPr>
            </w:pPr>
            <w:r>
              <w:rPr>
                <w:sz w:val="20"/>
                <w:szCs w:val="20"/>
              </w:rPr>
              <w:t>Retention: {{ faira_form.A5_2_retention if faira_form.A5_2_retention else "not specified" }}</w:t>
            </w:r>
          </w:p>
          <w:p>
            <w:pPr>
              <w:pStyle w:val="ListParagraph"/>
              <w:numPr>
                <w:ilvl w:val="0"/>
                <w:numId w:val="13"/>
              </w:numPr>
              <w:spacing w:before="60" w:after="60"/>
              <w:contextualSpacing w:val="false"/>
              <w:rPr>
                <w:sz w:val="20"/>
                <w:szCs w:val="20"/>
              </w:rPr>
            </w:pPr>
            <w:r>
              <w:rPr>
                <w:sz w:val="20"/>
                <w:szCs w:val="20"/>
              </w:rPr>
              <w:t>Access: {{ faira_form.A5_2_access_scope if faira_form.A5_2_access_scope else "not specified" }}{% if faira_form.A5_2_notes %}</w:t>
            </w:r>
          </w:p>
          <w:p>
            <w:pPr>
              <w:pStyle w:val="ListParagraph"/>
              <w:numPr>
                <w:ilvl w:val="0"/>
                <w:numId w:val="13"/>
              </w:numPr>
              <w:spacing w:before="60" w:after="60"/>
              <w:contextualSpacing w:val="false"/>
              <w:rPr>
                <w:sz w:val="20"/>
                <w:szCs w:val="20"/>
                <w:lang w:val="en-AU" w:eastAsia="en-AU"/>
              </w:rPr>
            </w:pPr>
            <w:r>
              <w:rPr>
                <w:sz w:val="20"/>
                <w:szCs w:val="20"/>
              </w:rPr>
              <w:t>Notes: {{ faira_form.A5_2_notes }}{% endif %}{% elif faira_form.A5_2 == "No" %}No{% else %}Not specified{% endif %}</w:t>
            </w:r>
          </w:p>
        </w:tc>
      </w:tr>
      <w:tr>
        <w:trPr/>
        <w:tc>
          <w:tcPr>
            <w:tcW w:w="4315" w:type="dxa"/>
            <w:tcBorders>
              <w:top w:val="single" w:sz="4" w:space="0" w:color="000000"/>
              <w:start w:val="single" w:sz="4" w:space="0" w:color="000000"/>
              <w:bottom w:val="single" w:sz="4" w:space="0" w:color="000000"/>
              <w:end w:val="single" w:sz="4" w:space="0" w:color="000000"/>
            </w:tcBorders>
          </w:tcPr>
          <w:p>
            <w:pPr>
              <w:pStyle w:val="Normal"/>
              <w:spacing w:before="0" w:after="160"/>
              <w:rPr>
                <w:sz w:val="20"/>
                <w:szCs w:val="20"/>
                <w:lang w:val="en-AU" w:eastAsia="en-AU"/>
              </w:rPr>
            </w:pPr>
            <w:r>
              <w:rPr>
                <w:sz w:val="20"/>
                <w:szCs w:val="20"/>
                <w:lang w:val="en-AU" w:eastAsia="en-AU"/>
              </w:rPr>
              <w:t>Monitoring and evaluation processes (A5.3)</w:t>
            </w:r>
          </w:p>
        </w:tc>
        <w:tc>
          <w:tcPr>
            <w:tcW w:w="4701" w:type="dxa"/>
            <w:tcBorders>
              <w:top w:val="single" w:sz="4" w:space="0" w:color="000000"/>
              <w:start w:val="single" w:sz="4" w:space="0" w:color="000000"/>
              <w:bottom w:val="single" w:sz="4" w:space="0" w:color="000000"/>
              <w:end w:val="single" w:sz="4" w:space="0" w:color="000000"/>
            </w:tcBorders>
          </w:tcPr>
          <w:p>
            <w:pPr>
              <w:pStyle w:val="Normal"/>
              <w:spacing w:before="0" w:after="160"/>
              <w:rPr>
                <w:sz w:val="20"/>
                <w:szCs w:val="20"/>
                <w:lang w:val="en-AU" w:eastAsia="en-AU"/>
              </w:rPr>
            </w:pPr>
            <w:r>
              <w:rPr>
                <w:sz w:val="20"/>
                <w:szCs w:val="20"/>
                <w:lang w:val="en-AU" w:eastAsia="en-AU"/>
              </w:rPr>
              <w:t>{{ faira_form.A5_3 | format_list }}</w:t>
            </w:r>
          </w:p>
        </w:tc>
      </w:tr>
      <w:tr>
        <w:trPr/>
        <w:tc>
          <w:tcPr>
            <w:tcW w:w="4315" w:type="dxa"/>
            <w:tcBorders>
              <w:top w:val="single" w:sz="4" w:space="0" w:color="000000"/>
              <w:start w:val="single" w:sz="4" w:space="0" w:color="000000"/>
              <w:bottom w:val="single" w:sz="4" w:space="0" w:color="000000"/>
              <w:end w:val="single" w:sz="4" w:space="0" w:color="000000"/>
            </w:tcBorders>
          </w:tcPr>
          <w:p>
            <w:pPr>
              <w:pStyle w:val="Normal"/>
              <w:spacing w:before="0" w:after="160"/>
              <w:rPr>
                <w:sz w:val="20"/>
                <w:szCs w:val="20"/>
                <w:lang w:val="en-AU" w:eastAsia="en-AU"/>
              </w:rPr>
            </w:pPr>
            <w:r>
              <w:rPr>
                <w:sz w:val="20"/>
                <w:szCs w:val="20"/>
                <w:lang w:val="en-AU" w:eastAsia="en-AU"/>
              </w:rPr>
              <w:t>Monitoring frequency (A5.4)</w:t>
            </w:r>
          </w:p>
        </w:tc>
        <w:tc>
          <w:tcPr>
            <w:tcW w:w="4701" w:type="dxa"/>
            <w:tcBorders>
              <w:top w:val="single" w:sz="4" w:space="0" w:color="000000"/>
              <w:start w:val="single" w:sz="4" w:space="0" w:color="000000"/>
              <w:bottom w:val="single" w:sz="4" w:space="0" w:color="000000"/>
              <w:end w:val="single" w:sz="4" w:space="0" w:color="000000"/>
            </w:tcBorders>
          </w:tcPr>
          <w:p>
            <w:pPr>
              <w:pStyle w:val="Normal"/>
              <w:spacing w:before="0" w:after="160"/>
              <w:rPr>
                <w:sz w:val="20"/>
                <w:szCs w:val="20"/>
                <w:lang w:val="en-AU" w:eastAsia="en-AU"/>
              </w:rPr>
            </w:pPr>
            <w:r>
              <w:rPr>
                <w:sz w:val="20"/>
                <w:szCs w:val="20"/>
                <w:lang w:val="en-AU" w:eastAsia="en-AU"/>
              </w:rPr>
              <w:t>{{ faira_form.A5_4 if faira_form.A5_4 else "Not specified" }}</w:t>
            </w:r>
          </w:p>
        </w:tc>
      </w:tr>
      <w:tr>
        <w:trPr/>
        <w:tc>
          <w:tcPr>
            <w:tcW w:w="4315" w:type="dxa"/>
            <w:tcBorders>
              <w:top w:val="single" w:sz="4" w:space="0" w:color="000000"/>
              <w:start w:val="single" w:sz="4" w:space="0" w:color="000000"/>
              <w:bottom w:val="single" w:sz="4" w:space="0" w:color="000000"/>
              <w:end w:val="single" w:sz="4" w:space="0" w:color="000000"/>
            </w:tcBorders>
          </w:tcPr>
          <w:p>
            <w:pPr>
              <w:pStyle w:val="Normal"/>
              <w:spacing w:before="0" w:after="160"/>
              <w:rPr>
                <w:sz w:val="20"/>
                <w:szCs w:val="20"/>
                <w:lang w:val="en-AU" w:eastAsia="en-AU"/>
              </w:rPr>
            </w:pPr>
            <w:r>
              <w:rPr>
                <w:sz w:val="20"/>
                <w:szCs w:val="20"/>
                <w:lang w:val="en-AU" w:eastAsia="en-AU"/>
              </w:rPr>
              <w:t>Independent review conducted (A5.5)</w:t>
            </w:r>
          </w:p>
        </w:tc>
        <w:tc>
          <w:tcPr>
            <w:tcW w:w="4701" w:type="dxa"/>
            <w:tcBorders>
              <w:top w:val="single" w:sz="4" w:space="0" w:color="000000"/>
              <w:start w:val="single" w:sz="4" w:space="0" w:color="000000"/>
              <w:bottom w:val="single" w:sz="4" w:space="0" w:color="000000"/>
              <w:end w:val="single" w:sz="4" w:space="0" w:color="000000"/>
            </w:tcBorders>
          </w:tcPr>
          <w:p>
            <w:pPr>
              <w:pStyle w:val="Normal"/>
              <w:spacing w:before="0" w:after="160"/>
              <w:rPr>
                <w:sz w:val="20"/>
                <w:szCs w:val="20"/>
                <w:lang w:val="en-AU" w:eastAsia="en-AU"/>
              </w:rPr>
            </w:pPr>
            <w:r>
              <w:rPr>
                <w:sz w:val="20"/>
                <w:szCs w:val="20"/>
                <w:lang w:val="en-AU" w:eastAsia="en-AU"/>
              </w:rPr>
              <w:t>{{ faira_form.A5_5 if faira_form.A5_5 else "Not specified" }}</w:t>
            </w:r>
          </w:p>
        </w:tc>
      </w:tr>
      <w:tr>
        <w:trPr/>
        <w:tc>
          <w:tcPr>
            <w:tcW w:w="4315" w:type="dxa"/>
            <w:tcBorders>
              <w:top w:val="single" w:sz="4" w:space="0" w:color="000000"/>
              <w:start w:val="single" w:sz="4" w:space="0" w:color="000000"/>
              <w:bottom w:val="single" w:sz="4" w:space="0" w:color="000000"/>
              <w:end w:val="single" w:sz="4" w:space="0" w:color="000000"/>
            </w:tcBorders>
          </w:tcPr>
          <w:p>
            <w:pPr>
              <w:pStyle w:val="Normal"/>
              <w:spacing w:before="0" w:after="160"/>
              <w:rPr>
                <w:sz w:val="20"/>
                <w:szCs w:val="20"/>
                <w:lang w:val="en-AU" w:eastAsia="en-AU"/>
              </w:rPr>
            </w:pPr>
            <w:r>
              <w:rPr>
                <w:sz w:val="20"/>
                <w:szCs w:val="20"/>
                <w:lang w:val="en-AU" w:eastAsia="en-AU"/>
              </w:rPr>
              <w:t>Responsible monitoring role (A5.6)</w:t>
            </w:r>
          </w:p>
        </w:tc>
        <w:tc>
          <w:tcPr>
            <w:tcW w:w="4701" w:type="dxa"/>
            <w:tcBorders>
              <w:top w:val="single" w:sz="4" w:space="0" w:color="000000"/>
              <w:start w:val="single" w:sz="4" w:space="0" w:color="000000"/>
              <w:bottom w:val="single" w:sz="4" w:space="0" w:color="000000"/>
              <w:end w:val="single" w:sz="4" w:space="0" w:color="000000"/>
            </w:tcBorders>
          </w:tcPr>
          <w:p>
            <w:pPr>
              <w:pStyle w:val="Normal"/>
              <w:spacing w:before="0" w:after="160"/>
              <w:rPr>
                <w:sz w:val="20"/>
                <w:szCs w:val="20"/>
                <w:lang w:val="en-AU" w:eastAsia="en-AU"/>
              </w:rPr>
            </w:pPr>
            <w:r>
              <w:rPr>
                <w:sz w:val="20"/>
                <w:szCs w:val="20"/>
                <w:lang w:val="en-AU" w:eastAsia="en-AU"/>
              </w:rPr>
              <w:t>{{ faira_form.A5_6 if faira_form.A5_6 else "Not specified" }}</w:t>
            </w:r>
          </w:p>
        </w:tc>
      </w:tr>
      <w:tr>
        <w:trPr/>
        <w:tc>
          <w:tcPr>
            <w:tcW w:w="4315" w:type="dxa"/>
            <w:tcBorders>
              <w:top w:val="single" w:sz="4" w:space="0" w:color="000000"/>
              <w:start w:val="single" w:sz="4" w:space="0" w:color="000000"/>
              <w:bottom w:val="single" w:sz="4" w:space="0" w:color="000000"/>
              <w:end w:val="single" w:sz="4" w:space="0" w:color="000000"/>
            </w:tcBorders>
          </w:tcPr>
          <w:p>
            <w:pPr>
              <w:pStyle w:val="Normal"/>
              <w:spacing w:before="0" w:after="160"/>
              <w:rPr>
                <w:sz w:val="20"/>
                <w:szCs w:val="20"/>
                <w:lang w:val="en-AU" w:eastAsia="en-AU"/>
              </w:rPr>
            </w:pPr>
            <w:r>
              <w:rPr>
                <w:sz w:val="20"/>
                <w:szCs w:val="20"/>
                <w:lang w:val="en-AU" w:eastAsia="en-AU"/>
              </w:rPr>
              <w:t>Stakeholder engagement mechanisms (A5.7)</w:t>
            </w:r>
          </w:p>
        </w:tc>
        <w:tc>
          <w:tcPr>
            <w:tcW w:w="4701" w:type="dxa"/>
            <w:tcBorders>
              <w:top w:val="single" w:sz="4" w:space="0" w:color="000000"/>
              <w:start w:val="single" w:sz="4" w:space="0" w:color="000000"/>
              <w:bottom w:val="single" w:sz="4" w:space="0" w:color="000000"/>
              <w:end w:val="single" w:sz="4" w:space="0" w:color="000000"/>
            </w:tcBorders>
          </w:tcPr>
          <w:p>
            <w:pPr>
              <w:pStyle w:val="Normal"/>
              <w:spacing w:before="0" w:after="160"/>
              <w:rPr>
                <w:sz w:val="20"/>
                <w:szCs w:val="20"/>
                <w:lang w:val="en-AU" w:eastAsia="en-AU"/>
              </w:rPr>
            </w:pPr>
            <w:r>
              <w:rPr>
                <w:sz w:val="20"/>
                <w:szCs w:val="20"/>
                <w:lang w:val="en-AU" w:eastAsia="en-AU"/>
              </w:rPr>
              <w:t>{{ faira_form.A5_7 | format_list }}</w:t>
            </w:r>
          </w:p>
        </w:tc>
      </w:tr>
      <w:tr>
        <w:trPr/>
        <w:tc>
          <w:tcPr>
            <w:tcW w:w="4315" w:type="dxa"/>
            <w:tcBorders>
              <w:top w:val="single" w:sz="4" w:space="0" w:color="000000"/>
              <w:start w:val="single" w:sz="4" w:space="0" w:color="000000"/>
              <w:bottom w:val="single" w:sz="4" w:space="0" w:color="000000"/>
              <w:end w:val="single" w:sz="4" w:space="0" w:color="000000"/>
            </w:tcBorders>
          </w:tcPr>
          <w:p>
            <w:pPr>
              <w:pStyle w:val="Normal"/>
              <w:spacing w:before="0" w:after="160"/>
              <w:rPr>
                <w:sz w:val="20"/>
                <w:szCs w:val="20"/>
                <w:lang w:val="en-AU" w:eastAsia="en-AU"/>
              </w:rPr>
            </w:pPr>
            <w:r>
              <w:rPr>
                <w:sz w:val="20"/>
                <w:szCs w:val="20"/>
                <w:lang w:val="en-AU" w:eastAsia="en-AU"/>
              </w:rPr>
              <w:t>Detection of harmful outcomes (A5.8)</w:t>
            </w:r>
          </w:p>
        </w:tc>
        <w:tc>
          <w:tcPr>
            <w:tcW w:w="4701" w:type="dxa"/>
            <w:tcBorders>
              <w:top w:val="single" w:sz="4" w:space="0" w:color="000000"/>
              <w:start w:val="single" w:sz="4" w:space="0" w:color="000000"/>
              <w:bottom w:val="single" w:sz="4" w:space="0" w:color="000000"/>
              <w:end w:val="single" w:sz="4" w:space="0" w:color="000000"/>
            </w:tcBorders>
          </w:tcPr>
          <w:p>
            <w:pPr>
              <w:pStyle w:val="Normal"/>
              <w:spacing w:before="0" w:after="160"/>
              <w:rPr>
                <w:sz w:val="20"/>
                <w:szCs w:val="20"/>
                <w:lang w:val="en-AU" w:eastAsia="en-AU"/>
              </w:rPr>
            </w:pPr>
            <w:r>
              <w:rPr>
                <w:sz w:val="20"/>
                <w:szCs w:val="20"/>
                <w:lang w:val="en-AU" w:eastAsia="en-AU"/>
              </w:rPr>
              <w:t>{{ faira_form.A5_8 | format_list }}</w:t>
            </w:r>
          </w:p>
        </w:tc>
      </w:tr>
      <w:tr>
        <w:trPr/>
        <w:tc>
          <w:tcPr>
            <w:tcW w:w="4315" w:type="dxa"/>
            <w:tcBorders>
              <w:top w:val="single" w:sz="4" w:space="0" w:color="000000"/>
              <w:start w:val="single" w:sz="4" w:space="0" w:color="000000"/>
              <w:bottom w:val="single" w:sz="4" w:space="0" w:color="000000"/>
              <w:end w:val="single" w:sz="4" w:space="0" w:color="000000"/>
            </w:tcBorders>
          </w:tcPr>
          <w:p>
            <w:pPr>
              <w:pStyle w:val="Normal"/>
              <w:spacing w:before="0" w:after="160"/>
              <w:rPr>
                <w:sz w:val="20"/>
                <w:szCs w:val="20"/>
                <w:lang w:val="en-AU" w:eastAsia="en-AU"/>
              </w:rPr>
            </w:pPr>
            <w:r>
              <w:rPr>
                <w:sz w:val="20"/>
                <w:szCs w:val="20"/>
                <w:lang w:val="en-AU" w:eastAsia="en-AU"/>
              </w:rPr>
              <w:t>Values and principles applied (A5.9)</w:t>
            </w:r>
          </w:p>
        </w:tc>
        <w:tc>
          <w:tcPr>
            <w:tcW w:w="4701" w:type="dxa"/>
            <w:tcBorders>
              <w:top w:val="single" w:sz="4" w:space="0" w:color="000000"/>
              <w:start w:val="single" w:sz="4" w:space="0" w:color="000000"/>
              <w:bottom w:val="single" w:sz="4" w:space="0" w:color="000000"/>
              <w:end w:val="single" w:sz="4" w:space="0" w:color="000000"/>
            </w:tcBorders>
          </w:tcPr>
          <w:p>
            <w:pPr>
              <w:pStyle w:val="Normal"/>
              <w:spacing w:before="0" w:after="160"/>
              <w:rPr>
                <w:sz w:val="20"/>
                <w:szCs w:val="20"/>
                <w:lang w:val="en-AU" w:eastAsia="en-AU"/>
              </w:rPr>
            </w:pPr>
            <w:r>
              <w:rPr>
                <w:sz w:val="20"/>
                <w:szCs w:val="20"/>
                <w:lang w:val="en-AU" w:eastAsia="en-AU"/>
              </w:rPr>
              <w:t>{{ faira_form.A5_9 | format_list }}</w:t>
            </w:r>
          </w:p>
        </w:tc>
      </w:tr>
      <w:tr>
        <w:trPr/>
        <w:tc>
          <w:tcPr>
            <w:tcW w:w="4315" w:type="dxa"/>
            <w:tcBorders>
              <w:top w:val="single" w:sz="4" w:space="0" w:color="000000"/>
              <w:start w:val="single" w:sz="4" w:space="0" w:color="000000"/>
              <w:bottom w:val="single" w:sz="4" w:space="0" w:color="000000"/>
              <w:end w:val="single" w:sz="4" w:space="0" w:color="000000"/>
            </w:tcBorders>
          </w:tcPr>
          <w:p>
            <w:pPr>
              <w:pStyle w:val="Normal"/>
              <w:spacing w:before="0" w:after="160"/>
              <w:rPr>
                <w:sz w:val="20"/>
                <w:szCs w:val="20"/>
                <w:lang w:val="en-AU" w:eastAsia="en-AU"/>
              </w:rPr>
            </w:pPr>
            <w:r>
              <w:rPr>
                <w:sz w:val="20"/>
                <w:szCs w:val="20"/>
                <w:lang w:val="en-AU" w:eastAsia="en-AU"/>
              </w:rPr>
              <w:t>Sector-specific obligations identified (A5.10)</w:t>
            </w:r>
          </w:p>
        </w:tc>
        <w:tc>
          <w:tcPr>
            <w:tcW w:w="4701" w:type="dxa"/>
            <w:tcBorders>
              <w:top w:val="single" w:sz="4" w:space="0" w:color="000000"/>
              <w:start w:val="single" w:sz="4" w:space="0" w:color="000000"/>
              <w:bottom w:val="single" w:sz="4" w:space="0" w:color="000000"/>
              <w:end w:val="single" w:sz="4" w:space="0" w:color="000000"/>
            </w:tcBorders>
          </w:tcPr>
          <w:p>
            <w:pPr>
              <w:pStyle w:val="Normal"/>
              <w:spacing w:before="0" w:after="160"/>
              <w:rPr>
                <w:sz w:val="20"/>
                <w:szCs w:val="20"/>
                <w:lang w:val="en-AU" w:eastAsia="en-AU"/>
              </w:rPr>
            </w:pPr>
            <w:r>
              <w:rPr>
                <w:sz w:val="20"/>
                <w:szCs w:val="20"/>
                <w:lang w:val="en-AU" w:eastAsia="en-AU"/>
              </w:rPr>
              <w:t>{{ faira_form.A5_10 if faira_form.A5_10 else "Not specified" }}</w:t>
            </w:r>
          </w:p>
        </w:tc>
      </w:tr>
      <w:tr>
        <w:trPr/>
        <w:tc>
          <w:tcPr>
            <w:tcW w:w="4315" w:type="dxa"/>
            <w:tcBorders>
              <w:top w:val="single" w:sz="4" w:space="0" w:color="000000"/>
              <w:start w:val="single" w:sz="4" w:space="0" w:color="000000"/>
              <w:bottom w:val="single" w:sz="4" w:space="0" w:color="000000"/>
              <w:end w:val="single" w:sz="4" w:space="0" w:color="000000"/>
            </w:tcBorders>
          </w:tcPr>
          <w:p>
            <w:pPr>
              <w:pStyle w:val="Normal"/>
              <w:spacing w:before="0" w:after="160"/>
              <w:rPr>
                <w:sz w:val="20"/>
                <w:szCs w:val="20"/>
                <w:lang w:val="en-AU" w:eastAsia="en-AU"/>
              </w:rPr>
            </w:pPr>
            <w:r>
              <w:rPr>
                <w:sz w:val="20"/>
                <w:szCs w:val="20"/>
                <w:lang w:val="en-AU" w:eastAsia="en-AU"/>
              </w:rPr>
              <w:t>Deployment context (A5.11)</w:t>
            </w:r>
          </w:p>
        </w:tc>
        <w:tc>
          <w:tcPr>
            <w:tcW w:w="4701" w:type="dxa"/>
            <w:tcBorders>
              <w:top w:val="single" w:sz="4" w:space="0" w:color="000000"/>
              <w:start w:val="single" w:sz="4" w:space="0" w:color="000000"/>
              <w:bottom w:val="single" w:sz="4" w:space="0" w:color="000000"/>
              <w:end w:val="single" w:sz="4" w:space="0" w:color="000000"/>
            </w:tcBorders>
          </w:tcPr>
          <w:p>
            <w:pPr>
              <w:pStyle w:val="Normal"/>
              <w:spacing w:before="0" w:after="160"/>
              <w:rPr>
                <w:sz w:val="20"/>
                <w:szCs w:val="20"/>
                <w:lang w:val="en-AU" w:eastAsia="en-AU"/>
              </w:rPr>
            </w:pPr>
            <w:r>
              <w:rPr>
                <w:sz w:val="20"/>
                <w:szCs w:val="20"/>
                <w:lang w:val="en-AU" w:eastAsia="en-AU"/>
              </w:rPr>
              <w:t>{{ faira_form.A5_11 if faira_form.A5_11 else "Not specified" }}</w:t>
            </w:r>
          </w:p>
        </w:tc>
      </w:tr>
      <w:tr>
        <w:trPr/>
        <w:tc>
          <w:tcPr>
            <w:tcW w:w="4315" w:type="dxa"/>
            <w:tcBorders>
              <w:top w:val="single" w:sz="4" w:space="0" w:color="000000"/>
              <w:start w:val="single" w:sz="4" w:space="0" w:color="000000"/>
              <w:bottom w:val="single" w:sz="4" w:space="0" w:color="000000"/>
              <w:end w:val="single" w:sz="4" w:space="0" w:color="000000"/>
            </w:tcBorders>
          </w:tcPr>
          <w:p>
            <w:pPr>
              <w:pStyle w:val="Normal"/>
              <w:spacing w:before="0" w:after="160"/>
              <w:rPr>
                <w:sz w:val="20"/>
                <w:szCs w:val="20"/>
                <w:lang w:val="en-AU" w:eastAsia="en-AU"/>
              </w:rPr>
            </w:pPr>
            <w:r>
              <w:rPr>
                <w:sz w:val="20"/>
                <w:szCs w:val="20"/>
                <w:lang w:val="en-AU" w:eastAsia="en-AU"/>
              </w:rPr>
              <w:t>Referenced frameworks and standards (A5.12)</w:t>
            </w:r>
          </w:p>
        </w:tc>
        <w:tc>
          <w:tcPr>
            <w:tcW w:w="4701" w:type="dxa"/>
            <w:tcBorders>
              <w:top w:val="single" w:sz="4" w:space="0" w:color="000000"/>
              <w:start w:val="single" w:sz="4" w:space="0" w:color="000000"/>
              <w:bottom w:val="single" w:sz="4" w:space="0" w:color="000000"/>
              <w:end w:val="single" w:sz="4" w:space="0" w:color="000000"/>
            </w:tcBorders>
          </w:tcPr>
          <w:p>
            <w:pPr>
              <w:pStyle w:val="Normal"/>
              <w:keepNext w:val="true"/>
              <w:spacing w:before="0" w:after="160"/>
              <w:rPr>
                <w:sz w:val="20"/>
                <w:szCs w:val="20"/>
                <w:lang w:val="en-AU" w:eastAsia="en-AU"/>
              </w:rPr>
            </w:pPr>
            <w:r>
              <w:rPr>
                <w:sz w:val="20"/>
                <w:szCs w:val="20"/>
                <w:lang w:val="en-AU" w:eastAsia="en-AU"/>
              </w:rPr>
              <w:t>{{ faira_form.A5_12 | format_list }}</w:t>
            </w:r>
          </w:p>
        </w:tc>
      </w:tr>
    </w:tbl>
    <w:p>
      <w:pPr>
        <w:pStyle w:val="Caption"/>
        <w:rPr>
          <w:lang w:eastAsia="en-AU"/>
        </w:rPr>
      </w:pPr>
      <w:bookmarkStart w:id="13" w:name="_Toc220351600"/>
      <w:r>
        <w:rPr/>
        <w:t xml:space="preserve">Table </w:t>
      </w:r>
      <w:r>
        <w:rPr/>
        <w:fldChar w:fldCharType="begin"/>
      </w:r>
      <w:r>
        <w:rPr/>
        <w:instrText xml:space="preserve"> SEQ Table \* ARABIC </w:instrText>
      </w:r>
      <w:r>
        <w:rPr/>
        <w:fldChar w:fldCharType="separate"/>
      </w:r>
      <w:r>
        <w:rPr/>
        <w:t>5</w:t>
      </w:r>
      <w:r>
        <w:rPr/>
        <w:fldChar w:fldCharType="end"/>
      </w:r>
      <w:r>
        <w:rPr/>
        <w:t xml:space="preserve"> - Governance and Oversight summary</w:t>
      </w:r>
      <w:bookmarkEnd w:id="13"/>
    </w:p>
    <w:p>
      <w:pPr>
        <w:pStyle w:val="Normal"/>
        <w:rPr>
          <w:lang w:val="en-AU" w:eastAsia="en-AU"/>
        </w:rPr>
      </w:pPr>
      <w:r>
        <w:rPr>
          <w:lang w:val="en-AU" w:eastAsia="en-AU"/>
        </w:rPr>
      </w:r>
    </w:p>
    <w:p>
      <w:pPr>
        <w:pStyle w:val="Heading01"/>
        <w:numPr>
          <w:ilvl w:val="0"/>
          <w:numId w:val="1"/>
        </w:numPr>
        <w:rPr>
          <w:lang w:val="en-AU" w:eastAsia="en-AU"/>
        </w:rPr>
      </w:pPr>
      <w:bookmarkStart w:id="14" w:name="_Toc220351601"/>
      <w:r>
        <w:rPr>
          <w:lang w:val="en-AU" w:eastAsia="en-AU"/>
        </w:rPr>
        <w:t>Part B – AI Ethics Principles Risk Assessment</w:t>
      </w:r>
      <w:bookmarkEnd w:id="14"/>
    </w:p>
    <w:p>
      <w:pPr>
        <w:pStyle w:val="Normal"/>
        <w:rPr>
          <w:lang w:eastAsia="en-AU"/>
        </w:rPr>
      </w:pPr>
      <w:r>
        <w:rPr>
          <w:lang w:eastAsia="en-AU"/>
        </w:rPr>
        <w:t>Part B of the FAIRA assessment evaluates risks associated with the ethical, human, and governance dimensions of AI use, based on the AI Ethics Principles. Unlike Part A, which focuses on describing system context, Part B applies a structured risk assessment approach to evaluate potential impacts, the likelihood of harm, and the effectiveness of existing controls across each ethics domain. The objective of this section is to identify areas of elevated risk and inform proportionate risk treatment and decision-making.</w:t>
      </w:r>
    </w:p>
    <w:p>
      <w:pPr>
        <w:pStyle w:val="Normal"/>
        <w:rPr>
          <w:lang w:eastAsia="en-AU"/>
        </w:rPr>
      </w:pPr>
      <w:r>
        <w:rPr>
          <w:lang w:eastAsia="en-AU"/>
        </w:rPr>
        <w:t>For {{system_name}}, each FAIRA ethics domain has been assessed using a consistent scoring model that considers domain-specific impact, likelihood, and control effectiveness. Domain-level risk scores are calculated and normalised to support comparison across domains and to illustrate how different ethical and governance considerations contribute to the overall AI risk profile. The results presented in this section represent residual risk, reflecting the effect of existing controls and governance arrangements at the time of assessment.</w:t>
      </w:r>
    </w:p>
    <w:p>
      <w:pPr>
        <w:pStyle w:val="Normal"/>
        <w:rPr>
          <w:lang w:eastAsia="en-AU"/>
        </w:rPr>
      </w:pPr>
      <w:r>
        <w:rPr>
          <w:lang w:eastAsia="en-AU"/>
        </w:rPr>
        <w:t>These domain-level results provide the basis for identifying priority risk areas and informing recommended controls and actions.</w:t>
      </w:r>
    </w:p>
    <w:p>
      <w:pPr>
        <w:pStyle w:val="Normal"/>
        <w:rPr>
          <w:i/>
          <w:iCs/>
          <w:color w:themeColor="text2" w:themeTint="bf" w:val="215E99"/>
          <w:sz w:val="22"/>
          <w:szCs w:val="22"/>
          <w:lang w:eastAsia="en-AU"/>
        </w:rPr>
      </w:pPr>
      <w:r>
        <w:rPr>
          <w:b/>
          <w:bCs/>
          <w:i/>
          <w:iCs/>
          <w:color w:themeColor="text2" w:themeTint="bf" w:val="215E99"/>
          <w:sz w:val="22"/>
          <w:szCs w:val="22"/>
          <w:lang w:eastAsia="en-AU"/>
        </w:rPr>
        <w:t>Note:</w:t>
      </w:r>
      <w:r>
        <w:rPr>
          <w:i/>
          <w:iCs/>
          <w:color w:themeColor="text2" w:themeTint="bf" w:val="215E99"/>
          <w:sz w:val="22"/>
          <w:szCs w:val="22"/>
          <w:lang w:eastAsia="en-AU"/>
        </w:rPr>
        <w:t xml:space="preserve"> Baseline exposure values are provided for contextual reference only and are not interpreted narratively in this report.</w:t>
      </w:r>
    </w:p>
    <w:p>
      <w:pPr>
        <w:pStyle w:val="Normal"/>
        <w:rPr>
          <w:i/>
          <w:iCs/>
          <w:color w:themeColor="text2" w:themeTint="bf" w:val="215E99"/>
          <w:sz w:val="22"/>
          <w:szCs w:val="22"/>
          <w:lang w:eastAsia="en-AU"/>
        </w:rPr>
      </w:pPr>
      <w:r>
        <w:rPr>
          <w:b/>
          <w:bCs/>
          <w:i/>
          <w:iCs/>
          <w:color w:themeColor="text2" w:themeTint="bf" w:val="215E99"/>
          <w:sz w:val="22"/>
          <w:szCs w:val="22"/>
          <w:lang w:eastAsia="en-AU"/>
        </w:rPr>
        <w:t>Note:</w:t>
      </w:r>
      <w:r>
        <w:rPr>
          <w:i/>
          <w:iCs/>
          <w:color w:themeColor="text2" w:themeTint="bf" w:val="215E99"/>
          <w:sz w:val="22"/>
          <w:szCs w:val="22"/>
          <w:lang w:eastAsia="en-AU"/>
        </w:rPr>
        <w:t xml:space="preserve"> Domain Interpretation sections are explanatory in nature and are intended to support understanding of risk concepts rather than restate scores, assessment inputs, or recommended actions.</w:t>
      </w:r>
    </w:p>
    <w:p>
      <w:pPr>
        <w:pStyle w:val="Normal"/>
        <w:rPr>
          <w:lang w:val="en-AU" w:eastAsia="en-AU"/>
        </w:rPr>
      </w:pPr>
      <w:r>
        <w:rPr>
          <w:lang w:val="en-AU" w:eastAsia="en-AU"/>
        </w:rPr>
        <w:t xml:space="preserve">{{ai.f_domain_analysis}} </w:t>
      </w:r>
    </w:p>
    <w:p>
      <w:pPr>
        <w:pStyle w:val="Heading02"/>
        <w:numPr>
          <w:ilvl w:val="1"/>
          <w:numId w:val="1"/>
        </w:numPr>
        <w:ind w:hanging="432" w:start="432"/>
        <w:rPr>
          <w:lang w:val="en-AU" w:eastAsia="en-AU"/>
        </w:rPr>
      </w:pPr>
      <w:bookmarkStart w:id="15" w:name="_Toc220351602"/>
      <w:r>
        <w:rPr>
          <w:lang w:val="en-AU" w:eastAsia="en-AU"/>
        </w:rPr>
        <w:t>Accountability</w:t>
      </w:r>
      <w:bookmarkEnd w:id="15"/>
    </w:p>
    <w:p>
      <w:pPr>
        <w:pStyle w:val="Normal"/>
        <w:rPr>
          <w:lang w:val="en-AU" w:eastAsia="en-AU"/>
        </w:rPr>
      </w:pPr>
      <w:r>
        <w:rPr>
          <w:lang w:val="en-AU" w:eastAsia="en-AU"/>
        </w:rPr>
        <w:t xml:space="preserve">This domain examines the extent to which </w:t>
      </w:r>
      <w:r>
        <w:rPr>
          <w:b/>
          <w:bCs/>
          <w:lang w:val="en-AU" w:eastAsia="en-AU"/>
        </w:rPr>
        <w:t>clear accountability and responsibility</w:t>
      </w:r>
      <w:r>
        <w:rPr>
          <w:lang w:val="en-AU" w:eastAsia="en-AU"/>
        </w:rPr>
        <w:t xml:space="preserve"> are established for the AI system across its lifecycle. It focuses on whether ownership, oversight, and decision-making responsibilities are defined, understood, and consistently applied, rather than whether accountability mechanisms exist in name only.</w:t>
      </w:r>
    </w:p>
    <w:p>
      <w:pPr>
        <w:pStyle w:val="Normal"/>
        <w:rPr>
          <w:lang w:val="en-AU" w:eastAsia="en-AU"/>
        </w:rPr>
      </w:pPr>
      <w:r>
        <w:rPr>
          <w:lang w:val="en-AU" w:eastAsia="en-AU"/>
        </w:rPr>
        <w:t>The assessment considers how accountability is assigned for system design, deployment, operation, and ongoing oversight, including whether roles and responsibilities are clearly documented ({{ faira_form.A5_1 }}), whether escalation pathways are defined ({{ faira_form.A5_4 }}), and whether accountability is supported by governance structures and oversight mechanisms ({{ faira_form.A5_2 | format_list }}). The assessment does not assume that accountability arrangements are effective in practice, but evaluates their clarity and coherence within the system's operating context.</w:t>
      </w:r>
    </w:p>
    <w:p>
      <w:pPr>
        <w:pStyle w:val="Normal"/>
        <w:rPr>
          <w:lang w:val="en-AU" w:eastAsia="en-AU"/>
        </w:rPr>
      </w:pPr>
      <w:r>
        <w:rPr>
          <w:lang w:val="en-AU" w:eastAsia="en-AU"/>
        </w:rPr>
        <w:t xml:space="preserve">For the Accountability domain, the assessed </w:t>
      </w:r>
      <w:r>
        <w:rPr>
          <w:b/>
          <w:bCs/>
          <w:lang w:val="en-AU" w:eastAsia="en-AU"/>
        </w:rPr>
        <w:t>impact score</w:t>
      </w:r>
      <w:r>
        <w:rPr>
          <w:lang w:val="en-AU" w:eastAsia="en-AU"/>
        </w:rPr>
        <w:t xml:space="preserve"> was </w:t>
      </w:r>
      <w:r>
        <w:rPr>
          <w:b/>
          <w:bCs/>
          <w:lang w:val="en-AU" w:eastAsia="en-AU"/>
        </w:rPr>
        <w:t>{{ domain_scores.Accountability.Impact }}</w:t>
      </w:r>
      <w:r>
        <w:rPr>
          <w:lang w:val="en-AU" w:eastAsia="en-AU"/>
        </w:rPr>
        <w:t xml:space="preserve">, reflecting the potential severity of harm that may arise if responsibility for AI-supported decisions or outcomes is unclear or fragmented. The </w:t>
      </w:r>
      <w:r>
        <w:rPr>
          <w:b/>
          <w:bCs/>
          <w:lang w:val="en-AU" w:eastAsia="en-AU"/>
        </w:rPr>
        <w:t>likelihood score</w:t>
      </w:r>
      <w:r>
        <w:rPr>
          <w:lang w:val="en-AU" w:eastAsia="en-AU"/>
        </w:rPr>
        <w:t xml:space="preserve"> was assessed as </w:t>
      </w:r>
      <w:r>
        <w:rPr>
          <w:b/>
          <w:bCs/>
          <w:lang w:val="en-AU" w:eastAsia="en-AU"/>
        </w:rPr>
        <w:t>{{ domain_scores.Accountability.Likelihood }}</w:t>
      </w:r>
      <w:r>
        <w:rPr>
          <w:lang w:val="en-AU" w:eastAsia="en-AU"/>
        </w:rPr>
        <w:t>, informed by factors such as role clarity, governance integration, and the consistency with which accountability is applied across the system lifecycle.</w:t>
      </w:r>
    </w:p>
    <w:p>
      <w:pPr>
        <w:pStyle w:val="Normal"/>
        <w:rPr>
          <w:lang w:val="en-AU" w:eastAsia="en-AU"/>
        </w:rPr>
      </w:pPr>
      <w:r>
        <w:rPr>
          <w:lang w:val="en-AU" w:eastAsia="en-AU"/>
        </w:rPr>
        <w:t xml:space="preserve">The effectiveness of existing controls relevant to this domain was assessed as </w:t>
      </w:r>
      <w:r>
        <w:rPr>
          <w:b/>
          <w:bCs/>
          <w:lang w:val="en-AU" w:eastAsia="en-AU"/>
        </w:rPr>
        <w:t>{{ domain_scores.Accountability.Control_Effectiveness }}</w:t>
      </w:r>
      <w:r>
        <w:rPr>
          <w:lang w:val="en-AU" w:eastAsia="en-AU"/>
        </w:rPr>
        <w:t xml:space="preserve">, taking into account governance arrangements, reporting structures, and oversight mechanisms intended to support accountable decision-making </w:t>
      </w:r>
      <w:r>
        <w:rPr>
          <w:highlight w:val="yellow"/>
          <w:lang w:val="en-AU" w:eastAsia="en-AU"/>
        </w:rPr>
        <w:t>({{ faira_form.A5_2 | format_list }}).</w:t>
      </w:r>
      <w:r>
        <w:rPr>
          <w:lang w:val="en-AU" w:eastAsia="en-AU"/>
        </w:rPr>
        <w:t xml:space="preserve"> After accounting for these controls, the resulting </w:t>
      </w:r>
      <w:r>
        <w:rPr>
          <w:b/>
          <w:bCs/>
          <w:lang w:val="en-AU" w:eastAsia="en-AU"/>
        </w:rPr>
        <w:t>residual domain risk score</w:t>
      </w:r>
      <w:r>
        <w:rPr>
          <w:lang w:val="en-AU" w:eastAsia="en-AU"/>
        </w:rPr>
        <w:t xml:space="preserve"> is </w:t>
      </w:r>
      <w:r>
        <w:rPr>
          <w:b/>
          <w:bCs/>
          <w:lang w:val="en-AU" w:eastAsia="en-AU"/>
        </w:rPr>
        <w:t>{{ domain_scores.Accountability.Risk }}</w:t>
      </w:r>
      <w:r>
        <w:rPr>
          <w:lang w:val="en-AU" w:eastAsia="en-AU"/>
        </w:rPr>
        <w:t>.</w:t>
      </w:r>
    </w:p>
    <w:p>
      <w:pPr>
        <w:pStyle w:val="Normal"/>
        <w:rPr>
          <w:lang w:val="en-AU" w:eastAsia="en-AU"/>
        </w:rPr>
      </w:pPr>
      <w:r>
        <w:rPr>
          <w:lang w:val="en-AU" w:eastAsia="en-AU"/>
        </w:rPr>
        <w:t>These results represent residual risk, indicating the extent to which accountability-related risks may persist under current operating conditions and governance arrangements.</w:t>
      </w:r>
    </w:p>
    <w:p>
      <w:pPr>
        <w:pStyle w:val="Normal"/>
        <w:rPr>
          <w:lang w:val="en-AU" w:eastAsia="en-AU"/>
        </w:rPr>
      </w:pPr>
      <w:r>
        <w:rPr/>
        <mc:AlternateContent>
          <mc:Choice Requires="wps">
            <w:drawing>
              <wp:inline distT="0" distB="0" distL="0" distR="0">
                <wp:extent cx="5731510" cy="19050"/>
                <wp:effectExtent l="0" t="0" r="0" b="0"/>
                <wp:docPr id="2" name=""/>
                <a:graphic xmlns:a="http://schemas.openxmlformats.org/drawingml/2006/main">
                  <a:graphicData uri="http://schemas.microsoft.com/office/word/2010/wordprocessingShape">
                    <wps:wsp>
                      <wps:cNvSpPr/>
                      <wps:nvSpPr>
                        <wps:cNvPr id="3" name=""/>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b/>
          <w:bCs/>
          <w:lang w:val="en-AU" w:eastAsia="en-AU"/>
        </w:rPr>
      </w:pPr>
      <w:r>
        <w:rPr>
          <w:b/>
          <w:bCs/>
          <w:lang w:val="en-AU" w:eastAsia="en-AU"/>
        </w:rPr>
        <w:t>Key Accountability Considerations</w:t>
      </w:r>
    </w:p>
    <w:p>
      <w:pPr>
        <w:pStyle w:val="Normal"/>
        <w:numPr>
          <w:ilvl w:val="0"/>
          <w:numId w:val="11"/>
        </w:numPr>
        <w:rPr>
          <w:lang w:val="en-AU" w:eastAsia="en-AU"/>
        </w:rPr>
      </w:pPr>
      <w:r>
        <w:rPr>
          <w:b/>
          <w:bCs/>
          <w:lang w:val="en-AU" w:eastAsia="en-AU"/>
        </w:rPr>
        <w:t>Role clarity:</w:t>
      </w:r>
      <w:r>
        <w:rPr>
          <w:lang w:val="en-AU" w:eastAsia="en-AU"/>
        </w:rPr>
        <w:t xml:space="preserve"> Accountability for the AI system has been {{ faira_form.A5_1 }}, influencing the clarity of ownership across the system lifecycle.</w:t>
      </w:r>
    </w:p>
    <w:p>
      <w:pPr>
        <w:pStyle w:val="Normal"/>
        <w:numPr>
          <w:ilvl w:val="0"/>
          <w:numId w:val="11"/>
        </w:numPr>
        <w:rPr>
          <w:lang w:val="en-AU" w:eastAsia="en-AU"/>
        </w:rPr>
      </w:pPr>
      <w:r>
        <w:rPr>
          <w:b/>
          <w:bCs/>
          <w:lang w:val="en-AU" w:eastAsia="en-AU"/>
        </w:rPr>
        <w:t>Governance structures:</w:t>
      </w:r>
      <w:r>
        <w:rPr>
          <w:lang w:val="en-AU" w:eastAsia="en-AU"/>
        </w:rPr>
        <w:t xml:space="preserve"> Governance or oversight bodies relevant to the system include {{ faira_form.A5_2 | format_list if faira_form.A5_2 else "no explicitly defined governance bodies" }}.</w:t>
      </w:r>
    </w:p>
    <w:p>
      <w:pPr>
        <w:pStyle w:val="Normal"/>
        <w:numPr>
          <w:ilvl w:val="0"/>
          <w:numId w:val="11"/>
        </w:numPr>
        <w:rPr>
          <w:lang w:val="en-AU" w:eastAsia="en-AU"/>
        </w:rPr>
      </w:pPr>
      <w:r>
        <w:rPr>
          <w:b/>
          <w:bCs/>
          <w:lang w:val="en-AU" w:eastAsia="en-AU"/>
        </w:rPr>
        <w:t>Escalation pathways:</w:t>
      </w:r>
      <w:r>
        <w:rPr>
          <w:lang w:val="en-AU" w:eastAsia="en-AU"/>
        </w:rPr>
        <w:t xml:space="preserve"> Mechanisms for escalation or decision-making in response to issues were assessed as {{ faira_form.A5_4 }}.</w:t>
      </w:r>
    </w:p>
    <w:p>
      <w:pPr>
        <w:pStyle w:val="Normal"/>
        <w:numPr>
          <w:ilvl w:val="0"/>
          <w:numId w:val="11"/>
        </w:numPr>
        <w:rPr>
          <w:lang w:val="en-AU" w:eastAsia="en-AU"/>
        </w:rPr>
      </w:pPr>
      <w:r>
        <w:rPr>
          <w:b/>
          <w:bCs/>
          <w:lang w:val="en-AU" w:eastAsia="en-AU"/>
        </w:rPr>
        <w:t>Lifecycle coverage:</w:t>
      </w:r>
      <w:r>
        <w:rPr>
          <w:lang w:val="en-AU" w:eastAsia="en-AU"/>
        </w:rPr>
        <w:t xml:space="preserve"> The consistency of accountability across design, deployment, and operational phases affects the likelihood of accountability gaps emerging over time.</w:t>
      </w:r>
    </w:p>
    <w:p>
      <w:pPr>
        <w:pStyle w:val="Normal"/>
        <w:rPr>
          <w:b/>
          <w:bCs/>
          <w:lang w:eastAsia="en-AU"/>
        </w:rPr>
      </w:pPr>
      <w:r>
        <w:rPr>
          <w:b/>
          <w:bCs/>
          <w:lang w:eastAsia="en-AU"/>
        </w:rPr>
        <w:t>FAIRA Domain Risk Profile — Accountability</w:t>
      </w:r>
    </w:p>
    <w:tbl>
      <w:tblPr>
        <w:tblW w:w="9016" w:type="dxa"/>
        <w:jc w:val="start"/>
        <w:tblInd w:w="0" w:type="dxa"/>
        <w:tblLayout w:type="fixed"/>
        <w:tblCellMar>
          <w:top w:w="43" w:type="dxa"/>
          <w:start w:w="43" w:type="dxa"/>
          <w:bottom w:w="43" w:type="dxa"/>
          <w:end w:w="43" w:type="dxa"/>
        </w:tblCellMar>
        <w:tblLook w:firstRow="1" w:noVBand="1" w:lastRow="0" w:firstColumn="1" w:lastColumn="0" w:noHBand="0" w:val="04a0"/>
      </w:tblPr>
      <w:tblGrid>
        <w:gridCol w:w="2635"/>
        <w:gridCol w:w="2520"/>
        <w:gridCol w:w="3861"/>
      </w:tblGrid>
      <w:tr>
        <w:trPr>
          <w:tblHeader w:val="true"/>
        </w:trPr>
        <w:tc>
          <w:tcPr>
            <w:tcW w:w="2635" w:type="dxa"/>
            <w:tcBorders>
              <w:top w:val="single" w:sz="4" w:space="0" w:color="000000"/>
              <w:start w:val="single" w:sz="4" w:space="0" w:color="000000"/>
              <w:bottom w:val="single" w:sz="4" w:space="0" w:color="000000"/>
              <w:end w:val="single" w:sz="4" w:space="0" w:color="000000"/>
            </w:tcBorders>
            <w:shd w:color="auto" w:fill="D9D9D9" w:themeFill="background1" w:themeFillShade="d9" w:val="clear"/>
          </w:tcPr>
          <w:p>
            <w:pPr>
              <w:pStyle w:val="Normal"/>
              <w:spacing w:before="0" w:after="160"/>
              <w:rPr>
                <w:b/>
                <w:bCs/>
                <w:sz w:val="20"/>
                <w:szCs w:val="20"/>
                <w:lang w:val="en-AU" w:eastAsia="en-AU"/>
              </w:rPr>
            </w:pPr>
            <w:r>
              <w:rPr>
                <w:b/>
                <w:bCs/>
                <w:sz w:val="20"/>
                <w:szCs w:val="20"/>
                <w:lang w:val="en-AU" w:eastAsia="en-AU"/>
              </w:rPr>
              <w:t>Measure</w:t>
            </w:r>
          </w:p>
        </w:tc>
        <w:tc>
          <w:tcPr>
            <w:tcW w:w="2520" w:type="dxa"/>
            <w:tcBorders>
              <w:top w:val="single" w:sz="4" w:space="0" w:color="000000"/>
              <w:start w:val="single" w:sz="4" w:space="0" w:color="000000"/>
              <w:bottom w:val="single" w:sz="4" w:space="0" w:color="000000"/>
              <w:end w:val="single" w:sz="4" w:space="0" w:color="000000"/>
            </w:tcBorders>
            <w:shd w:color="auto" w:fill="D9D9D9" w:themeFill="background1" w:themeFillShade="d9" w:val="clear"/>
          </w:tcPr>
          <w:p>
            <w:pPr>
              <w:pStyle w:val="Normal"/>
              <w:spacing w:before="0" w:after="160"/>
              <w:rPr>
                <w:b/>
                <w:bCs/>
                <w:sz w:val="20"/>
                <w:szCs w:val="20"/>
                <w:lang w:val="en-AU" w:eastAsia="en-AU"/>
              </w:rPr>
            </w:pPr>
            <w:r>
              <w:rPr>
                <w:b/>
                <w:bCs/>
                <w:sz w:val="20"/>
                <w:szCs w:val="20"/>
                <w:lang w:val="en-AU" w:eastAsia="en-AU"/>
              </w:rPr>
              <w:t>Score</w:t>
            </w:r>
          </w:p>
        </w:tc>
        <w:tc>
          <w:tcPr>
            <w:tcW w:w="3861" w:type="dxa"/>
            <w:tcBorders>
              <w:top w:val="single" w:sz="4" w:space="0" w:color="000000"/>
              <w:start w:val="single" w:sz="4" w:space="0" w:color="000000"/>
              <w:bottom w:val="single" w:sz="4" w:space="0" w:color="000000"/>
              <w:end w:val="single" w:sz="4" w:space="0" w:color="000000"/>
            </w:tcBorders>
            <w:shd w:color="auto" w:fill="D9D9D9" w:themeFill="background1" w:themeFillShade="d9" w:val="clear"/>
          </w:tcPr>
          <w:p>
            <w:pPr>
              <w:pStyle w:val="Normal"/>
              <w:spacing w:before="0" w:after="160"/>
              <w:rPr>
                <w:b/>
                <w:bCs/>
                <w:sz w:val="20"/>
                <w:szCs w:val="20"/>
                <w:lang w:val="en-AU" w:eastAsia="en-AU"/>
              </w:rPr>
            </w:pPr>
            <w:r>
              <w:rPr>
                <w:b/>
                <w:bCs/>
                <w:sz w:val="20"/>
                <w:szCs w:val="20"/>
                <w:lang w:val="en-AU" w:eastAsia="en-AU"/>
              </w:rPr>
              <w:t>Interpretation</w:t>
            </w:r>
          </w:p>
        </w:tc>
      </w:tr>
      <w:tr>
        <w:trPr/>
        <w:tc>
          <w:tcPr>
            <w:tcW w:w="2635" w:type="dxa"/>
            <w:tcBorders>
              <w:top w:val="single" w:sz="4" w:space="0" w:color="000000"/>
              <w:start w:val="single" w:sz="4" w:space="0" w:color="000000"/>
              <w:bottom w:val="single" w:sz="4" w:space="0" w:color="000000"/>
              <w:end w:val="single" w:sz="4" w:space="0" w:color="000000"/>
            </w:tcBorders>
          </w:tcPr>
          <w:p>
            <w:pPr>
              <w:pStyle w:val="Normal"/>
              <w:spacing w:before="0" w:after="160"/>
              <w:rPr>
                <w:sz w:val="20"/>
                <w:szCs w:val="20"/>
                <w:lang w:val="en-AU" w:eastAsia="en-AU"/>
              </w:rPr>
            </w:pPr>
            <w:r>
              <w:rPr>
                <w:sz w:val="20"/>
                <w:szCs w:val="20"/>
                <w:lang w:val="en-AU" w:eastAsia="en-AU"/>
              </w:rPr>
              <w:t>Impact</w:t>
            </w:r>
          </w:p>
        </w:tc>
        <w:tc>
          <w:tcPr>
            <w:tcW w:w="2520" w:type="dxa"/>
            <w:tcBorders>
              <w:top w:val="single" w:sz="4" w:space="0" w:color="000000"/>
              <w:start w:val="single" w:sz="4" w:space="0" w:color="000000"/>
              <w:bottom w:val="single" w:sz="4" w:space="0" w:color="000000"/>
              <w:end w:val="single" w:sz="4" w:space="0" w:color="000000"/>
            </w:tcBorders>
          </w:tcPr>
          <w:p>
            <w:pPr>
              <w:pStyle w:val="Normal"/>
              <w:spacing w:before="0" w:after="160"/>
              <w:rPr>
                <w:sz w:val="20"/>
                <w:szCs w:val="20"/>
                <w:lang w:val="en-AU" w:eastAsia="en-AU"/>
              </w:rPr>
            </w:pPr>
            <w:r>
              <w:rPr>
                <w:sz w:val="20"/>
                <w:szCs w:val="20"/>
                <w:lang w:val="en-AU" w:eastAsia="en-AU"/>
              </w:rPr>
              <w:t>{{domain_scores.Accountability.Impact}}</w:t>
            </w:r>
          </w:p>
        </w:tc>
        <w:tc>
          <w:tcPr>
            <w:tcW w:w="3861" w:type="dxa"/>
            <w:tcBorders>
              <w:top w:val="single" w:sz="4" w:space="0" w:color="000000"/>
              <w:start w:val="single" w:sz="4" w:space="0" w:color="000000"/>
              <w:bottom w:val="single" w:sz="4" w:space="0" w:color="000000"/>
              <w:end w:val="single" w:sz="4" w:space="0" w:color="000000"/>
            </w:tcBorders>
          </w:tcPr>
          <w:p>
            <w:pPr>
              <w:pStyle w:val="Normal"/>
              <w:spacing w:before="0" w:after="160"/>
              <w:rPr>
                <w:sz w:val="20"/>
                <w:szCs w:val="20"/>
                <w:lang w:val="en-AU" w:eastAsia="en-AU"/>
              </w:rPr>
            </w:pPr>
            <w:r>
              <w:rPr>
                <w:sz w:val="20"/>
                <w:szCs w:val="20"/>
                <w:lang w:val="en-AU" w:eastAsia="en-AU"/>
              </w:rPr>
              <w:t>Severity of potential harm arising from unclear or fragmented accountability</w:t>
            </w:r>
          </w:p>
        </w:tc>
      </w:tr>
      <w:tr>
        <w:trPr/>
        <w:tc>
          <w:tcPr>
            <w:tcW w:w="2635" w:type="dxa"/>
            <w:tcBorders>
              <w:top w:val="single" w:sz="4" w:space="0" w:color="000000"/>
              <w:start w:val="single" w:sz="4" w:space="0" w:color="000000"/>
              <w:bottom w:val="single" w:sz="4" w:space="0" w:color="000000"/>
              <w:end w:val="single" w:sz="4" w:space="0" w:color="000000"/>
            </w:tcBorders>
          </w:tcPr>
          <w:p>
            <w:pPr>
              <w:pStyle w:val="Normal"/>
              <w:spacing w:before="0" w:after="160"/>
              <w:rPr>
                <w:sz w:val="20"/>
                <w:szCs w:val="20"/>
                <w:lang w:val="en-AU" w:eastAsia="en-AU"/>
              </w:rPr>
            </w:pPr>
            <w:r>
              <w:rPr>
                <w:sz w:val="20"/>
                <w:szCs w:val="20"/>
                <w:lang w:val="en-AU" w:eastAsia="en-AU"/>
              </w:rPr>
              <w:t>Likelihood</w:t>
            </w:r>
          </w:p>
        </w:tc>
        <w:tc>
          <w:tcPr>
            <w:tcW w:w="2520" w:type="dxa"/>
            <w:tcBorders>
              <w:top w:val="single" w:sz="4" w:space="0" w:color="000000"/>
              <w:start w:val="single" w:sz="4" w:space="0" w:color="000000"/>
              <w:bottom w:val="single" w:sz="4" w:space="0" w:color="000000"/>
              <w:end w:val="single" w:sz="4" w:space="0" w:color="000000"/>
            </w:tcBorders>
          </w:tcPr>
          <w:p>
            <w:pPr>
              <w:pStyle w:val="Normal"/>
              <w:spacing w:before="0" w:after="160"/>
              <w:rPr>
                <w:sz w:val="20"/>
                <w:szCs w:val="20"/>
                <w:lang w:val="en-AU" w:eastAsia="en-AU"/>
              </w:rPr>
            </w:pPr>
            <w:r>
              <w:rPr>
                <w:sz w:val="20"/>
                <w:szCs w:val="20"/>
                <w:lang w:val="en-AU" w:eastAsia="en-AU"/>
              </w:rPr>
              <w:t>{{domain_scores.Accountability.Likelihood}}</w:t>
            </w:r>
          </w:p>
        </w:tc>
        <w:tc>
          <w:tcPr>
            <w:tcW w:w="3861" w:type="dxa"/>
            <w:tcBorders>
              <w:top w:val="single" w:sz="4" w:space="0" w:color="000000"/>
              <w:start w:val="single" w:sz="4" w:space="0" w:color="000000"/>
              <w:bottom w:val="single" w:sz="4" w:space="0" w:color="000000"/>
              <w:end w:val="single" w:sz="4" w:space="0" w:color="000000"/>
            </w:tcBorders>
          </w:tcPr>
          <w:p>
            <w:pPr>
              <w:pStyle w:val="Normal"/>
              <w:spacing w:before="0" w:after="160"/>
              <w:rPr>
                <w:sz w:val="20"/>
                <w:szCs w:val="20"/>
                <w:lang w:val="en-AU" w:eastAsia="en-AU"/>
              </w:rPr>
            </w:pPr>
            <w:r>
              <w:rPr>
                <w:sz w:val="20"/>
                <w:szCs w:val="20"/>
                <w:lang w:val="en-AU" w:eastAsia="en-AU"/>
              </w:rPr>
              <w:t>Probability that accountability gaps may affect oversight or decision-making</w:t>
            </w:r>
          </w:p>
        </w:tc>
      </w:tr>
      <w:tr>
        <w:trPr/>
        <w:tc>
          <w:tcPr>
            <w:tcW w:w="2635" w:type="dxa"/>
            <w:tcBorders>
              <w:top w:val="single" w:sz="4" w:space="0" w:color="000000"/>
              <w:start w:val="single" w:sz="4" w:space="0" w:color="000000"/>
              <w:bottom w:val="single" w:sz="4" w:space="0" w:color="000000"/>
              <w:end w:val="single" w:sz="4" w:space="0" w:color="000000"/>
            </w:tcBorders>
          </w:tcPr>
          <w:p>
            <w:pPr>
              <w:pStyle w:val="Normal"/>
              <w:spacing w:before="0" w:after="160"/>
              <w:rPr>
                <w:sz w:val="20"/>
                <w:szCs w:val="20"/>
                <w:lang w:val="en-AU" w:eastAsia="en-AU"/>
              </w:rPr>
            </w:pPr>
            <w:r>
              <w:rPr>
                <w:sz w:val="20"/>
                <w:szCs w:val="20"/>
                <w:lang w:val="en-AU" w:eastAsia="en-AU"/>
              </w:rPr>
              <w:t>Baseline exposure (context only)</w:t>
            </w:r>
          </w:p>
        </w:tc>
        <w:tc>
          <w:tcPr>
            <w:tcW w:w="2520" w:type="dxa"/>
            <w:tcBorders>
              <w:top w:val="single" w:sz="4" w:space="0" w:color="000000"/>
              <w:start w:val="single" w:sz="4" w:space="0" w:color="000000"/>
              <w:bottom w:val="single" w:sz="4" w:space="0" w:color="000000"/>
              <w:end w:val="single" w:sz="4" w:space="0" w:color="000000"/>
            </w:tcBorders>
          </w:tcPr>
          <w:p>
            <w:pPr>
              <w:pStyle w:val="Normal"/>
              <w:spacing w:before="0" w:after="160"/>
              <w:rPr>
                <w:sz w:val="20"/>
                <w:szCs w:val="20"/>
                <w:lang w:val="en-AU" w:eastAsia="en-AU"/>
              </w:rPr>
            </w:pPr>
            <w:r>
              <w:rPr>
                <w:sz w:val="20"/>
                <w:szCs w:val="20"/>
                <w:lang w:val="en-AU" w:eastAsia="en-AU"/>
              </w:rPr>
              <w:t>{{domain_scores.Accountability.Inherent_Risk}}</w:t>
            </w:r>
          </w:p>
        </w:tc>
        <w:tc>
          <w:tcPr>
            <w:tcW w:w="3861" w:type="dxa"/>
            <w:tcBorders>
              <w:top w:val="single" w:sz="4" w:space="0" w:color="000000"/>
              <w:start w:val="single" w:sz="4" w:space="0" w:color="000000"/>
              <w:bottom w:val="single" w:sz="4" w:space="0" w:color="000000"/>
              <w:end w:val="single" w:sz="4" w:space="0" w:color="000000"/>
            </w:tcBorders>
          </w:tcPr>
          <w:p>
            <w:pPr>
              <w:pStyle w:val="Normal"/>
              <w:spacing w:before="0" w:after="160"/>
              <w:rPr>
                <w:sz w:val="20"/>
                <w:szCs w:val="20"/>
                <w:lang w:val="en-AU" w:eastAsia="en-AU"/>
              </w:rPr>
            </w:pPr>
            <w:r>
              <w:rPr>
                <w:sz w:val="20"/>
                <w:szCs w:val="20"/>
                <w:lang w:val="en-AU" w:eastAsia="en-AU"/>
              </w:rPr>
              <w:t>Contextual reference only — not interpreted</w:t>
            </w:r>
          </w:p>
        </w:tc>
      </w:tr>
      <w:tr>
        <w:trPr/>
        <w:tc>
          <w:tcPr>
            <w:tcW w:w="2635" w:type="dxa"/>
            <w:tcBorders>
              <w:top w:val="single" w:sz="4" w:space="0" w:color="000000"/>
              <w:start w:val="single" w:sz="4" w:space="0" w:color="000000"/>
              <w:bottom w:val="single" w:sz="4" w:space="0" w:color="000000"/>
              <w:end w:val="single" w:sz="4" w:space="0" w:color="000000"/>
            </w:tcBorders>
          </w:tcPr>
          <w:p>
            <w:pPr>
              <w:pStyle w:val="Normal"/>
              <w:spacing w:before="0" w:after="160"/>
              <w:rPr>
                <w:sz w:val="20"/>
                <w:szCs w:val="20"/>
                <w:lang w:val="en-AU" w:eastAsia="en-AU"/>
              </w:rPr>
            </w:pPr>
            <w:r>
              <w:rPr>
                <w:sz w:val="20"/>
                <w:szCs w:val="20"/>
                <w:lang w:val="en-AU" w:eastAsia="en-AU"/>
              </w:rPr>
              <w:t>Control effectiveness</w:t>
            </w:r>
          </w:p>
        </w:tc>
        <w:tc>
          <w:tcPr>
            <w:tcW w:w="2520" w:type="dxa"/>
            <w:tcBorders>
              <w:top w:val="single" w:sz="4" w:space="0" w:color="000000"/>
              <w:start w:val="single" w:sz="4" w:space="0" w:color="000000"/>
              <w:bottom w:val="single" w:sz="4" w:space="0" w:color="000000"/>
              <w:end w:val="single" w:sz="4" w:space="0" w:color="000000"/>
            </w:tcBorders>
          </w:tcPr>
          <w:p>
            <w:pPr>
              <w:pStyle w:val="Normal"/>
              <w:spacing w:before="0" w:after="160"/>
              <w:rPr>
                <w:sz w:val="20"/>
                <w:szCs w:val="20"/>
                <w:lang w:val="en-AU" w:eastAsia="en-AU"/>
              </w:rPr>
            </w:pPr>
            <w:r>
              <w:rPr>
                <w:sz w:val="20"/>
                <w:szCs w:val="20"/>
                <w:lang w:val="en-AU" w:eastAsia="en-AU"/>
              </w:rPr>
              <w:t>{{domain_scores.Accountability.Control_Effectiveness}}</w:t>
            </w:r>
          </w:p>
        </w:tc>
        <w:tc>
          <w:tcPr>
            <w:tcW w:w="3861" w:type="dxa"/>
            <w:tcBorders>
              <w:top w:val="single" w:sz="4" w:space="0" w:color="000000"/>
              <w:start w:val="single" w:sz="4" w:space="0" w:color="000000"/>
              <w:bottom w:val="single" w:sz="4" w:space="0" w:color="000000"/>
              <w:end w:val="single" w:sz="4" w:space="0" w:color="000000"/>
            </w:tcBorders>
          </w:tcPr>
          <w:p>
            <w:pPr>
              <w:pStyle w:val="Normal"/>
              <w:spacing w:before="0" w:after="160"/>
              <w:rPr>
                <w:sz w:val="20"/>
                <w:szCs w:val="20"/>
                <w:lang w:val="en-AU" w:eastAsia="en-AU"/>
              </w:rPr>
            </w:pPr>
            <w:r>
              <w:rPr>
                <w:sz w:val="20"/>
                <w:szCs w:val="20"/>
                <w:lang w:val="en-AU" w:eastAsia="en-AU"/>
              </w:rPr>
              <w:t>Strength of existing accountability and oversight arrangements</w:t>
            </w:r>
          </w:p>
        </w:tc>
      </w:tr>
      <w:tr>
        <w:trPr/>
        <w:tc>
          <w:tcPr>
            <w:tcW w:w="2635" w:type="dxa"/>
            <w:tcBorders>
              <w:top w:val="single" w:sz="4" w:space="0" w:color="000000"/>
              <w:start w:val="single" w:sz="4" w:space="0" w:color="000000"/>
              <w:bottom w:val="single" w:sz="4" w:space="0" w:color="000000"/>
              <w:end w:val="single" w:sz="4" w:space="0" w:color="000000"/>
            </w:tcBorders>
          </w:tcPr>
          <w:p>
            <w:pPr>
              <w:pStyle w:val="Normal"/>
              <w:spacing w:before="0" w:after="160"/>
              <w:rPr>
                <w:sz w:val="20"/>
                <w:szCs w:val="20"/>
                <w:lang w:val="en-AU" w:eastAsia="en-AU"/>
              </w:rPr>
            </w:pPr>
            <w:r>
              <w:rPr>
                <w:b/>
                <w:bCs/>
                <w:sz w:val="20"/>
                <w:szCs w:val="20"/>
                <w:lang w:val="en-AU" w:eastAsia="en-AU"/>
              </w:rPr>
              <w:t>Residual risk</w:t>
            </w:r>
          </w:p>
        </w:tc>
        <w:tc>
          <w:tcPr>
            <w:tcW w:w="2520" w:type="dxa"/>
            <w:tcBorders>
              <w:top w:val="single" w:sz="4" w:space="0" w:color="000000"/>
              <w:start w:val="single" w:sz="4" w:space="0" w:color="000000"/>
              <w:bottom w:val="single" w:sz="4" w:space="0" w:color="000000"/>
              <w:end w:val="single" w:sz="4" w:space="0" w:color="000000"/>
            </w:tcBorders>
          </w:tcPr>
          <w:p>
            <w:pPr>
              <w:pStyle w:val="Normal"/>
              <w:spacing w:before="0" w:after="160"/>
              <w:rPr>
                <w:sz w:val="20"/>
                <w:szCs w:val="20"/>
                <w:lang w:val="en-AU" w:eastAsia="en-AU"/>
              </w:rPr>
            </w:pPr>
            <w:r>
              <w:rPr>
                <w:b/>
                <w:bCs/>
                <w:sz w:val="20"/>
                <w:szCs w:val="20"/>
                <w:lang w:val="en-AU" w:eastAsia="en-AU"/>
              </w:rPr>
              <w:t>{{domain_scores.Accountability.Risk}}</w:t>
            </w:r>
          </w:p>
        </w:tc>
        <w:tc>
          <w:tcPr>
            <w:tcW w:w="3861" w:type="dxa"/>
            <w:tcBorders>
              <w:top w:val="single" w:sz="4" w:space="0" w:color="000000"/>
              <w:start w:val="single" w:sz="4" w:space="0" w:color="000000"/>
              <w:bottom w:val="single" w:sz="4" w:space="0" w:color="000000"/>
              <w:end w:val="single" w:sz="4" w:space="0" w:color="000000"/>
            </w:tcBorders>
          </w:tcPr>
          <w:p>
            <w:pPr>
              <w:pStyle w:val="Normal"/>
              <w:keepNext w:val="true"/>
              <w:spacing w:before="0" w:after="160"/>
              <w:rPr>
                <w:sz w:val="20"/>
                <w:szCs w:val="20"/>
                <w:lang w:val="en-AU" w:eastAsia="en-AU"/>
              </w:rPr>
            </w:pPr>
            <w:r>
              <w:rPr>
                <w:sz w:val="20"/>
                <w:szCs w:val="20"/>
                <w:lang w:val="en-AU" w:eastAsia="en-AU"/>
              </w:rPr>
              <w:t>Ongoing accountability-related risk requiring consideration</w:t>
            </w:r>
          </w:p>
        </w:tc>
      </w:tr>
    </w:tbl>
    <w:p>
      <w:pPr>
        <w:pStyle w:val="Caption"/>
        <w:rPr>
          <w:lang w:val="en-AU" w:eastAsia="en-AU"/>
        </w:rPr>
      </w:pPr>
      <w:bookmarkStart w:id="16" w:name="_Toc220351603"/>
      <w:r>
        <w:rPr/>
        <w:t xml:space="preserve">Table </w:t>
      </w:r>
      <w:r>
        <w:rPr/>
        <w:fldChar w:fldCharType="begin"/>
      </w:r>
      <w:r>
        <w:rPr/>
        <w:instrText xml:space="preserve"> SEQ Table \* ARABIC </w:instrText>
      </w:r>
      <w:r>
        <w:rPr/>
        <w:fldChar w:fldCharType="separate"/>
      </w:r>
      <w:r>
        <w:rPr/>
        <w:t>6</w:t>
      </w:r>
      <w:r>
        <w:rPr/>
        <w:fldChar w:fldCharType="end"/>
      </w:r>
      <w:r>
        <w:rPr/>
        <w:t xml:space="preserve"> - Accountability FAIRA domain risk profile</w:t>
      </w:r>
      <w:bookmarkEnd w:id="16"/>
    </w:p>
    <w:p>
      <w:pPr>
        <w:pStyle w:val="Normal"/>
        <w:rPr>
          <w:b/>
          <w:bCs/>
          <w:lang w:val="en-AU" w:eastAsia="en-AU"/>
        </w:rPr>
      </w:pPr>
      <w:r>
        <w:rPr>
          <w:b/>
          <w:bCs/>
          <w:lang w:val="en-AU" w:eastAsia="en-AU"/>
        </w:rPr>
        <w:t>Domain Interpretation</w:t>
      </w:r>
    </w:p>
    <w:p>
      <w:pPr>
        <w:pStyle w:val="Normal"/>
        <w:rPr>
          <w:lang w:val="en-AU" w:eastAsia="en-AU"/>
        </w:rPr>
      </w:pPr>
      <w:r>
        <w:rPr>
          <w:lang w:val="en-AU" w:eastAsia="en-AU"/>
        </w:rPr>
        <w:t>Accountability risks relate to the clarity, consistency, and effectiveness of responsibility for AI-supported decisions and outcomes. Such risks may arise where ownership is unclear, responsibilities are fragmented, or accountability does not extend across the full system lifecycle. Even where governance structures exist, accountability gaps may emerge if roles are not well understood or consistently applied in practice.</w:t>
      </w:r>
    </w:p>
    <w:p>
      <w:pPr>
        <w:pStyle w:val="Normal"/>
        <w:rPr>
          <w:lang w:val="en-AU" w:eastAsia="en-AU"/>
        </w:rPr>
      </w:pPr>
      <w:r>
        <w:rPr>
          <w:lang w:val="en-AU" w:eastAsia="en-AU"/>
        </w:rPr>
        <w:t>This domain should be interpreted as an indicator of how clearly responsibility for the AI system is assigned and sustained over time, rather than as a measure of organisational intent or governance sophistication. Accountability considerations are closely linked to transparency, contestability, and oversight, and may evolve as system use, scale, or organisational structures change.</w:t>
      </w:r>
    </w:p>
    <w:p>
      <w:pPr>
        <w:pStyle w:val="Normal"/>
        <w:rPr>
          <w:b/>
          <w:bCs/>
          <w:lang w:val="en-AU" w:eastAsia="en-AU"/>
        </w:rPr>
      </w:pPr>
      <w:r>
        <w:rPr>
          <w:b/>
          <w:bCs/>
          <w:lang w:val="en-AU" w:eastAsia="en-AU"/>
        </w:rPr>
        <w:t>What would change this score?</w:t>
      </w:r>
    </w:p>
    <w:p>
      <w:pPr>
        <w:pStyle w:val="Normal"/>
        <w:rPr>
          <w:lang w:val="en-AU" w:eastAsia="en-AU"/>
        </w:rPr>
      </w:pPr>
      <w:r>
        <w:rPr>
          <w:lang w:eastAsia="en-AU"/>
        </w:rPr>
        <w:t>The factors below represent governance, operational, or design changes that are likely to materially influence the assessed risk level for this domain over time. These factors are illustrative and should be considered in the context of the system's operating environment and risk appetite.</w:t>
      </w:r>
    </w:p>
    <w:p>
      <w:pPr>
        <w:pStyle w:val="ListParagraph"/>
        <w:numPr>
          <w:ilvl w:val="0"/>
          <w:numId w:val="11"/>
        </w:numPr>
        <w:spacing w:before="60" w:after="60"/>
        <w:contextualSpacing w:val="false"/>
        <w:rPr>
          <w:lang w:val="en-AU" w:eastAsia="en-AU"/>
        </w:rPr>
      </w:pPr>
      <w:r>
        <w:rPr>
          <w:lang w:val="en-AU" w:eastAsia="en-AU"/>
        </w:rPr>
        <w:t>Formal assignment of end-to-end accountability for AI outcomes, including approval, monitoring, escalation, and incident response.</w:t>
      </w:r>
    </w:p>
    <w:p>
      <w:pPr>
        <w:pStyle w:val="ListParagraph"/>
        <w:numPr>
          <w:ilvl w:val="0"/>
          <w:numId w:val="11"/>
        </w:numPr>
        <w:spacing w:before="60" w:after="60"/>
        <w:contextualSpacing w:val="false"/>
        <w:rPr>
          <w:lang w:val="en-AU" w:eastAsia="en-AU"/>
        </w:rPr>
      </w:pPr>
      <w:r>
        <w:rPr>
          <w:lang w:val="en-AU" w:eastAsia="en-AU"/>
        </w:rPr>
        <w:t>Clear documentation of roles and responsibilities across the AI system lifecycle (design, deployment, operation, review).</w:t>
      </w:r>
    </w:p>
    <w:p>
      <w:pPr>
        <w:pStyle w:val="ListParagraph"/>
        <w:numPr>
          <w:ilvl w:val="0"/>
          <w:numId w:val="11"/>
        </w:numPr>
        <w:spacing w:before="60" w:after="60"/>
        <w:contextualSpacing w:val="false"/>
        <w:rPr>
          <w:lang w:val="en-AU" w:eastAsia="en-AU"/>
        </w:rPr>
      </w:pPr>
      <w:r>
        <w:rPr>
          <w:lang w:val="en-AU" w:eastAsia="en-AU"/>
        </w:rPr>
        <w:t>Defined escalation and decision-authority pathways for AI-related issues.</w:t>
      </w:r>
    </w:p>
    <w:p>
      <w:pPr>
        <w:pStyle w:val="ListParagraph"/>
        <w:numPr>
          <w:ilvl w:val="0"/>
          <w:numId w:val="11"/>
        </w:numPr>
        <w:spacing w:before="60" w:after="60"/>
        <w:contextualSpacing w:val="false"/>
        <w:rPr>
          <w:lang w:val="en-AU" w:eastAsia="en-AU"/>
        </w:rPr>
      </w:pPr>
      <w:r>
        <w:rPr>
          <w:lang w:val="en-AU" w:eastAsia="en-AU"/>
        </w:rPr>
        <w:t>Evidence that accountability arrangements are reviewed and updated as system context or use changes.</w:t>
      </w:r>
    </w:p>
    <w:p>
      <w:pPr>
        <w:pStyle w:val="ListParagraph"/>
        <w:numPr>
          <w:ilvl w:val="0"/>
          <w:numId w:val="11"/>
        </w:numPr>
        <w:spacing w:before="60" w:after="60"/>
        <w:contextualSpacing w:val="false"/>
        <w:rPr>
          <w:lang w:val="en-AU" w:eastAsia="en-AU"/>
        </w:rPr>
      </w:pPr>
      <w:r>
        <w:rPr>
          <w:lang w:val="en-AU" w:eastAsia="en-AU"/>
        </w:rPr>
        <w:t>Integration of AI accountability into existing governance or risk management structures.</w:t>
      </w:r>
    </w:p>
    <w:p>
      <w:pPr>
        <w:pStyle w:val="Normal"/>
        <w:rPr>
          <w:lang w:val="en-AU" w:eastAsia="en-AU"/>
        </w:rPr>
      </w:pPr>
      <w:r>
        <w:rPr>
          <w:lang w:val="en-AU" w:eastAsia="en-AU"/>
        </w:rPr>
      </w:r>
    </w:p>
    <w:p>
      <w:pPr>
        <w:pStyle w:val="Heading02"/>
        <w:numPr>
          <w:ilvl w:val="1"/>
          <w:numId w:val="1"/>
        </w:numPr>
        <w:ind w:hanging="432" w:start="432"/>
        <w:rPr>
          <w:lang w:val="en-AU" w:eastAsia="en-AU"/>
        </w:rPr>
      </w:pPr>
      <w:bookmarkStart w:id="17" w:name="_Toc220351604"/>
      <w:r>
        <w:rPr>
          <w:lang w:val="en-AU" w:eastAsia="en-AU"/>
        </w:rPr>
        <w:t>Contestability</w:t>
      </w:r>
      <w:bookmarkEnd w:id="17"/>
    </w:p>
    <w:p>
      <w:pPr>
        <w:pStyle w:val="Normal"/>
        <w:rPr>
          <w:lang w:val="en-AU" w:eastAsia="en-AU"/>
        </w:rPr>
      </w:pPr>
      <w:r>
        <w:rPr>
          <w:lang w:val="en-AU" w:eastAsia="en-AU"/>
        </w:rPr>
        <w:t xml:space="preserve">This domain examines the extent to which individuals or groups affected by AI-supported decisions are able to </w:t>
      </w:r>
      <w:r>
        <w:rPr>
          <w:b/>
          <w:bCs/>
          <w:lang w:val="en-AU" w:eastAsia="en-AU"/>
        </w:rPr>
        <w:t>question, challenge, or seek review</w:t>
      </w:r>
      <w:r>
        <w:rPr>
          <w:lang w:val="en-AU" w:eastAsia="en-AU"/>
        </w:rPr>
        <w:t xml:space="preserve"> of those decisions. It focuses on whether practical mechanisms exist to enable contestability in a timely, accessible, and meaningful way, rather than on the mere existence of policies or procedures.</w:t>
      </w:r>
    </w:p>
    <w:p>
      <w:pPr>
        <w:pStyle w:val="Normal"/>
        <w:rPr>
          <w:lang w:eastAsia="en-AU"/>
        </w:rPr>
      </w:pPr>
      <w:r>
        <w:rPr>
          <w:lang w:eastAsia="en-AU"/>
        </w:rPr>
        <w:t>The assessment considers contestability across the decision lifecycle, including whether affected parties are informed of AI involvement ({{ faira_form.A3_4 | format_list }}), whether structured and accessible processes exist to challenge or review AI-supported outcomes, and the extent to which human intervention or escalation is available where outcomes are disputed ({{ faira_form.B7_2 }}). The assessment evaluates the presence and accessibility of these mechanisms within the system's operating context, without assuming that they are effective in practice.</w:t>
      </w:r>
    </w:p>
    <w:p>
      <w:pPr>
        <w:pStyle w:val="Normal"/>
        <w:rPr/>
      </w:pPr>
      <w:r>
        <w:rPr/>
        <w:t>{%p if faira_form.B7_1 == "Yes" %}</w:t>
      </w:r>
    </w:p>
    <w:p>
      <w:pPr>
        <w:pStyle w:val="Normal"/>
        <w:rPr/>
      </w:pPr>
      <w:r>
        <w:rPr/>
        <w:t>The assessment indicates that a defined process exists for challenging or reviewing AI-supported outcomes. Challenges or reviews may be initiated by {{ faira_form.B7_1_initiators | format_list if faira_form.B7_1_initiators else "initiators not specified" }} and can be raised through {{ faira_form.B7_1_channels | format_list if faira_form.B7_1_channels else "channels not specified" }}.</w:t>
      </w:r>
    </w:p>
    <w:p>
      <w:pPr>
        <w:pStyle w:val="Normal"/>
        <w:rPr/>
      </w:pPr>
      <w:r>
        <w:rPr/>
        <w:t xml:space="preserve">The review process includes {{ faira_form.B7_1_review_process | format_list if faira_form.B7_1_review_process else "process details not specified" }} and is supported by information such as {{ faira_form.B7_1_review_inputs | format_list if faira_form.B7_1_review_inputs else "review inputs not specified" }}. </w:t>
      </w:r>
      <w:r>
        <w:rPr>
          <w:highlight w:val="yellow"/>
        </w:rPr>
        <w:t>Outcomes following review are described as {{ faira_form.B7_1_outcome_change if faira_form.B7_1_outcome_change else "not specified" }}{% if faira_form.B7_1_describe %}.</w:t>
      </w:r>
      <w:r>
        <w:rPr/>
        <w:t xml:space="preserve"> Additional notes: {{ faira_form.B7_1_describe }}.</w:t>
      </w:r>
    </w:p>
    <w:p>
      <w:pPr>
        <w:pStyle w:val="Normal"/>
        <w:rPr/>
      </w:pPr>
      <w:r>
        <w:rPr/>
        <w:t>{% endif %}</w:t>
      </w:r>
    </w:p>
    <w:p>
      <w:pPr>
        <w:pStyle w:val="Normal"/>
        <w:rPr/>
      </w:pPr>
      <w:r>
        <w:rPr/>
        <w:t>{%p else %}</w:t>
      </w:r>
    </w:p>
    <w:p>
      <w:pPr>
        <w:pStyle w:val="Normal"/>
        <w:rPr/>
      </w:pPr>
      <w:r>
        <w:rPr/>
        <w:t>The assessment indicates that there is no defined process for challenging or reviewing AI-supported outcomes.</w:t>
      </w:r>
    </w:p>
    <w:p>
      <w:pPr>
        <w:pStyle w:val="Normal"/>
        <w:rPr/>
      </w:pPr>
      <w:r>
        <w:rPr/>
        <w:t>{%p endif %}</w:t>
      </w:r>
    </w:p>
    <w:p>
      <w:pPr>
        <w:pStyle w:val="Normal"/>
        <w:rPr>
          <w:lang w:val="en-AU" w:eastAsia="en-AU"/>
        </w:rPr>
      </w:pPr>
      <w:r>
        <w:rPr>
          <w:lang w:val="en-AU" w:eastAsia="en-AU"/>
        </w:rPr>
        <w:t xml:space="preserve">For the Contestability domain, the assessed </w:t>
      </w:r>
      <w:r>
        <w:rPr>
          <w:b/>
          <w:bCs/>
          <w:lang w:val="en-AU" w:eastAsia="en-AU"/>
        </w:rPr>
        <w:t>impact score</w:t>
      </w:r>
      <w:r>
        <w:rPr>
          <w:lang w:val="en-AU" w:eastAsia="en-AU"/>
        </w:rPr>
        <w:t xml:space="preserve"> was </w:t>
      </w:r>
      <w:r>
        <w:rPr>
          <w:b/>
          <w:bCs/>
          <w:lang w:val="en-AU" w:eastAsia="en-AU"/>
        </w:rPr>
        <w:t>{{ domain_scores.Contestability.Impact }}</w:t>
      </w:r>
      <w:r>
        <w:rPr>
          <w:lang w:val="en-AU" w:eastAsia="en-AU"/>
        </w:rPr>
        <w:t xml:space="preserve">, reflecting the potential severity of harm if individuals are unable to challenge or correct AI-supported outcomes. The </w:t>
      </w:r>
      <w:r>
        <w:rPr>
          <w:b/>
          <w:bCs/>
          <w:lang w:val="en-AU" w:eastAsia="en-AU"/>
        </w:rPr>
        <w:t>likelihood score</w:t>
      </w:r>
      <w:r>
        <w:rPr>
          <w:lang w:val="en-AU" w:eastAsia="en-AU"/>
        </w:rPr>
        <w:t xml:space="preserve"> was assessed as </w:t>
      </w:r>
      <w:r>
        <w:rPr>
          <w:b/>
          <w:bCs/>
          <w:lang w:val="en-AU" w:eastAsia="en-AU"/>
        </w:rPr>
        <w:t>{{ domain_scores.Contestability.Likelihood }}</w:t>
      </w:r>
      <w:r>
        <w:rPr>
          <w:lang w:val="en-AU" w:eastAsia="en-AU"/>
        </w:rPr>
        <w:t>, informed by factors such as the accessibility of contestation pathways, the timeliness of review processes, and the extent of human oversight applied to contested decisions.</w:t>
      </w:r>
    </w:p>
    <w:p>
      <w:pPr>
        <w:pStyle w:val="Normal"/>
        <w:rPr>
          <w:lang w:val="en-AU" w:eastAsia="en-AU"/>
        </w:rPr>
      </w:pPr>
      <w:r>
        <w:rPr>
          <w:lang w:val="en-AU" w:eastAsia="en-AU"/>
        </w:rPr>
        <w:t xml:space="preserve">The </w:t>
      </w:r>
      <w:r>
        <w:rPr>
          <w:b/>
          <w:bCs/>
          <w:lang w:val="en-AU" w:eastAsia="en-AU"/>
        </w:rPr>
        <w:t>effectiveness</w:t>
      </w:r>
      <w:r>
        <w:rPr>
          <w:lang w:val="en-AU" w:eastAsia="en-AU"/>
        </w:rPr>
        <w:t xml:space="preserve"> of existing controls relevant to this domain was assessed as </w:t>
      </w:r>
      <w:r>
        <w:rPr>
          <w:b/>
          <w:bCs/>
          <w:lang w:val="en-AU" w:eastAsia="en-AU"/>
        </w:rPr>
        <w:t>{{ domain_scores.Contestability.Control_Effectiveness }}</w:t>
      </w:r>
      <w:r>
        <w:rPr>
          <w:lang w:val="en-AU" w:eastAsia="en-AU"/>
        </w:rPr>
        <w:t xml:space="preserve">, taking into account governance arrangements, escalation mechanisms, and procedural safeguards intended to support review or appeal of outcomes which occur on a {{ faira_form.A5_4 }} basis. After accounting for these controls, the resulting </w:t>
      </w:r>
      <w:r>
        <w:rPr>
          <w:b/>
          <w:bCs/>
          <w:lang w:val="en-AU" w:eastAsia="en-AU"/>
        </w:rPr>
        <w:t>residual domain risk score</w:t>
      </w:r>
      <w:r>
        <w:rPr>
          <w:lang w:val="en-AU" w:eastAsia="en-AU"/>
        </w:rPr>
        <w:t xml:space="preserve"> is </w:t>
      </w:r>
      <w:r>
        <w:rPr>
          <w:b/>
          <w:bCs/>
          <w:lang w:val="en-AU" w:eastAsia="en-AU"/>
        </w:rPr>
        <w:t>{{ domain_scores.Contestability.Risk }}</w:t>
      </w:r>
      <w:r>
        <w:rPr>
          <w:lang w:val="en-AU" w:eastAsia="en-AU"/>
        </w:rPr>
        <w:t>.</w:t>
      </w:r>
    </w:p>
    <w:p>
      <w:pPr>
        <w:pStyle w:val="Normal"/>
        <w:rPr>
          <w:lang w:val="en-AU" w:eastAsia="en-AU"/>
        </w:rPr>
      </w:pPr>
      <w:r>
        <w:rPr>
          <w:lang w:val="en-AU" w:eastAsia="en-AU"/>
        </w:rPr>
        <w:t xml:space="preserve">These results represent </w:t>
      </w:r>
      <w:r>
        <w:rPr>
          <w:b/>
          <w:bCs/>
          <w:lang w:val="en-AU" w:eastAsia="en-AU"/>
        </w:rPr>
        <w:t>residual risk</w:t>
      </w:r>
      <w:r>
        <w:rPr>
          <w:lang w:val="en-AU" w:eastAsia="en-AU"/>
        </w:rPr>
        <w:t>, indicating the extent to which limitations in contestability may persist under current operating conditions and governance arrangements.</w:t>
      </w:r>
    </w:p>
    <w:p>
      <w:pPr>
        <w:pStyle w:val="Normal"/>
        <w:rPr>
          <w:lang w:val="en-AU" w:eastAsia="en-AU"/>
        </w:rPr>
      </w:pPr>
      <w:r>
        <w:rPr/>
        <mc:AlternateContent>
          <mc:Choice Requires="wps">
            <w:drawing>
              <wp:inline distT="0" distB="0" distL="0" distR="0">
                <wp:extent cx="5731510" cy="19050"/>
                <wp:effectExtent l="0" t="0" r="0" b="0"/>
                <wp:docPr id="4" name=""/>
                <a:graphic xmlns:a="http://schemas.openxmlformats.org/drawingml/2006/main">
                  <a:graphicData uri="http://schemas.microsoft.com/office/word/2010/wordprocessingShape">
                    <wps:wsp>
                      <wps:cNvSpPr/>
                      <wps:nvSpPr>
                        <wps:cNvPr id="5" name=""/>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b/>
          <w:bCs/>
          <w:lang w:val="en-AU" w:eastAsia="en-AU"/>
        </w:rPr>
      </w:pPr>
      <w:r>
        <w:rPr>
          <w:b/>
          <w:bCs/>
          <w:lang w:val="en-AU" w:eastAsia="en-AU"/>
        </w:rPr>
        <w:t>Key Contestability Considerations</w:t>
      </w:r>
    </w:p>
    <w:p>
      <w:pPr>
        <w:pStyle w:val="Normal"/>
        <w:numPr>
          <w:ilvl w:val="0"/>
          <w:numId w:val="10"/>
        </w:numPr>
        <w:rPr>
          <w:lang w:val="en-AU" w:eastAsia="en-AU"/>
        </w:rPr>
      </w:pPr>
      <w:r>
        <w:rPr>
          <w:b/>
          <w:bCs/>
          <w:lang w:val="en-AU" w:eastAsia="en-AU"/>
        </w:rPr>
        <w:t>Notification of AI use:</w:t>
      </w:r>
      <w:r>
        <w:rPr>
          <w:lang w:val="en-AU" w:eastAsia="en-AU"/>
        </w:rPr>
        <w:t xml:space="preserve"> Affected individuals are notified via {{ faira_form.A3_4 | format_list }}, influencing their awareness of when AI-supported decisions may be contested.</w:t>
      </w:r>
    </w:p>
    <w:p>
      <w:pPr>
        <w:pStyle w:val="Normal"/>
        <w:numPr>
          <w:ilvl w:val="0"/>
          <w:numId w:val="10"/>
        </w:numPr>
        <w:rPr>
          <w:lang w:val="en-AU" w:eastAsia="en-AU"/>
        </w:rPr>
      </w:pPr>
      <w:r>
        <w:rPr>
          <w:b/>
          <w:bCs/>
          <w:lang w:val="en-AU" w:eastAsia="en-AU"/>
        </w:rPr>
        <w:t>Availability of challenge mechanisms:</w:t>
      </w:r>
      <w:r>
        <w:rPr>
          <w:lang w:val="en-AU" w:eastAsia="en-AU"/>
        </w:rPr>
        <w:t xml:space="preserve"> </w:t>
      </w:r>
      <w:r>
        <w:rPr>
          <w:highlight w:val="yellow"/>
          <w:lang w:val="en-AU" w:eastAsia="en-AU"/>
        </w:rPr>
        <w:t>Mechanisms to request review or challenge outcomes were assessed as {{ faira_form.B7_1 }}.</w:t>
      </w:r>
    </w:p>
    <w:p>
      <w:pPr>
        <w:pStyle w:val="Normal"/>
        <w:numPr>
          <w:ilvl w:val="0"/>
          <w:numId w:val="10"/>
        </w:numPr>
        <w:rPr>
          <w:lang w:val="en-AU" w:eastAsia="en-AU"/>
        </w:rPr>
      </w:pPr>
      <w:r>
        <w:rPr>
          <w:b/>
          <w:bCs/>
          <w:lang w:val="en-AU" w:eastAsia="en-AU"/>
        </w:rPr>
        <w:t>Human intervention:</w:t>
      </w:r>
      <w:r>
        <w:rPr>
          <w:lang w:val="en-AU" w:eastAsia="en-AU"/>
        </w:rPr>
        <w:t xml:space="preserve"> The expected response time for a human review or escalation for contested decisions was assessed as {{ faira_form.B7_2 }}.</w:t>
      </w:r>
    </w:p>
    <w:p>
      <w:pPr>
        <w:pStyle w:val="Normal"/>
        <w:numPr>
          <w:ilvl w:val="0"/>
          <w:numId w:val="10"/>
        </w:numPr>
        <w:rPr>
          <w:lang w:val="en-AU" w:eastAsia="en-AU"/>
        </w:rPr>
      </w:pPr>
      <w:r>
        <w:rPr>
          <w:b/>
          <w:bCs/>
          <w:lang w:val="en-AU" w:eastAsia="en-AU"/>
        </w:rPr>
        <w:t>Governance support:</w:t>
      </w:r>
      <w:r>
        <w:rPr>
          <w:lang w:val="en-AU" w:eastAsia="en-AU"/>
        </w:rPr>
        <w:t xml:space="preserve"> Governance or procedural arrangements were assessed as occuring on a {{ faira_form.A5_4 }} basis.</w:t>
      </w:r>
    </w:p>
    <w:p>
      <w:pPr>
        <w:pStyle w:val="Normal"/>
        <w:rPr>
          <w:b/>
          <w:bCs/>
          <w:lang w:eastAsia="en-AU"/>
        </w:rPr>
      </w:pPr>
      <w:r>
        <w:rPr>
          <w:b/>
          <w:bCs/>
          <w:lang w:eastAsia="en-AU"/>
        </w:rPr>
        <w:t>FAIRA Domain Risk Profile — Contestability</w:t>
      </w:r>
    </w:p>
    <w:tbl>
      <w:tblPr>
        <w:tblW w:w="9016" w:type="dxa"/>
        <w:jc w:val="start"/>
        <w:tblInd w:w="0" w:type="dxa"/>
        <w:tblLayout w:type="fixed"/>
        <w:tblCellMar>
          <w:top w:w="43" w:type="dxa"/>
          <w:start w:w="43" w:type="dxa"/>
          <w:bottom w:w="43" w:type="dxa"/>
          <w:end w:w="43" w:type="dxa"/>
        </w:tblCellMar>
        <w:tblLook w:firstRow="1" w:noVBand="1" w:lastRow="0" w:firstColumn="1" w:lastColumn="0" w:noHBand="0" w:val="04a0"/>
      </w:tblPr>
      <w:tblGrid>
        <w:gridCol w:w="2028"/>
        <w:gridCol w:w="3367"/>
        <w:gridCol w:w="3621"/>
      </w:tblGrid>
      <w:tr>
        <w:trPr>
          <w:tblHeader w:val="true"/>
        </w:trPr>
        <w:tc>
          <w:tcPr>
            <w:tcW w:w="2028" w:type="dxa"/>
            <w:tcBorders>
              <w:top w:val="single" w:sz="4" w:space="0" w:color="000000"/>
              <w:start w:val="single" w:sz="4" w:space="0" w:color="000000"/>
              <w:bottom w:val="single" w:sz="4" w:space="0" w:color="000000"/>
              <w:end w:val="single" w:sz="4" w:space="0" w:color="000000"/>
            </w:tcBorders>
            <w:shd w:color="auto" w:fill="D9D9D9" w:themeFill="background1" w:themeFillShade="d9" w:val="clear"/>
          </w:tcPr>
          <w:p>
            <w:pPr>
              <w:pStyle w:val="Normal"/>
              <w:spacing w:before="0" w:after="160"/>
              <w:rPr>
                <w:b/>
                <w:bCs/>
                <w:sz w:val="20"/>
                <w:szCs w:val="20"/>
                <w:lang w:val="en-AU" w:eastAsia="en-AU"/>
              </w:rPr>
            </w:pPr>
            <w:r>
              <w:rPr>
                <w:b/>
                <w:bCs/>
                <w:sz w:val="20"/>
                <w:szCs w:val="20"/>
                <w:lang w:val="en-AU" w:eastAsia="en-AU"/>
              </w:rPr>
              <w:t>Measure</w:t>
            </w:r>
          </w:p>
        </w:tc>
        <w:tc>
          <w:tcPr>
            <w:tcW w:w="3367" w:type="dxa"/>
            <w:tcBorders>
              <w:top w:val="single" w:sz="4" w:space="0" w:color="000000"/>
              <w:start w:val="single" w:sz="4" w:space="0" w:color="000000"/>
              <w:bottom w:val="single" w:sz="4" w:space="0" w:color="000000"/>
              <w:end w:val="single" w:sz="4" w:space="0" w:color="000000"/>
            </w:tcBorders>
            <w:shd w:color="auto" w:fill="D9D9D9" w:themeFill="background1" w:themeFillShade="d9" w:val="clear"/>
          </w:tcPr>
          <w:p>
            <w:pPr>
              <w:pStyle w:val="Normal"/>
              <w:spacing w:before="0" w:after="160"/>
              <w:rPr>
                <w:b/>
                <w:bCs/>
                <w:sz w:val="20"/>
                <w:szCs w:val="20"/>
                <w:lang w:val="en-AU" w:eastAsia="en-AU"/>
              </w:rPr>
            </w:pPr>
            <w:r>
              <w:rPr>
                <w:b/>
                <w:bCs/>
                <w:sz w:val="20"/>
                <w:szCs w:val="20"/>
                <w:lang w:val="en-AU" w:eastAsia="en-AU"/>
              </w:rPr>
              <w:t>Score</w:t>
            </w:r>
          </w:p>
        </w:tc>
        <w:tc>
          <w:tcPr>
            <w:tcW w:w="3621" w:type="dxa"/>
            <w:tcBorders>
              <w:top w:val="single" w:sz="4" w:space="0" w:color="000000"/>
              <w:start w:val="single" w:sz="4" w:space="0" w:color="000000"/>
              <w:bottom w:val="single" w:sz="4" w:space="0" w:color="000000"/>
              <w:end w:val="single" w:sz="4" w:space="0" w:color="000000"/>
            </w:tcBorders>
            <w:shd w:color="auto" w:fill="D9D9D9" w:themeFill="background1" w:themeFillShade="d9" w:val="clear"/>
          </w:tcPr>
          <w:p>
            <w:pPr>
              <w:pStyle w:val="Normal"/>
              <w:spacing w:before="0" w:after="160"/>
              <w:rPr>
                <w:b/>
                <w:bCs/>
                <w:sz w:val="20"/>
                <w:szCs w:val="20"/>
                <w:lang w:val="en-AU" w:eastAsia="en-AU"/>
              </w:rPr>
            </w:pPr>
            <w:r>
              <w:rPr>
                <w:b/>
                <w:bCs/>
                <w:sz w:val="20"/>
                <w:szCs w:val="20"/>
                <w:lang w:val="en-AU" w:eastAsia="en-AU"/>
              </w:rPr>
              <w:t>Interpretation</w:t>
            </w:r>
          </w:p>
        </w:tc>
      </w:tr>
      <w:tr>
        <w:trPr/>
        <w:tc>
          <w:tcPr>
            <w:tcW w:w="2028" w:type="dxa"/>
            <w:tcBorders>
              <w:top w:val="single" w:sz="4" w:space="0" w:color="000000"/>
              <w:start w:val="single" w:sz="4" w:space="0" w:color="000000"/>
              <w:bottom w:val="single" w:sz="4" w:space="0" w:color="000000"/>
              <w:end w:val="single" w:sz="4" w:space="0" w:color="000000"/>
            </w:tcBorders>
          </w:tcPr>
          <w:p>
            <w:pPr>
              <w:pStyle w:val="Normal"/>
              <w:spacing w:before="0" w:after="160"/>
              <w:rPr>
                <w:sz w:val="20"/>
                <w:szCs w:val="20"/>
                <w:lang w:val="en-AU" w:eastAsia="en-AU"/>
              </w:rPr>
            </w:pPr>
            <w:r>
              <w:rPr>
                <w:sz w:val="20"/>
                <w:szCs w:val="20"/>
                <w:lang w:val="en-AU" w:eastAsia="en-AU"/>
              </w:rPr>
              <w:t>Impact</w:t>
            </w:r>
          </w:p>
        </w:tc>
        <w:tc>
          <w:tcPr>
            <w:tcW w:w="3367" w:type="dxa"/>
            <w:tcBorders>
              <w:top w:val="single" w:sz="4" w:space="0" w:color="000000"/>
              <w:start w:val="single" w:sz="4" w:space="0" w:color="000000"/>
              <w:bottom w:val="single" w:sz="4" w:space="0" w:color="000000"/>
              <w:end w:val="single" w:sz="4" w:space="0" w:color="000000"/>
            </w:tcBorders>
          </w:tcPr>
          <w:p>
            <w:pPr>
              <w:pStyle w:val="Normal"/>
              <w:spacing w:before="0" w:after="160"/>
              <w:rPr>
                <w:sz w:val="20"/>
                <w:szCs w:val="20"/>
                <w:lang w:val="en-AU" w:eastAsia="en-AU"/>
              </w:rPr>
            </w:pPr>
            <w:r>
              <w:rPr>
                <w:sz w:val="20"/>
                <w:szCs w:val="20"/>
                <w:lang w:val="en-AU" w:eastAsia="en-AU"/>
              </w:rPr>
              <w:t>{{domain_scores.Contestability.Impact}}</w:t>
            </w:r>
          </w:p>
        </w:tc>
        <w:tc>
          <w:tcPr>
            <w:tcW w:w="3621" w:type="dxa"/>
            <w:tcBorders>
              <w:top w:val="single" w:sz="4" w:space="0" w:color="000000"/>
              <w:start w:val="single" w:sz="4" w:space="0" w:color="000000"/>
              <w:bottom w:val="single" w:sz="4" w:space="0" w:color="000000"/>
              <w:end w:val="single" w:sz="4" w:space="0" w:color="000000"/>
            </w:tcBorders>
          </w:tcPr>
          <w:p>
            <w:pPr>
              <w:pStyle w:val="Normal"/>
              <w:spacing w:before="0" w:after="160"/>
              <w:rPr>
                <w:sz w:val="20"/>
                <w:szCs w:val="20"/>
                <w:lang w:val="en-AU" w:eastAsia="en-AU"/>
              </w:rPr>
            </w:pPr>
            <w:r>
              <w:rPr>
                <w:sz w:val="20"/>
                <w:szCs w:val="20"/>
                <w:lang w:val="en-AU" w:eastAsia="en-AU"/>
              </w:rPr>
              <w:t>Severity of potential harm arising from limited ability to contest outcomes</w:t>
            </w:r>
          </w:p>
        </w:tc>
      </w:tr>
      <w:tr>
        <w:trPr/>
        <w:tc>
          <w:tcPr>
            <w:tcW w:w="2028" w:type="dxa"/>
            <w:tcBorders>
              <w:top w:val="single" w:sz="4" w:space="0" w:color="000000"/>
              <w:start w:val="single" w:sz="4" w:space="0" w:color="000000"/>
              <w:bottom w:val="single" w:sz="4" w:space="0" w:color="000000"/>
              <w:end w:val="single" w:sz="4" w:space="0" w:color="000000"/>
            </w:tcBorders>
          </w:tcPr>
          <w:p>
            <w:pPr>
              <w:pStyle w:val="Normal"/>
              <w:spacing w:before="0" w:after="160"/>
              <w:rPr>
                <w:sz w:val="20"/>
                <w:szCs w:val="20"/>
                <w:lang w:val="en-AU" w:eastAsia="en-AU"/>
              </w:rPr>
            </w:pPr>
            <w:r>
              <w:rPr>
                <w:sz w:val="20"/>
                <w:szCs w:val="20"/>
                <w:lang w:val="en-AU" w:eastAsia="en-AU"/>
              </w:rPr>
              <w:t>Likelihood</w:t>
            </w:r>
          </w:p>
        </w:tc>
        <w:tc>
          <w:tcPr>
            <w:tcW w:w="3367" w:type="dxa"/>
            <w:tcBorders>
              <w:top w:val="single" w:sz="4" w:space="0" w:color="000000"/>
              <w:start w:val="single" w:sz="4" w:space="0" w:color="000000"/>
              <w:bottom w:val="single" w:sz="4" w:space="0" w:color="000000"/>
              <w:end w:val="single" w:sz="4" w:space="0" w:color="000000"/>
            </w:tcBorders>
          </w:tcPr>
          <w:p>
            <w:pPr>
              <w:pStyle w:val="Normal"/>
              <w:spacing w:before="0" w:after="160"/>
              <w:rPr>
                <w:sz w:val="20"/>
                <w:szCs w:val="20"/>
                <w:lang w:val="en-AU" w:eastAsia="en-AU"/>
              </w:rPr>
            </w:pPr>
            <w:r>
              <w:rPr>
                <w:sz w:val="20"/>
                <w:szCs w:val="20"/>
                <w:lang w:val="en-AU" w:eastAsia="en-AU"/>
              </w:rPr>
              <w:t>{{domain_scores.Contestability.Likelihood}}</w:t>
            </w:r>
          </w:p>
        </w:tc>
        <w:tc>
          <w:tcPr>
            <w:tcW w:w="3621" w:type="dxa"/>
            <w:tcBorders>
              <w:top w:val="single" w:sz="4" w:space="0" w:color="000000"/>
              <w:start w:val="single" w:sz="4" w:space="0" w:color="000000"/>
              <w:bottom w:val="single" w:sz="4" w:space="0" w:color="000000"/>
              <w:end w:val="single" w:sz="4" w:space="0" w:color="000000"/>
            </w:tcBorders>
          </w:tcPr>
          <w:p>
            <w:pPr>
              <w:pStyle w:val="Normal"/>
              <w:spacing w:before="0" w:after="160"/>
              <w:rPr>
                <w:sz w:val="20"/>
                <w:szCs w:val="20"/>
                <w:lang w:val="en-AU" w:eastAsia="en-AU"/>
              </w:rPr>
            </w:pPr>
            <w:r>
              <w:rPr>
                <w:sz w:val="20"/>
                <w:szCs w:val="20"/>
                <w:lang w:val="en-AU" w:eastAsia="en-AU"/>
              </w:rPr>
              <w:t>Probability that contestability limitations may affect affected parties</w:t>
            </w:r>
          </w:p>
        </w:tc>
      </w:tr>
      <w:tr>
        <w:trPr/>
        <w:tc>
          <w:tcPr>
            <w:tcW w:w="2028" w:type="dxa"/>
            <w:tcBorders>
              <w:top w:val="single" w:sz="4" w:space="0" w:color="000000"/>
              <w:start w:val="single" w:sz="4" w:space="0" w:color="000000"/>
              <w:bottom w:val="single" w:sz="4" w:space="0" w:color="000000"/>
              <w:end w:val="single" w:sz="4" w:space="0" w:color="000000"/>
            </w:tcBorders>
          </w:tcPr>
          <w:p>
            <w:pPr>
              <w:pStyle w:val="Normal"/>
              <w:spacing w:before="0" w:after="160"/>
              <w:rPr>
                <w:sz w:val="20"/>
                <w:szCs w:val="20"/>
                <w:lang w:val="en-AU" w:eastAsia="en-AU"/>
              </w:rPr>
            </w:pPr>
            <w:r>
              <w:rPr>
                <w:sz w:val="20"/>
                <w:szCs w:val="20"/>
                <w:lang w:val="en-AU" w:eastAsia="en-AU"/>
              </w:rPr>
              <w:t>Baseline exposure (context only)</w:t>
            </w:r>
          </w:p>
        </w:tc>
        <w:tc>
          <w:tcPr>
            <w:tcW w:w="3367" w:type="dxa"/>
            <w:tcBorders>
              <w:top w:val="single" w:sz="4" w:space="0" w:color="000000"/>
              <w:start w:val="single" w:sz="4" w:space="0" w:color="000000"/>
              <w:bottom w:val="single" w:sz="4" w:space="0" w:color="000000"/>
              <w:end w:val="single" w:sz="4" w:space="0" w:color="000000"/>
            </w:tcBorders>
          </w:tcPr>
          <w:p>
            <w:pPr>
              <w:pStyle w:val="Normal"/>
              <w:spacing w:before="0" w:after="160"/>
              <w:rPr>
                <w:sz w:val="20"/>
                <w:szCs w:val="20"/>
                <w:lang w:val="en-AU" w:eastAsia="en-AU"/>
              </w:rPr>
            </w:pPr>
            <w:r>
              <w:rPr>
                <w:sz w:val="20"/>
                <w:szCs w:val="20"/>
                <w:lang w:val="en-AU" w:eastAsia="en-AU"/>
              </w:rPr>
              <w:t>{{domain_scores.Contestability.Inherent_Risk}}</w:t>
            </w:r>
          </w:p>
        </w:tc>
        <w:tc>
          <w:tcPr>
            <w:tcW w:w="3621" w:type="dxa"/>
            <w:tcBorders>
              <w:top w:val="single" w:sz="4" w:space="0" w:color="000000"/>
              <w:start w:val="single" w:sz="4" w:space="0" w:color="000000"/>
              <w:bottom w:val="single" w:sz="4" w:space="0" w:color="000000"/>
              <w:end w:val="single" w:sz="4" w:space="0" w:color="000000"/>
            </w:tcBorders>
          </w:tcPr>
          <w:p>
            <w:pPr>
              <w:pStyle w:val="Normal"/>
              <w:spacing w:before="0" w:after="160"/>
              <w:rPr>
                <w:sz w:val="20"/>
                <w:szCs w:val="20"/>
                <w:lang w:val="en-AU" w:eastAsia="en-AU"/>
              </w:rPr>
            </w:pPr>
            <w:r>
              <w:rPr>
                <w:sz w:val="20"/>
                <w:szCs w:val="20"/>
                <w:lang w:val="en-AU" w:eastAsia="en-AU"/>
              </w:rPr>
              <w:t>Contextual reference only — not interpreted</w:t>
            </w:r>
          </w:p>
        </w:tc>
      </w:tr>
      <w:tr>
        <w:trPr/>
        <w:tc>
          <w:tcPr>
            <w:tcW w:w="2028" w:type="dxa"/>
            <w:tcBorders>
              <w:top w:val="single" w:sz="4" w:space="0" w:color="000000"/>
              <w:start w:val="single" w:sz="4" w:space="0" w:color="000000"/>
              <w:bottom w:val="single" w:sz="4" w:space="0" w:color="000000"/>
              <w:end w:val="single" w:sz="4" w:space="0" w:color="000000"/>
            </w:tcBorders>
          </w:tcPr>
          <w:p>
            <w:pPr>
              <w:pStyle w:val="Normal"/>
              <w:spacing w:before="0" w:after="160"/>
              <w:rPr>
                <w:sz w:val="20"/>
                <w:szCs w:val="20"/>
                <w:lang w:val="en-AU" w:eastAsia="en-AU"/>
              </w:rPr>
            </w:pPr>
            <w:r>
              <w:rPr>
                <w:sz w:val="20"/>
                <w:szCs w:val="20"/>
                <w:lang w:val="en-AU" w:eastAsia="en-AU"/>
              </w:rPr>
              <w:t>Control effectiveness</w:t>
            </w:r>
          </w:p>
        </w:tc>
        <w:tc>
          <w:tcPr>
            <w:tcW w:w="3367" w:type="dxa"/>
            <w:tcBorders>
              <w:top w:val="single" w:sz="4" w:space="0" w:color="000000"/>
              <w:start w:val="single" w:sz="4" w:space="0" w:color="000000"/>
              <w:bottom w:val="single" w:sz="4" w:space="0" w:color="000000"/>
              <w:end w:val="single" w:sz="4" w:space="0" w:color="000000"/>
            </w:tcBorders>
          </w:tcPr>
          <w:p>
            <w:pPr>
              <w:pStyle w:val="Normal"/>
              <w:spacing w:before="0" w:after="160"/>
              <w:rPr>
                <w:sz w:val="20"/>
                <w:szCs w:val="20"/>
                <w:lang w:val="en-AU" w:eastAsia="en-AU"/>
              </w:rPr>
            </w:pPr>
            <w:r>
              <w:rPr>
                <w:sz w:val="20"/>
                <w:szCs w:val="20"/>
                <w:lang w:val="en-AU" w:eastAsia="en-AU"/>
              </w:rPr>
              <w:t>{{domain_scores.Contestability.Control_Effectiveness}}</w:t>
            </w:r>
          </w:p>
        </w:tc>
        <w:tc>
          <w:tcPr>
            <w:tcW w:w="3621" w:type="dxa"/>
            <w:tcBorders>
              <w:top w:val="single" w:sz="4" w:space="0" w:color="000000"/>
              <w:start w:val="single" w:sz="4" w:space="0" w:color="000000"/>
              <w:bottom w:val="single" w:sz="4" w:space="0" w:color="000000"/>
              <w:end w:val="single" w:sz="4" w:space="0" w:color="000000"/>
            </w:tcBorders>
          </w:tcPr>
          <w:p>
            <w:pPr>
              <w:pStyle w:val="Normal"/>
              <w:spacing w:before="0" w:after="160"/>
              <w:rPr>
                <w:sz w:val="20"/>
                <w:szCs w:val="20"/>
                <w:lang w:val="en-AU" w:eastAsia="en-AU"/>
              </w:rPr>
            </w:pPr>
            <w:r>
              <w:rPr>
                <w:sz w:val="20"/>
                <w:szCs w:val="20"/>
                <w:lang w:val="en-AU" w:eastAsia="en-AU"/>
              </w:rPr>
              <w:t>Strength of existing review and escalation mechanisms</w:t>
            </w:r>
          </w:p>
        </w:tc>
      </w:tr>
      <w:tr>
        <w:trPr/>
        <w:tc>
          <w:tcPr>
            <w:tcW w:w="2028" w:type="dxa"/>
            <w:tcBorders>
              <w:top w:val="single" w:sz="4" w:space="0" w:color="000000"/>
              <w:start w:val="single" w:sz="4" w:space="0" w:color="000000"/>
              <w:bottom w:val="single" w:sz="4" w:space="0" w:color="000000"/>
              <w:end w:val="single" w:sz="4" w:space="0" w:color="000000"/>
            </w:tcBorders>
          </w:tcPr>
          <w:p>
            <w:pPr>
              <w:pStyle w:val="Normal"/>
              <w:spacing w:before="0" w:after="160"/>
              <w:rPr>
                <w:sz w:val="20"/>
                <w:szCs w:val="20"/>
                <w:lang w:val="en-AU" w:eastAsia="en-AU"/>
              </w:rPr>
            </w:pPr>
            <w:r>
              <w:rPr>
                <w:b/>
                <w:bCs/>
                <w:sz w:val="20"/>
                <w:szCs w:val="20"/>
                <w:lang w:val="en-AU" w:eastAsia="en-AU"/>
              </w:rPr>
              <w:t>Residual risk</w:t>
            </w:r>
          </w:p>
        </w:tc>
        <w:tc>
          <w:tcPr>
            <w:tcW w:w="3367" w:type="dxa"/>
            <w:tcBorders>
              <w:top w:val="single" w:sz="4" w:space="0" w:color="000000"/>
              <w:start w:val="single" w:sz="4" w:space="0" w:color="000000"/>
              <w:bottom w:val="single" w:sz="4" w:space="0" w:color="000000"/>
              <w:end w:val="single" w:sz="4" w:space="0" w:color="000000"/>
            </w:tcBorders>
          </w:tcPr>
          <w:p>
            <w:pPr>
              <w:pStyle w:val="Normal"/>
              <w:spacing w:before="0" w:after="160"/>
              <w:rPr>
                <w:sz w:val="20"/>
                <w:szCs w:val="20"/>
                <w:lang w:val="en-AU" w:eastAsia="en-AU"/>
              </w:rPr>
            </w:pPr>
            <w:r>
              <w:rPr>
                <w:b/>
                <w:bCs/>
                <w:sz w:val="20"/>
                <w:szCs w:val="20"/>
                <w:lang w:val="en-AU" w:eastAsia="en-AU"/>
              </w:rPr>
              <w:t>{{domain_scores.Contestability.Risk}}</w:t>
            </w:r>
          </w:p>
        </w:tc>
        <w:tc>
          <w:tcPr>
            <w:tcW w:w="3621" w:type="dxa"/>
            <w:tcBorders>
              <w:top w:val="single" w:sz="4" w:space="0" w:color="000000"/>
              <w:start w:val="single" w:sz="4" w:space="0" w:color="000000"/>
              <w:bottom w:val="single" w:sz="4" w:space="0" w:color="000000"/>
              <w:end w:val="single" w:sz="4" w:space="0" w:color="000000"/>
            </w:tcBorders>
          </w:tcPr>
          <w:p>
            <w:pPr>
              <w:pStyle w:val="Normal"/>
              <w:keepNext w:val="true"/>
              <w:spacing w:before="0" w:after="160"/>
              <w:rPr>
                <w:sz w:val="20"/>
                <w:szCs w:val="20"/>
                <w:lang w:val="en-AU" w:eastAsia="en-AU"/>
              </w:rPr>
            </w:pPr>
            <w:r>
              <w:rPr>
                <w:sz w:val="20"/>
                <w:szCs w:val="20"/>
                <w:lang w:val="en-AU" w:eastAsia="en-AU"/>
              </w:rPr>
              <w:t>Ongoing contestability-related risk requiring consideration</w:t>
            </w:r>
          </w:p>
        </w:tc>
      </w:tr>
    </w:tbl>
    <w:p>
      <w:pPr>
        <w:pStyle w:val="Caption"/>
        <w:rPr/>
      </w:pPr>
      <w:bookmarkStart w:id="18" w:name="_Toc220351605"/>
      <w:r>
        <w:rPr/>
        <w:t xml:space="preserve">Table </w:t>
      </w:r>
      <w:r>
        <w:rPr/>
        <w:fldChar w:fldCharType="begin"/>
      </w:r>
      <w:r>
        <w:rPr/>
        <w:instrText xml:space="preserve"> SEQ Table \* ARABIC </w:instrText>
      </w:r>
      <w:r>
        <w:rPr/>
        <w:fldChar w:fldCharType="separate"/>
      </w:r>
      <w:r>
        <w:rPr/>
        <w:t>7</w:t>
      </w:r>
      <w:r>
        <w:rPr/>
        <w:fldChar w:fldCharType="end"/>
      </w:r>
      <w:r>
        <w:rPr/>
        <w:t xml:space="preserve"> - Contestability FAIRA domain risk profile</w:t>
      </w:r>
      <w:bookmarkEnd w:id="18"/>
    </w:p>
    <w:p>
      <w:pPr>
        <w:pStyle w:val="Normal"/>
        <w:rPr>
          <w:b/>
          <w:bCs/>
          <w:lang w:val="en-AU" w:eastAsia="en-AU"/>
        </w:rPr>
      </w:pPr>
      <w:r>
        <w:rPr>
          <w:b/>
          <w:bCs/>
        </w:rPr>
        <w:t>Contestability process for AI-supported outcomes</w:t>
      </w:r>
    </w:p>
    <w:tbl>
      <w:tblPr>
        <w:tblW w:w="5000" w:type="pct"/>
        <w:jc w:val="start"/>
        <w:tblInd w:w="0" w:type="dxa"/>
        <w:tblLayout w:type="fixed"/>
        <w:tblCellMar>
          <w:top w:w="43" w:type="dxa"/>
          <w:start w:w="43" w:type="dxa"/>
          <w:bottom w:w="43" w:type="dxa"/>
          <w:end w:w="43" w:type="dxa"/>
        </w:tblCellMar>
        <w:tblLook w:firstRow="1" w:noVBand="1" w:lastRow="0" w:firstColumn="1" w:lastColumn="0" w:noHBand="0" w:val="04a0"/>
      </w:tblPr>
      <w:tblGrid>
        <w:gridCol w:w="3242"/>
        <w:gridCol w:w="5784"/>
      </w:tblGrid>
      <w:tr>
        <w:trPr>
          <w:tblHeader w:val="true"/>
        </w:trPr>
        <w:tc>
          <w:tcPr>
            <w:tcW w:w="3242" w:type="dxa"/>
            <w:tcBorders>
              <w:top w:val="single" w:sz="4" w:space="0" w:color="000000"/>
              <w:start w:val="single" w:sz="4" w:space="0" w:color="000000"/>
              <w:bottom w:val="single" w:sz="4" w:space="0" w:color="000000"/>
              <w:end w:val="single" w:sz="4" w:space="0" w:color="000000"/>
            </w:tcBorders>
            <w:shd w:color="auto" w:fill="D9D9D9" w:themeFill="background1" w:themeFillShade="d9" w:val="clear"/>
          </w:tcPr>
          <w:p>
            <w:pPr>
              <w:pStyle w:val="Normal"/>
              <w:spacing w:before="0" w:after="160"/>
              <w:rPr>
                <w:b/>
                <w:bCs/>
                <w:sz w:val="20"/>
                <w:szCs w:val="20"/>
                <w:lang w:val="en-AU" w:eastAsia="en-AU"/>
              </w:rPr>
            </w:pPr>
            <w:r>
              <w:rPr>
                <w:b/>
                <w:bCs/>
                <w:sz w:val="20"/>
                <w:szCs w:val="20"/>
                <w:lang w:val="en-AU" w:eastAsia="en-AU"/>
              </w:rPr>
              <w:t>Aspect</w:t>
            </w:r>
          </w:p>
        </w:tc>
        <w:tc>
          <w:tcPr>
            <w:tcW w:w="5784" w:type="dxa"/>
            <w:tcBorders>
              <w:top w:val="single" w:sz="4" w:space="0" w:color="000000"/>
              <w:start w:val="single" w:sz="4" w:space="0" w:color="000000"/>
              <w:bottom w:val="single" w:sz="4" w:space="0" w:color="000000"/>
              <w:end w:val="single" w:sz="4" w:space="0" w:color="000000"/>
            </w:tcBorders>
            <w:shd w:color="auto" w:fill="D9D9D9" w:themeFill="background1" w:themeFillShade="d9" w:val="clear"/>
          </w:tcPr>
          <w:p>
            <w:pPr>
              <w:pStyle w:val="Normal"/>
              <w:spacing w:before="0" w:after="160"/>
              <w:rPr>
                <w:b/>
                <w:bCs/>
                <w:sz w:val="20"/>
                <w:szCs w:val="20"/>
                <w:lang w:val="en-AU" w:eastAsia="en-AU"/>
              </w:rPr>
            </w:pPr>
            <w:r>
              <w:rPr>
                <w:b/>
                <w:bCs/>
                <w:sz w:val="20"/>
                <w:szCs w:val="20"/>
                <w:lang w:val="en-AU" w:eastAsia="en-AU"/>
              </w:rPr>
              <w:t>Description</w:t>
            </w:r>
          </w:p>
        </w:tc>
      </w:tr>
      <w:tr>
        <w:trPr/>
        <w:tc>
          <w:tcPr>
            <w:tcW w:w="3242" w:type="dxa"/>
            <w:tcBorders>
              <w:top w:val="single" w:sz="4" w:space="0" w:color="000000"/>
              <w:start w:val="single" w:sz="4" w:space="0" w:color="000000"/>
              <w:bottom w:val="single" w:sz="4" w:space="0" w:color="000000"/>
              <w:end w:val="single" w:sz="4" w:space="0" w:color="000000"/>
            </w:tcBorders>
          </w:tcPr>
          <w:p>
            <w:pPr>
              <w:pStyle w:val="Normal"/>
              <w:spacing w:before="0" w:after="160"/>
              <w:rPr>
                <w:sz w:val="20"/>
                <w:szCs w:val="20"/>
                <w:highlight w:val="green"/>
                <w:lang w:val="en-AU" w:eastAsia="en-AU"/>
              </w:rPr>
            </w:pPr>
            <w:r>
              <w:rPr>
                <w:sz w:val="20"/>
                <w:szCs w:val="20"/>
                <w:highlight w:val="green"/>
              </w:rPr>
              <w:t>Contestability process for AI-supported outcomes (B7.1)</w:t>
            </w:r>
          </w:p>
        </w:tc>
        <w:tc>
          <w:tcPr>
            <w:tcW w:w="5784" w:type="dxa"/>
            <w:tcBorders>
              <w:top w:val="single" w:sz="4" w:space="0" w:color="000000"/>
              <w:start w:val="single" w:sz="4" w:space="0" w:color="000000"/>
              <w:bottom w:val="single" w:sz="4" w:space="0" w:color="000000"/>
              <w:end w:val="single" w:sz="4" w:space="0" w:color="000000"/>
            </w:tcBorders>
          </w:tcPr>
          <w:p>
            <w:pPr>
              <w:pStyle w:val="Normal"/>
              <w:rPr>
                <w:sz w:val="20"/>
                <w:szCs w:val="20"/>
                <w:highlight w:val="green"/>
              </w:rPr>
            </w:pPr>
            <w:r>
              <w:rPr>
                <w:sz w:val="20"/>
                <w:szCs w:val="20"/>
                <w:highlight w:val="green"/>
              </w:rPr>
              <w:t>{%p if faira_form.B7_1 == "Yes" %}</w:t>
            </w:r>
          </w:p>
          <w:p>
            <w:pPr>
              <w:pStyle w:val="ListParagraph"/>
              <w:numPr>
                <w:ilvl w:val="0"/>
                <w:numId w:val="15"/>
              </w:numPr>
              <w:spacing w:before="60" w:after="60"/>
              <w:contextualSpacing w:val="false"/>
              <w:rPr>
                <w:sz w:val="20"/>
                <w:szCs w:val="20"/>
                <w:highlight w:val="green"/>
              </w:rPr>
            </w:pPr>
            <w:r>
              <w:rPr>
                <w:sz w:val="20"/>
                <w:szCs w:val="20"/>
                <w:highlight w:val="green"/>
              </w:rPr>
              <w:t xml:space="preserve">Initiators: {{ faira_form.B7_1_initiators | format_list if faira_form.B7_1_initiators else "not specified" }}; </w:t>
            </w:r>
          </w:p>
          <w:p>
            <w:pPr>
              <w:pStyle w:val="ListParagraph"/>
              <w:numPr>
                <w:ilvl w:val="0"/>
                <w:numId w:val="15"/>
              </w:numPr>
              <w:spacing w:before="60" w:after="60"/>
              <w:contextualSpacing w:val="false"/>
              <w:rPr>
                <w:sz w:val="20"/>
                <w:szCs w:val="20"/>
                <w:highlight w:val="green"/>
              </w:rPr>
            </w:pPr>
            <w:r>
              <w:rPr>
                <w:sz w:val="20"/>
                <w:szCs w:val="20"/>
                <w:highlight w:val="green"/>
              </w:rPr>
              <w:t>Channels: {{ faira_form.B7_1_channels | format_list if faira_form.B7_1_channels else "not specified" }}</w:t>
            </w:r>
          </w:p>
          <w:p>
            <w:pPr>
              <w:pStyle w:val="ListParagraph"/>
              <w:numPr>
                <w:ilvl w:val="0"/>
                <w:numId w:val="15"/>
              </w:numPr>
              <w:spacing w:before="60" w:after="60"/>
              <w:contextualSpacing w:val="false"/>
              <w:rPr>
                <w:sz w:val="20"/>
                <w:szCs w:val="20"/>
                <w:highlight w:val="green"/>
              </w:rPr>
            </w:pPr>
            <w:r>
              <w:rPr>
                <w:sz w:val="20"/>
                <w:szCs w:val="20"/>
                <w:highlight w:val="green"/>
              </w:rPr>
              <w:t>Review process: {{ faira_form.B7_1_review_process | format_list if faira_form.B7_1_review_process else "not specified" }}</w:t>
            </w:r>
          </w:p>
          <w:p>
            <w:pPr>
              <w:pStyle w:val="ListParagraph"/>
              <w:numPr>
                <w:ilvl w:val="0"/>
                <w:numId w:val="15"/>
              </w:numPr>
              <w:spacing w:before="60" w:after="60"/>
              <w:contextualSpacing w:val="false"/>
              <w:rPr>
                <w:sz w:val="20"/>
                <w:szCs w:val="20"/>
                <w:highlight w:val="green"/>
              </w:rPr>
            </w:pPr>
            <w:r>
              <w:rPr>
                <w:sz w:val="20"/>
                <w:szCs w:val="20"/>
                <w:highlight w:val="green"/>
              </w:rPr>
              <w:t>Review inputs: {{ faira_form.B7_1_review_inputs | format_list if faira_form.B7_1_review_inputs else "not specified" }}</w:t>
            </w:r>
          </w:p>
          <w:p>
            <w:pPr>
              <w:pStyle w:val="ListParagraph"/>
              <w:numPr>
                <w:ilvl w:val="0"/>
                <w:numId w:val="15"/>
              </w:numPr>
              <w:spacing w:before="60" w:after="60"/>
              <w:contextualSpacing w:val="false"/>
              <w:rPr>
                <w:sz w:val="20"/>
                <w:szCs w:val="20"/>
                <w:highlight w:val="green"/>
              </w:rPr>
            </w:pPr>
            <w:r>
              <w:rPr>
                <w:sz w:val="20"/>
                <w:szCs w:val="20"/>
                <w:highlight w:val="green"/>
              </w:rPr>
              <w:t xml:space="preserve">Outcome change: {{ faira_form.B7_1_outcome_change if faira_form.B7_1_outcome_change else "not specified" }}{% if faira_form.B7_1_describe %} </w:t>
            </w:r>
          </w:p>
          <w:p>
            <w:pPr>
              <w:pStyle w:val="ListParagraph"/>
              <w:keepNext w:val="true"/>
              <w:numPr>
                <w:ilvl w:val="0"/>
                <w:numId w:val="15"/>
              </w:numPr>
              <w:spacing w:before="60" w:after="60"/>
              <w:contextualSpacing w:val="false"/>
              <w:rPr>
                <w:sz w:val="20"/>
                <w:szCs w:val="20"/>
                <w:highlight w:val="green"/>
                <w:lang w:val="en-AU" w:eastAsia="en-AU"/>
              </w:rPr>
            </w:pPr>
            <w:r>
              <w:rPr>
                <w:sz w:val="20"/>
                <w:szCs w:val="20"/>
                <w:highlight w:val="green"/>
              </w:rPr>
              <w:t>Notes: {{ faira_form.B7_1_describe }}{% endif %}{% elif faira_form.B7_1 == "No" %}No{%p else %}Not specified</w:t>
            </w:r>
          </w:p>
          <w:p>
            <w:pPr>
              <w:pStyle w:val="ListParagraph"/>
              <w:keepNext w:val="true"/>
              <w:spacing w:before="60" w:after="60"/>
              <w:ind w:start="360"/>
              <w:contextualSpacing w:val="false"/>
              <w:rPr>
                <w:sz w:val="20"/>
                <w:szCs w:val="20"/>
                <w:highlight w:val="green"/>
                <w:lang w:val="en-AU" w:eastAsia="en-AU"/>
              </w:rPr>
            </w:pPr>
            <w:r>
              <w:rPr>
                <w:sz w:val="20"/>
                <w:szCs w:val="20"/>
                <w:highlight w:val="green"/>
              </w:rPr>
              <w:t>{%p endif %}</w:t>
            </w:r>
          </w:p>
        </w:tc>
      </w:tr>
    </w:tbl>
    <w:p>
      <w:pPr>
        <w:pStyle w:val="Caption"/>
        <w:rPr>
          <w:b/>
          <w:bCs/>
          <w:lang w:val="en-AU" w:eastAsia="en-AU"/>
        </w:rPr>
      </w:pPr>
      <w:r>
        <w:rPr/>
        <w:t xml:space="preserve">Table </w:t>
      </w:r>
      <w:r>
        <w:rPr/>
        <w:fldChar w:fldCharType="begin"/>
      </w:r>
      <w:r>
        <w:rPr/>
        <w:instrText xml:space="preserve"> SEQ Table \* ARABIC </w:instrText>
      </w:r>
      <w:r>
        <w:rPr/>
        <w:fldChar w:fldCharType="separate"/>
      </w:r>
      <w:r>
        <w:rPr/>
        <w:t>8</w:t>
      </w:r>
      <w:r>
        <w:rPr/>
        <w:fldChar w:fldCharType="end"/>
      </w:r>
      <w:r>
        <w:rPr/>
        <w:t xml:space="preserve"> - Contestability process for AI-supported outcomes</w:t>
      </w:r>
    </w:p>
    <w:p>
      <w:pPr>
        <w:pStyle w:val="Normal"/>
        <w:rPr>
          <w:b/>
          <w:bCs/>
          <w:lang w:val="en-AU" w:eastAsia="en-AU"/>
        </w:rPr>
      </w:pPr>
      <w:r>
        <w:rPr>
          <w:b/>
          <w:bCs/>
          <w:lang w:val="en-AU" w:eastAsia="en-AU"/>
        </w:rPr>
        <w:t>Domain Interpretation</w:t>
      </w:r>
    </w:p>
    <w:p>
      <w:pPr>
        <w:pStyle w:val="Normal"/>
        <w:rPr>
          <w:lang w:val="en-AU" w:eastAsia="en-AU"/>
        </w:rPr>
      </w:pPr>
      <w:r>
        <w:rPr>
          <w:lang w:val="en-AU" w:eastAsia="en-AU"/>
        </w:rPr>
        <w:t>Contestability risks relate to the practical ability of individuals or groups to question, challenge, or seek review of AI-supported decisions that affect them. Such risks may arise where contestation pathways are unclear, inaccessible, or insufficiently responsive, even where decisions are accurate or well-intentioned.</w:t>
      </w:r>
    </w:p>
    <w:p>
      <w:pPr>
        <w:pStyle w:val="Normal"/>
        <w:rPr>
          <w:lang w:val="en-AU" w:eastAsia="en-AU"/>
        </w:rPr>
      </w:pPr>
      <w:r>
        <w:rPr>
          <w:lang w:val="en-AU" w:eastAsia="en-AU"/>
        </w:rPr>
        <w:t>This domain should be interpreted as an indicator of how effectively affected parties can engage with decision-making processes, rather than as a measure of the presence or quality of formal procedures alone. Contestability considerations are closely linked to transparency, accountability, and human oversight, and may evolve as system use, scale, or stakeholder expectations change.</w:t>
      </w:r>
    </w:p>
    <w:p>
      <w:pPr>
        <w:pStyle w:val="Normal"/>
        <w:rPr>
          <w:b/>
          <w:bCs/>
          <w:lang w:val="en-AU" w:eastAsia="en-AU"/>
        </w:rPr>
      </w:pPr>
      <w:r>
        <w:rPr>
          <w:b/>
          <w:bCs/>
          <w:lang w:val="en-AU" w:eastAsia="en-AU"/>
        </w:rPr>
        <w:t>What would change this score?</w:t>
      </w:r>
    </w:p>
    <w:p>
      <w:pPr>
        <w:pStyle w:val="Normal"/>
        <w:rPr>
          <w:lang w:val="en-AU" w:eastAsia="en-AU"/>
        </w:rPr>
      </w:pPr>
      <w:r>
        <w:rPr>
          <w:lang w:eastAsia="en-AU"/>
        </w:rPr>
        <w:t>The factors below represent governance, operational, or design changes that are likely to materially influence the assessed risk level for this domain over time. These factors are illustrative and should be considered in the context of the system's operating environment and risk appetite.</w:t>
      </w:r>
    </w:p>
    <w:p>
      <w:pPr>
        <w:pStyle w:val="Normal"/>
        <w:numPr>
          <w:ilvl w:val="0"/>
          <w:numId w:val="16"/>
        </w:numPr>
        <w:spacing w:before="60" w:after="60"/>
        <w:rPr>
          <w:lang w:val="en-AU" w:eastAsia="en-AU"/>
        </w:rPr>
      </w:pPr>
      <w:r>
        <w:rPr>
          <w:lang w:val="en-AU" w:eastAsia="en-AU"/>
        </w:rPr>
        <w:t>Establishment of clear, accessible processes for individuals or groups to challenge or seek review of AI-supported outcomes.</w:t>
      </w:r>
    </w:p>
    <w:p>
      <w:pPr>
        <w:pStyle w:val="Normal"/>
        <w:numPr>
          <w:ilvl w:val="0"/>
          <w:numId w:val="16"/>
        </w:numPr>
        <w:spacing w:before="60" w:after="60"/>
        <w:rPr>
          <w:lang w:val="en-AU" w:eastAsia="en-AU"/>
        </w:rPr>
      </w:pPr>
      <w:r>
        <w:rPr>
          <w:lang w:val="en-AU" w:eastAsia="en-AU"/>
        </w:rPr>
        <w:t>Defined service levels or timeframes for responding to challenges or review requests.</w:t>
      </w:r>
    </w:p>
    <w:p>
      <w:pPr>
        <w:pStyle w:val="Normal"/>
        <w:numPr>
          <w:ilvl w:val="0"/>
          <w:numId w:val="16"/>
        </w:numPr>
        <w:spacing w:before="60" w:after="60"/>
        <w:rPr>
          <w:lang w:val="en-AU" w:eastAsia="en-AU"/>
        </w:rPr>
      </w:pPr>
      <w:r>
        <w:rPr>
          <w:lang w:val="en-AU" w:eastAsia="en-AU"/>
        </w:rPr>
        <w:t>Availability of human review or override for contested decisions where appropriate.</w:t>
      </w:r>
    </w:p>
    <w:p>
      <w:pPr>
        <w:pStyle w:val="Normal"/>
        <w:numPr>
          <w:ilvl w:val="0"/>
          <w:numId w:val="16"/>
        </w:numPr>
        <w:spacing w:before="60" w:after="60"/>
        <w:rPr>
          <w:lang w:val="en-AU" w:eastAsia="en-AU"/>
        </w:rPr>
      </w:pPr>
      <w:r>
        <w:rPr>
          <w:lang w:val="en-AU" w:eastAsia="en-AU"/>
        </w:rPr>
        <w:t>Clear communication to affected parties about how and when decisions can be challenged.</w:t>
      </w:r>
    </w:p>
    <w:p>
      <w:pPr>
        <w:pStyle w:val="Normal"/>
        <w:numPr>
          <w:ilvl w:val="0"/>
          <w:numId w:val="16"/>
        </w:numPr>
        <w:spacing w:before="60" w:after="60"/>
        <w:rPr>
          <w:lang w:val="en-AU" w:eastAsia="en-AU"/>
        </w:rPr>
      </w:pPr>
      <w:r>
        <w:rPr>
          <w:lang w:val="en-AU" w:eastAsia="en-AU"/>
        </w:rPr>
        <w:t>Evidence that contestability processes are actively used, monitored, and improved over time.</w:t>
      </w:r>
    </w:p>
    <w:p>
      <w:pPr>
        <w:pStyle w:val="Normal"/>
        <w:rPr>
          <w:lang w:val="en-AU" w:eastAsia="en-AU"/>
        </w:rPr>
      </w:pPr>
      <w:r>
        <w:rPr>
          <w:lang w:val="en-AU" w:eastAsia="en-AU"/>
        </w:rPr>
      </w:r>
    </w:p>
    <w:p>
      <w:pPr>
        <w:pStyle w:val="Heading02"/>
        <w:numPr>
          <w:ilvl w:val="1"/>
          <w:numId w:val="1"/>
        </w:numPr>
        <w:ind w:hanging="432" w:start="432"/>
        <w:rPr>
          <w:lang w:val="en-AU" w:eastAsia="en-AU"/>
        </w:rPr>
      </w:pPr>
      <w:bookmarkStart w:id="19" w:name="_Toc220351606"/>
      <w:r>
        <w:rPr>
          <w:lang w:val="en-AU" w:eastAsia="en-AU"/>
        </w:rPr>
        <w:t>Fairness</w:t>
      </w:r>
      <w:bookmarkEnd w:id="19"/>
    </w:p>
    <w:p>
      <w:pPr>
        <w:pStyle w:val="Normal"/>
        <w:rPr>
          <w:lang w:val="en-AU" w:eastAsia="en-AU"/>
        </w:rPr>
      </w:pPr>
      <w:r>
        <w:rPr>
          <w:lang w:val="en-AU" w:eastAsia="en-AU"/>
        </w:rPr>
        <w:t>This domain examines the extent to which the AI system may produce unfair, biased, or discriminatory outcomes, particularly where such outcomes may affect individuals or groups differently based on protected, sensitive, or proxy characteristics. It focuses on identifying risks associated with data bias, model behaviour, decision logic, and deployment context that could lead to inequitable treatment or outcomes.</w:t>
      </w:r>
    </w:p>
    <w:p>
      <w:pPr>
        <w:pStyle w:val="Normal"/>
        <w:rPr>
          <w:lang w:val="en-AU" w:eastAsia="en-AU"/>
        </w:rPr>
      </w:pPr>
      <w:r>
        <w:rPr>
          <w:lang w:val="en-AU" w:eastAsia="en-AU"/>
        </w:rPr>
        <w:t>The assessment considers both direct and indirect fairness risks, including those arising from historical data, proxy variables, feedback loops, and population shifts over time. The presence of fairness-related controls or mitigation measures is considered, but the assessment does not assume that the absence of identified bias equates to fairness in practice.</w:t>
      </w:r>
    </w:p>
    <w:p>
      <w:pPr>
        <w:pStyle w:val="Normal"/>
        <w:rPr>
          <w:lang w:val="en-AU" w:eastAsia="en-AU"/>
        </w:rPr>
      </w:pPr>
      <w:r>
        <w:rPr>
          <w:lang w:val="en-AU" w:eastAsia="en-AU"/>
        </w:rPr>
        <w:t xml:space="preserve">For the Fairness domain, the assessed </w:t>
      </w:r>
      <w:r>
        <w:rPr>
          <w:b/>
          <w:bCs/>
          <w:lang w:val="en-AU" w:eastAsia="en-AU"/>
        </w:rPr>
        <w:t>impact score</w:t>
      </w:r>
      <w:r>
        <w:rPr>
          <w:lang w:val="en-AU" w:eastAsia="en-AU"/>
        </w:rPr>
        <w:t xml:space="preserve"> was </w:t>
      </w:r>
      <w:r>
        <w:rPr>
          <w:b/>
          <w:bCs/>
          <w:lang w:val="en-AU" w:eastAsia="en-AU"/>
        </w:rPr>
        <w:t>{{ domain_scores.Fairness.Impact }}</w:t>
      </w:r>
      <w:r>
        <w:rPr>
          <w:lang w:val="en-AU" w:eastAsia="en-AU"/>
        </w:rPr>
        <w:t xml:space="preserve">, reflecting the potential severity of harm should unfair or discriminatory outcomes occur. The </w:t>
      </w:r>
      <w:r>
        <w:rPr>
          <w:b/>
          <w:bCs/>
          <w:lang w:val="en-AU" w:eastAsia="en-AU"/>
        </w:rPr>
        <w:t>likelihood score</w:t>
      </w:r>
      <w:r>
        <w:rPr>
          <w:lang w:val="en-AU" w:eastAsia="en-AU"/>
        </w:rPr>
        <w:t xml:space="preserve"> was assessed as </w:t>
      </w:r>
      <w:r>
        <w:rPr>
          <w:b/>
          <w:bCs/>
          <w:lang w:val="en-AU" w:eastAsia="en-AU"/>
        </w:rPr>
        <w:t>{{ domain_scores.Fairness.Likelihood }}</w:t>
      </w:r>
      <w:r>
        <w:rPr>
          <w:lang w:val="en-AU" w:eastAsia="en-AU"/>
        </w:rPr>
        <w:t>, informed by factors such as the diversity and representativeness of training data ({{ faira_form.B3_2 }}), the presence of identified bias risks ({{ faira_form.B3_3 | format_list }}), and the degree of human oversight applied to outcomes ({{ faira_form.A1_7 }}).</w:t>
      </w:r>
    </w:p>
    <w:p>
      <w:pPr>
        <w:pStyle w:val="Normal"/>
        <w:rPr>
          <w:lang w:val="en-AU" w:eastAsia="en-AU"/>
        </w:rPr>
      </w:pPr>
      <w:r>
        <w:rPr>
          <w:lang w:val="en-AU" w:eastAsia="en-AU"/>
        </w:rPr>
        <w:t xml:space="preserve">The </w:t>
      </w:r>
      <w:r>
        <w:rPr>
          <w:b/>
          <w:bCs/>
          <w:lang w:val="en-AU" w:eastAsia="en-AU"/>
        </w:rPr>
        <w:t>effectiveness</w:t>
      </w:r>
      <w:r>
        <w:rPr>
          <w:lang w:val="en-AU" w:eastAsia="en-AU"/>
        </w:rPr>
        <w:t xml:space="preserve"> of existing controls relevant to this domain was assessed as </w:t>
      </w:r>
      <w:r>
        <w:rPr>
          <w:b/>
          <w:bCs/>
          <w:lang w:val="en-AU" w:eastAsia="en-AU"/>
        </w:rPr>
        <w:t>{{ domain_scores.Fairness.Control_Effectiveness }}</w:t>
      </w:r>
      <w:r>
        <w:rPr>
          <w:lang w:val="en-AU" w:eastAsia="en-AU"/>
        </w:rPr>
        <w:t xml:space="preserve">, taking into account fairness testing, monitoring mechanisms, governance oversight, and processes intended to identify or mitigate bias ({{ faira_form.A5_6 | format_list }}). After accounting for these controls, the resulting </w:t>
      </w:r>
      <w:r>
        <w:rPr>
          <w:b/>
          <w:bCs/>
          <w:lang w:val="en-AU" w:eastAsia="en-AU"/>
        </w:rPr>
        <w:t>residual domain risk score</w:t>
      </w:r>
      <w:r>
        <w:rPr>
          <w:lang w:val="en-AU" w:eastAsia="en-AU"/>
        </w:rPr>
        <w:t xml:space="preserve"> is </w:t>
      </w:r>
      <w:r>
        <w:rPr>
          <w:b/>
          <w:bCs/>
          <w:lang w:val="en-AU" w:eastAsia="en-AU"/>
        </w:rPr>
        <w:t>{{ domain_scores.Fairness.Risk }}</w:t>
      </w:r>
      <w:r>
        <w:rPr>
          <w:lang w:val="en-AU" w:eastAsia="en-AU"/>
        </w:rPr>
        <w:t>.</w:t>
      </w:r>
    </w:p>
    <w:p>
      <w:pPr>
        <w:pStyle w:val="Normal"/>
        <w:rPr>
          <w:lang w:val="en-AU" w:eastAsia="en-AU"/>
        </w:rPr>
      </w:pPr>
      <w:r>
        <w:rPr>
          <w:lang w:val="en-AU" w:eastAsia="en-AU"/>
        </w:rPr>
        <w:t xml:space="preserve">These results represent </w:t>
      </w:r>
      <w:r>
        <w:rPr>
          <w:b/>
          <w:bCs/>
          <w:lang w:val="en-AU" w:eastAsia="en-AU"/>
        </w:rPr>
        <w:t>residual risk</w:t>
      </w:r>
      <w:r>
        <w:rPr>
          <w:lang w:val="en-AU" w:eastAsia="en-AU"/>
        </w:rPr>
        <w:t>, indicating the extent to which potential fairness-related harms may persist under current operating conditions and governance arrangements.</w:t>
      </w:r>
    </w:p>
    <w:p>
      <w:pPr>
        <w:pStyle w:val="Normal"/>
        <w:rPr>
          <w:lang w:val="en-AU" w:eastAsia="en-AU"/>
        </w:rPr>
      </w:pPr>
      <w:r>
        <w:rPr/>
        <mc:AlternateContent>
          <mc:Choice Requires="wps">
            <w:drawing>
              <wp:inline distT="0" distB="0" distL="0" distR="0">
                <wp:extent cx="5731510" cy="19050"/>
                <wp:effectExtent l="0" t="0" r="0" b="0"/>
                <wp:docPr id="6" name=""/>
                <a:graphic xmlns:a="http://schemas.openxmlformats.org/drawingml/2006/main">
                  <a:graphicData uri="http://schemas.microsoft.com/office/word/2010/wordprocessingShape">
                    <wps:wsp>
                      <wps:cNvSpPr/>
                      <wps:nvSpPr>
                        <wps:cNvPr id="7" name=""/>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b/>
          <w:bCs/>
          <w:lang w:val="en-AU" w:eastAsia="en-AU"/>
        </w:rPr>
      </w:pPr>
      <w:r>
        <w:rPr>
          <w:b/>
          <w:bCs/>
          <w:lang w:val="en-AU" w:eastAsia="en-AU"/>
        </w:rPr>
        <w:t>Key Fairness Considerations</w:t>
      </w:r>
    </w:p>
    <w:p>
      <w:pPr>
        <w:pStyle w:val="Normal"/>
        <w:numPr>
          <w:ilvl w:val="0"/>
          <w:numId w:val="7"/>
        </w:numPr>
        <w:rPr>
          <w:lang w:val="en-AU" w:eastAsia="en-AU"/>
        </w:rPr>
      </w:pPr>
      <w:r>
        <w:rPr>
          <w:b/>
          <w:bCs/>
          <w:lang w:val="en-AU" w:eastAsia="en-AU"/>
        </w:rPr>
        <w:t>Affected groups:</w:t>
      </w:r>
      <w:r>
        <w:rPr>
          <w:lang w:val="en-AU" w:eastAsia="en-AU"/>
        </w:rPr>
        <w:t xml:space="preserve"> Potentially impacted groups include {{ faira_form.A3_3 | format_list }}, particularly where system outcomes may differ across populations.</w:t>
      </w:r>
    </w:p>
    <w:p>
      <w:pPr>
        <w:pStyle w:val="Normal"/>
        <w:numPr>
          <w:ilvl w:val="0"/>
          <w:numId w:val="7"/>
        </w:numPr>
        <w:rPr>
          <w:lang w:val="en-AU" w:eastAsia="en-AU"/>
        </w:rPr>
      </w:pPr>
      <w:r>
        <w:rPr>
          <w:b/>
          <w:bCs/>
          <w:lang w:val="en-AU" w:eastAsia="en-AU"/>
        </w:rPr>
        <w:t>Identified bias risks:</w:t>
      </w:r>
      <w:r>
        <w:rPr>
          <w:lang w:val="en-AU" w:eastAsia="en-AU"/>
        </w:rPr>
        <w:t xml:space="preserve"> The assessment identified the following potential sources of bias or unfairness: {{ faira_form.B3_3 | format_list if faira_form.B3_3 else "no specific bias sources identified" }}.</w:t>
      </w:r>
    </w:p>
    <w:p>
      <w:pPr>
        <w:pStyle w:val="Normal"/>
        <w:numPr>
          <w:ilvl w:val="0"/>
          <w:numId w:val="7"/>
        </w:numPr>
        <w:rPr>
          <w:lang w:val="en-AU" w:eastAsia="en-AU"/>
        </w:rPr>
      </w:pPr>
      <w:r>
        <w:rPr>
          <w:b/>
          <w:bCs/>
          <w:lang w:val="en-AU" w:eastAsia="en-AU"/>
        </w:rPr>
        <w:t>Data considerations:</w:t>
      </w:r>
      <w:r>
        <w:rPr>
          <w:lang w:val="en-AU" w:eastAsia="en-AU"/>
        </w:rPr>
        <w:t xml:space="preserve"> The representativeness and quality of data used to support system decisions were assessed as {{ faira_form.B3_2 }}, contributing to the likelihood of fairness-related impacts.</w:t>
      </w:r>
    </w:p>
    <w:p>
      <w:pPr>
        <w:pStyle w:val="Normal"/>
        <w:numPr>
          <w:ilvl w:val="0"/>
          <w:numId w:val="7"/>
        </w:numPr>
        <w:rPr>
          <w:lang w:val="en-AU" w:eastAsia="en-AU"/>
        </w:rPr>
      </w:pPr>
      <w:r>
        <w:rPr>
          <w:b/>
          <w:bCs/>
          <w:lang w:val="en-AU" w:eastAsia="en-AU"/>
        </w:rPr>
        <w:t>Oversight mechanisms:</w:t>
      </w:r>
      <w:r>
        <w:rPr>
          <w:lang w:val="en-AU" w:eastAsia="en-AU"/>
        </w:rPr>
        <w:t xml:space="preserve"> Human review or intervention in decision-making was assessed as {{ faira_form.A1_7 }}, influencing the system's ability to detect and respond to unfair outcomes.</w:t>
      </w:r>
    </w:p>
    <w:p>
      <w:pPr>
        <w:pStyle w:val="Normal"/>
        <w:rPr>
          <w:b/>
          <w:bCs/>
          <w:lang w:eastAsia="en-AU"/>
        </w:rPr>
      </w:pPr>
      <w:r>
        <w:rPr>
          <w:b/>
          <w:bCs/>
          <w:lang w:eastAsia="en-AU"/>
        </w:rPr>
        <w:t>FAIRA Domain Risk Profile — Fairness</w:t>
      </w:r>
    </w:p>
    <w:tbl>
      <w:tblPr>
        <w:tblW w:w="9016" w:type="dxa"/>
        <w:jc w:val="start"/>
        <w:tblInd w:w="0" w:type="dxa"/>
        <w:tblLayout w:type="fixed"/>
        <w:tblCellMar>
          <w:top w:w="43" w:type="dxa"/>
          <w:start w:w="43" w:type="dxa"/>
          <w:bottom w:w="43" w:type="dxa"/>
          <w:end w:w="43" w:type="dxa"/>
        </w:tblCellMar>
        <w:tblLook w:firstRow="1" w:noVBand="1" w:lastRow="0" w:firstColumn="1" w:lastColumn="0" w:noHBand="0" w:val="04a0"/>
      </w:tblPr>
      <w:tblGrid>
        <w:gridCol w:w="1795"/>
        <w:gridCol w:w="2759"/>
        <w:gridCol w:w="4462"/>
      </w:tblGrid>
      <w:tr>
        <w:trPr>
          <w:tblHeader w:val="true"/>
        </w:trPr>
        <w:tc>
          <w:tcPr>
            <w:tcW w:w="1795" w:type="dxa"/>
            <w:tcBorders>
              <w:top w:val="single" w:sz="4" w:space="0" w:color="000000"/>
              <w:start w:val="single" w:sz="4" w:space="0" w:color="000000"/>
              <w:bottom w:val="single" w:sz="4" w:space="0" w:color="000000"/>
              <w:end w:val="single" w:sz="4" w:space="0" w:color="000000"/>
            </w:tcBorders>
            <w:shd w:color="auto" w:fill="D9D9D9" w:themeFill="background1" w:themeFillShade="d9" w:val="clear"/>
          </w:tcPr>
          <w:p>
            <w:pPr>
              <w:pStyle w:val="Normal"/>
              <w:spacing w:before="0" w:after="160"/>
              <w:rPr>
                <w:b/>
                <w:bCs/>
                <w:sz w:val="20"/>
                <w:szCs w:val="20"/>
                <w:lang w:val="en-AU" w:eastAsia="en-AU"/>
              </w:rPr>
            </w:pPr>
            <w:r>
              <w:rPr>
                <w:b/>
                <w:bCs/>
                <w:sz w:val="20"/>
                <w:szCs w:val="20"/>
                <w:lang w:val="en-AU" w:eastAsia="en-AU"/>
              </w:rPr>
              <w:t>Measure</w:t>
            </w:r>
          </w:p>
        </w:tc>
        <w:tc>
          <w:tcPr>
            <w:tcW w:w="2759" w:type="dxa"/>
            <w:tcBorders>
              <w:top w:val="single" w:sz="4" w:space="0" w:color="000000"/>
              <w:start w:val="single" w:sz="4" w:space="0" w:color="000000"/>
              <w:bottom w:val="single" w:sz="4" w:space="0" w:color="000000"/>
              <w:end w:val="single" w:sz="4" w:space="0" w:color="000000"/>
            </w:tcBorders>
            <w:shd w:color="auto" w:fill="D9D9D9" w:themeFill="background1" w:themeFillShade="d9" w:val="clear"/>
          </w:tcPr>
          <w:p>
            <w:pPr>
              <w:pStyle w:val="Normal"/>
              <w:spacing w:before="0" w:after="160"/>
              <w:rPr>
                <w:b/>
                <w:bCs/>
                <w:sz w:val="20"/>
                <w:szCs w:val="20"/>
                <w:lang w:val="en-AU" w:eastAsia="en-AU"/>
              </w:rPr>
            </w:pPr>
            <w:r>
              <w:rPr>
                <w:b/>
                <w:bCs/>
                <w:sz w:val="20"/>
                <w:szCs w:val="20"/>
                <w:lang w:val="en-AU" w:eastAsia="en-AU"/>
              </w:rPr>
              <w:t>Score</w:t>
            </w:r>
          </w:p>
        </w:tc>
        <w:tc>
          <w:tcPr>
            <w:tcW w:w="4462" w:type="dxa"/>
            <w:tcBorders>
              <w:top w:val="single" w:sz="4" w:space="0" w:color="000000"/>
              <w:start w:val="single" w:sz="4" w:space="0" w:color="000000"/>
              <w:bottom w:val="single" w:sz="4" w:space="0" w:color="000000"/>
              <w:end w:val="single" w:sz="4" w:space="0" w:color="000000"/>
            </w:tcBorders>
            <w:shd w:color="auto" w:fill="D9D9D9" w:themeFill="background1" w:themeFillShade="d9" w:val="clear"/>
          </w:tcPr>
          <w:p>
            <w:pPr>
              <w:pStyle w:val="Normal"/>
              <w:spacing w:before="0" w:after="160"/>
              <w:rPr>
                <w:b/>
                <w:bCs/>
                <w:sz w:val="20"/>
                <w:szCs w:val="20"/>
                <w:lang w:val="en-AU" w:eastAsia="en-AU"/>
              </w:rPr>
            </w:pPr>
            <w:r>
              <w:rPr>
                <w:b/>
                <w:bCs/>
                <w:sz w:val="20"/>
                <w:szCs w:val="20"/>
                <w:lang w:val="en-AU" w:eastAsia="en-AU"/>
              </w:rPr>
              <w:t>Interpretation</w:t>
            </w:r>
          </w:p>
        </w:tc>
      </w:tr>
      <w:tr>
        <w:trPr/>
        <w:tc>
          <w:tcPr>
            <w:tcW w:w="1795" w:type="dxa"/>
            <w:tcBorders>
              <w:top w:val="single" w:sz="4" w:space="0" w:color="000000"/>
              <w:start w:val="single" w:sz="4" w:space="0" w:color="000000"/>
              <w:bottom w:val="single" w:sz="4" w:space="0" w:color="000000"/>
              <w:end w:val="single" w:sz="4" w:space="0" w:color="000000"/>
            </w:tcBorders>
          </w:tcPr>
          <w:p>
            <w:pPr>
              <w:pStyle w:val="Normal"/>
              <w:spacing w:before="0" w:after="160"/>
              <w:rPr>
                <w:sz w:val="20"/>
                <w:szCs w:val="20"/>
                <w:lang w:val="en-AU" w:eastAsia="en-AU"/>
              </w:rPr>
            </w:pPr>
            <w:r>
              <w:rPr>
                <w:sz w:val="20"/>
                <w:szCs w:val="20"/>
                <w:lang w:val="en-AU" w:eastAsia="en-AU"/>
              </w:rPr>
              <w:t>Impact</w:t>
            </w:r>
          </w:p>
        </w:tc>
        <w:tc>
          <w:tcPr>
            <w:tcW w:w="2759" w:type="dxa"/>
            <w:tcBorders>
              <w:top w:val="single" w:sz="4" w:space="0" w:color="000000"/>
              <w:start w:val="single" w:sz="4" w:space="0" w:color="000000"/>
              <w:bottom w:val="single" w:sz="4" w:space="0" w:color="000000"/>
              <w:end w:val="single" w:sz="4" w:space="0" w:color="000000"/>
            </w:tcBorders>
          </w:tcPr>
          <w:p>
            <w:pPr>
              <w:pStyle w:val="Normal"/>
              <w:spacing w:before="0" w:after="160"/>
              <w:rPr>
                <w:sz w:val="20"/>
                <w:szCs w:val="20"/>
                <w:lang w:val="en-AU" w:eastAsia="en-AU"/>
              </w:rPr>
            </w:pPr>
            <w:r>
              <w:rPr>
                <w:sz w:val="20"/>
                <w:szCs w:val="20"/>
                <w:lang w:val="en-AU" w:eastAsia="en-AU"/>
              </w:rPr>
              <w:t>{{domain_scores.Fairness.Impact}}</w:t>
            </w:r>
          </w:p>
        </w:tc>
        <w:tc>
          <w:tcPr>
            <w:tcW w:w="4462" w:type="dxa"/>
            <w:tcBorders>
              <w:top w:val="single" w:sz="4" w:space="0" w:color="000000"/>
              <w:start w:val="single" w:sz="4" w:space="0" w:color="000000"/>
              <w:bottom w:val="single" w:sz="4" w:space="0" w:color="000000"/>
              <w:end w:val="single" w:sz="4" w:space="0" w:color="000000"/>
            </w:tcBorders>
          </w:tcPr>
          <w:p>
            <w:pPr>
              <w:pStyle w:val="Normal"/>
              <w:spacing w:before="0" w:after="160"/>
              <w:rPr>
                <w:sz w:val="20"/>
                <w:szCs w:val="20"/>
                <w:lang w:val="en-AU" w:eastAsia="en-AU"/>
              </w:rPr>
            </w:pPr>
            <w:r>
              <w:rPr>
                <w:sz w:val="20"/>
                <w:szCs w:val="20"/>
                <w:lang w:val="en-AU" w:eastAsia="en-AU"/>
              </w:rPr>
              <w:t>Severity of potential harm arising from unfair or discriminatory outcomes</w:t>
            </w:r>
          </w:p>
        </w:tc>
      </w:tr>
      <w:tr>
        <w:trPr/>
        <w:tc>
          <w:tcPr>
            <w:tcW w:w="1795" w:type="dxa"/>
            <w:tcBorders>
              <w:top w:val="single" w:sz="4" w:space="0" w:color="000000"/>
              <w:start w:val="single" w:sz="4" w:space="0" w:color="000000"/>
              <w:bottom w:val="single" w:sz="4" w:space="0" w:color="000000"/>
              <w:end w:val="single" w:sz="4" w:space="0" w:color="000000"/>
            </w:tcBorders>
          </w:tcPr>
          <w:p>
            <w:pPr>
              <w:pStyle w:val="Normal"/>
              <w:spacing w:before="0" w:after="160"/>
              <w:rPr>
                <w:sz w:val="20"/>
                <w:szCs w:val="20"/>
                <w:lang w:val="en-AU" w:eastAsia="en-AU"/>
              </w:rPr>
            </w:pPr>
            <w:r>
              <w:rPr>
                <w:sz w:val="20"/>
                <w:szCs w:val="20"/>
                <w:lang w:val="en-AU" w:eastAsia="en-AU"/>
              </w:rPr>
              <w:t>Likelihood</w:t>
            </w:r>
          </w:p>
        </w:tc>
        <w:tc>
          <w:tcPr>
            <w:tcW w:w="2759" w:type="dxa"/>
            <w:tcBorders>
              <w:top w:val="single" w:sz="4" w:space="0" w:color="000000"/>
              <w:start w:val="single" w:sz="4" w:space="0" w:color="000000"/>
              <w:bottom w:val="single" w:sz="4" w:space="0" w:color="000000"/>
              <w:end w:val="single" w:sz="4" w:space="0" w:color="000000"/>
            </w:tcBorders>
          </w:tcPr>
          <w:p>
            <w:pPr>
              <w:pStyle w:val="Normal"/>
              <w:spacing w:before="0" w:after="160"/>
              <w:rPr>
                <w:sz w:val="20"/>
                <w:szCs w:val="20"/>
                <w:lang w:val="en-AU" w:eastAsia="en-AU"/>
              </w:rPr>
            </w:pPr>
            <w:r>
              <w:rPr>
                <w:sz w:val="20"/>
                <w:szCs w:val="20"/>
                <w:lang w:val="en-AU" w:eastAsia="en-AU"/>
              </w:rPr>
              <w:t>{{domain_scores.Fairness.Likelihood}}</w:t>
            </w:r>
          </w:p>
        </w:tc>
        <w:tc>
          <w:tcPr>
            <w:tcW w:w="4462" w:type="dxa"/>
            <w:tcBorders>
              <w:top w:val="single" w:sz="4" w:space="0" w:color="000000"/>
              <w:start w:val="single" w:sz="4" w:space="0" w:color="000000"/>
              <w:bottom w:val="single" w:sz="4" w:space="0" w:color="000000"/>
              <w:end w:val="single" w:sz="4" w:space="0" w:color="000000"/>
            </w:tcBorders>
          </w:tcPr>
          <w:p>
            <w:pPr>
              <w:pStyle w:val="Normal"/>
              <w:spacing w:before="0" w:after="160"/>
              <w:rPr>
                <w:sz w:val="20"/>
                <w:szCs w:val="20"/>
                <w:lang w:val="en-AU" w:eastAsia="en-AU"/>
              </w:rPr>
            </w:pPr>
            <w:r>
              <w:rPr>
                <w:sz w:val="20"/>
                <w:szCs w:val="20"/>
                <w:lang w:val="en-AU" w:eastAsia="en-AU"/>
              </w:rPr>
              <w:t>Probability that fairness-related harms may occur</w:t>
            </w:r>
          </w:p>
        </w:tc>
      </w:tr>
      <w:tr>
        <w:trPr/>
        <w:tc>
          <w:tcPr>
            <w:tcW w:w="1795" w:type="dxa"/>
            <w:tcBorders>
              <w:top w:val="single" w:sz="4" w:space="0" w:color="000000"/>
              <w:start w:val="single" w:sz="4" w:space="0" w:color="000000"/>
              <w:bottom w:val="single" w:sz="4" w:space="0" w:color="000000"/>
              <w:end w:val="single" w:sz="4" w:space="0" w:color="000000"/>
            </w:tcBorders>
          </w:tcPr>
          <w:p>
            <w:pPr>
              <w:pStyle w:val="Normal"/>
              <w:spacing w:before="0" w:after="160"/>
              <w:rPr>
                <w:sz w:val="20"/>
                <w:szCs w:val="20"/>
                <w:lang w:val="en-AU" w:eastAsia="en-AU"/>
              </w:rPr>
            </w:pPr>
            <w:r>
              <w:rPr>
                <w:sz w:val="20"/>
                <w:szCs w:val="20"/>
                <w:lang w:val="en-AU" w:eastAsia="en-AU"/>
              </w:rPr>
              <w:t>Baseline exposure (context only)</w:t>
            </w:r>
          </w:p>
        </w:tc>
        <w:tc>
          <w:tcPr>
            <w:tcW w:w="2759" w:type="dxa"/>
            <w:tcBorders>
              <w:top w:val="single" w:sz="4" w:space="0" w:color="000000"/>
              <w:start w:val="single" w:sz="4" w:space="0" w:color="000000"/>
              <w:bottom w:val="single" w:sz="4" w:space="0" w:color="000000"/>
              <w:end w:val="single" w:sz="4" w:space="0" w:color="000000"/>
            </w:tcBorders>
          </w:tcPr>
          <w:p>
            <w:pPr>
              <w:pStyle w:val="Normal"/>
              <w:spacing w:before="0" w:after="160"/>
              <w:rPr>
                <w:sz w:val="20"/>
                <w:szCs w:val="20"/>
                <w:lang w:val="en-AU" w:eastAsia="en-AU"/>
              </w:rPr>
            </w:pPr>
            <w:r>
              <w:rPr>
                <w:sz w:val="20"/>
                <w:szCs w:val="20"/>
                <w:lang w:val="en-AU" w:eastAsia="en-AU"/>
              </w:rPr>
              <w:t>{{domain_scores.Fairness.Inherent_Risk}}</w:t>
            </w:r>
          </w:p>
        </w:tc>
        <w:tc>
          <w:tcPr>
            <w:tcW w:w="4462" w:type="dxa"/>
            <w:tcBorders>
              <w:top w:val="single" w:sz="4" w:space="0" w:color="000000"/>
              <w:start w:val="single" w:sz="4" w:space="0" w:color="000000"/>
              <w:bottom w:val="single" w:sz="4" w:space="0" w:color="000000"/>
              <w:end w:val="single" w:sz="4" w:space="0" w:color="000000"/>
            </w:tcBorders>
          </w:tcPr>
          <w:p>
            <w:pPr>
              <w:pStyle w:val="Normal"/>
              <w:spacing w:before="0" w:after="160"/>
              <w:rPr>
                <w:sz w:val="20"/>
                <w:szCs w:val="20"/>
                <w:lang w:val="en-AU" w:eastAsia="en-AU"/>
              </w:rPr>
            </w:pPr>
            <w:r>
              <w:rPr>
                <w:sz w:val="20"/>
                <w:szCs w:val="20"/>
                <w:lang w:val="en-AU" w:eastAsia="en-AU"/>
              </w:rPr>
              <w:t>Contextual reference only — not interpreted</w:t>
            </w:r>
          </w:p>
        </w:tc>
      </w:tr>
      <w:tr>
        <w:trPr/>
        <w:tc>
          <w:tcPr>
            <w:tcW w:w="1795" w:type="dxa"/>
            <w:tcBorders>
              <w:top w:val="single" w:sz="4" w:space="0" w:color="000000"/>
              <w:start w:val="single" w:sz="4" w:space="0" w:color="000000"/>
              <w:bottom w:val="single" w:sz="4" w:space="0" w:color="000000"/>
              <w:end w:val="single" w:sz="4" w:space="0" w:color="000000"/>
            </w:tcBorders>
          </w:tcPr>
          <w:p>
            <w:pPr>
              <w:pStyle w:val="Normal"/>
              <w:spacing w:before="0" w:after="160"/>
              <w:rPr>
                <w:sz w:val="20"/>
                <w:szCs w:val="20"/>
                <w:lang w:val="en-AU" w:eastAsia="en-AU"/>
              </w:rPr>
            </w:pPr>
            <w:r>
              <w:rPr>
                <w:sz w:val="20"/>
                <w:szCs w:val="20"/>
                <w:lang w:val="en-AU" w:eastAsia="en-AU"/>
              </w:rPr>
              <w:t>Control effectiveness</w:t>
            </w:r>
          </w:p>
        </w:tc>
        <w:tc>
          <w:tcPr>
            <w:tcW w:w="2759" w:type="dxa"/>
            <w:tcBorders>
              <w:top w:val="single" w:sz="4" w:space="0" w:color="000000"/>
              <w:start w:val="single" w:sz="4" w:space="0" w:color="000000"/>
              <w:bottom w:val="single" w:sz="4" w:space="0" w:color="000000"/>
              <w:end w:val="single" w:sz="4" w:space="0" w:color="000000"/>
            </w:tcBorders>
          </w:tcPr>
          <w:p>
            <w:pPr>
              <w:pStyle w:val="Normal"/>
              <w:spacing w:before="0" w:after="160"/>
              <w:rPr>
                <w:sz w:val="20"/>
                <w:szCs w:val="20"/>
                <w:lang w:val="en-AU" w:eastAsia="en-AU"/>
              </w:rPr>
            </w:pPr>
            <w:r>
              <w:rPr>
                <w:sz w:val="20"/>
                <w:szCs w:val="20"/>
                <w:lang w:val="en-AU" w:eastAsia="en-AU"/>
              </w:rPr>
              <w:t>{{domain_scores.Fairness.Control_Effectiveness}}</w:t>
            </w:r>
          </w:p>
        </w:tc>
        <w:tc>
          <w:tcPr>
            <w:tcW w:w="4462" w:type="dxa"/>
            <w:tcBorders>
              <w:top w:val="single" w:sz="4" w:space="0" w:color="000000"/>
              <w:start w:val="single" w:sz="4" w:space="0" w:color="000000"/>
              <w:bottom w:val="single" w:sz="4" w:space="0" w:color="000000"/>
              <w:end w:val="single" w:sz="4" w:space="0" w:color="000000"/>
            </w:tcBorders>
          </w:tcPr>
          <w:p>
            <w:pPr>
              <w:pStyle w:val="Normal"/>
              <w:spacing w:before="0" w:after="160"/>
              <w:rPr>
                <w:sz w:val="20"/>
                <w:szCs w:val="20"/>
                <w:lang w:val="en-AU" w:eastAsia="en-AU"/>
              </w:rPr>
            </w:pPr>
            <w:r>
              <w:rPr>
                <w:sz w:val="20"/>
                <w:szCs w:val="20"/>
                <w:lang w:val="en-AU" w:eastAsia="en-AU"/>
              </w:rPr>
              <w:t>Strength of existing bias mitigation and oversight mechanisms</w:t>
            </w:r>
          </w:p>
        </w:tc>
      </w:tr>
      <w:tr>
        <w:trPr/>
        <w:tc>
          <w:tcPr>
            <w:tcW w:w="1795" w:type="dxa"/>
            <w:tcBorders>
              <w:top w:val="single" w:sz="4" w:space="0" w:color="000000"/>
              <w:start w:val="single" w:sz="4" w:space="0" w:color="000000"/>
              <w:bottom w:val="single" w:sz="4" w:space="0" w:color="000000"/>
              <w:end w:val="single" w:sz="4" w:space="0" w:color="000000"/>
            </w:tcBorders>
          </w:tcPr>
          <w:p>
            <w:pPr>
              <w:pStyle w:val="Normal"/>
              <w:spacing w:before="0" w:after="160"/>
              <w:rPr>
                <w:sz w:val="20"/>
                <w:szCs w:val="20"/>
                <w:lang w:val="en-AU" w:eastAsia="en-AU"/>
              </w:rPr>
            </w:pPr>
            <w:r>
              <w:rPr>
                <w:b/>
                <w:bCs/>
                <w:sz w:val="20"/>
                <w:szCs w:val="20"/>
                <w:lang w:val="en-AU" w:eastAsia="en-AU"/>
              </w:rPr>
              <w:t>Residual risk</w:t>
            </w:r>
          </w:p>
        </w:tc>
        <w:tc>
          <w:tcPr>
            <w:tcW w:w="2759" w:type="dxa"/>
            <w:tcBorders>
              <w:top w:val="single" w:sz="4" w:space="0" w:color="000000"/>
              <w:start w:val="single" w:sz="4" w:space="0" w:color="000000"/>
              <w:bottom w:val="single" w:sz="4" w:space="0" w:color="000000"/>
              <w:end w:val="single" w:sz="4" w:space="0" w:color="000000"/>
            </w:tcBorders>
          </w:tcPr>
          <w:p>
            <w:pPr>
              <w:pStyle w:val="Normal"/>
              <w:spacing w:before="0" w:after="160"/>
              <w:rPr>
                <w:sz w:val="20"/>
                <w:szCs w:val="20"/>
                <w:lang w:val="en-AU" w:eastAsia="en-AU"/>
              </w:rPr>
            </w:pPr>
            <w:r>
              <w:rPr>
                <w:b/>
                <w:bCs/>
                <w:sz w:val="20"/>
                <w:szCs w:val="20"/>
                <w:lang w:val="en-AU" w:eastAsia="en-AU"/>
              </w:rPr>
              <w:t>{{domain_scores.Fairness.Risk}}</w:t>
            </w:r>
          </w:p>
        </w:tc>
        <w:tc>
          <w:tcPr>
            <w:tcW w:w="4462" w:type="dxa"/>
            <w:tcBorders>
              <w:top w:val="single" w:sz="4" w:space="0" w:color="000000"/>
              <w:start w:val="single" w:sz="4" w:space="0" w:color="000000"/>
              <w:bottom w:val="single" w:sz="4" w:space="0" w:color="000000"/>
              <w:end w:val="single" w:sz="4" w:space="0" w:color="000000"/>
            </w:tcBorders>
          </w:tcPr>
          <w:p>
            <w:pPr>
              <w:pStyle w:val="Normal"/>
              <w:keepNext w:val="true"/>
              <w:spacing w:before="0" w:after="160"/>
              <w:rPr>
                <w:sz w:val="20"/>
                <w:szCs w:val="20"/>
                <w:lang w:val="en-AU" w:eastAsia="en-AU"/>
              </w:rPr>
            </w:pPr>
            <w:r>
              <w:rPr>
                <w:sz w:val="20"/>
                <w:szCs w:val="20"/>
                <w:lang w:val="en-AU" w:eastAsia="en-AU"/>
              </w:rPr>
              <w:t>Ongoing fairness-related risk requiring consideration</w:t>
            </w:r>
          </w:p>
        </w:tc>
      </w:tr>
    </w:tbl>
    <w:p>
      <w:pPr>
        <w:pStyle w:val="Caption"/>
        <w:rPr/>
      </w:pPr>
      <w:bookmarkStart w:id="20" w:name="_Toc220351607"/>
      <w:r>
        <w:rPr/>
        <w:t xml:space="preserve">Table </w:t>
      </w:r>
      <w:r>
        <w:rPr/>
        <w:fldChar w:fldCharType="begin"/>
      </w:r>
      <w:r>
        <w:rPr/>
        <w:instrText xml:space="preserve"> SEQ Table \* ARABIC </w:instrText>
      </w:r>
      <w:r>
        <w:rPr/>
        <w:fldChar w:fldCharType="separate"/>
      </w:r>
      <w:r>
        <w:rPr/>
        <w:t>9</w:t>
      </w:r>
      <w:r>
        <w:rPr/>
        <w:fldChar w:fldCharType="end"/>
      </w:r>
      <w:r>
        <w:rPr/>
        <w:t xml:space="preserve"> - Fairness FAIRA domain risk profile</w:t>
      </w:r>
      <w:bookmarkEnd w:id="20"/>
    </w:p>
    <w:p>
      <w:pPr>
        <w:pStyle w:val="Normal"/>
        <w:rPr>
          <w:b/>
          <w:bCs/>
          <w:lang w:val="en-AU" w:eastAsia="en-AU"/>
        </w:rPr>
      </w:pPr>
      <w:r>
        <w:rPr>
          <w:b/>
          <w:bCs/>
          <w:lang w:val="en-AU" w:eastAsia="en-AU"/>
        </w:rPr>
        <w:t>Domain Interpretation</w:t>
      </w:r>
    </w:p>
    <w:p>
      <w:pPr>
        <w:pStyle w:val="Normal"/>
        <w:rPr>
          <w:lang w:val="en-AU" w:eastAsia="en-AU"/>
        </w:rPr>
      </w:pPr>
      <w:r>
        <w:rPr>
          <w:lang w:val="en-AU" w:eastAsia="en-AU"/>
        </w:rPr>
        <w:t>Fairness risks relate to the potential for AI systems to produce outcomes that systematically disadvantage certain individuals or groups, whether intentionally or unintentionally. Such risks may arise from data limitations, model design choices, deployment context, or changes in population characteristics over time. Importantly, fairness risks can exist even where systems appear to perform accurately or consistently.</w:t>
      </w:r>
    </w:p>
    <w:p>
      <w:pPr>
        <w:pStyle w:val="Normal"/>
        <w:rPr>
          <w:lang w:val="en-AU" w:eastAsia="en-AU"/>
        </w:rPr>
      </w:pPr>
      <w:r>
        <w:rPr>
          <w:lang w:val="en-AU" w:eastAsia="en-AU"/>
        </w:rPr>
        <w:t>This domain should be interpreted as an indicator of exposure to inequitable outcomes rather than as a determination that bias is present or absent. Fairness considerations are inherently population-dependent and may evolve as system use, scale, or data inputs change, and should therefore be considered alongside monitoring, governance, and accountability arrangements across the system lifecycle.</w:t>
      </w:r>
    </w:p>
    <w:p>
      <w:pPr>
        <w:pStyle w:val="Normal"/>
        <w:rPr>
          <w:b/>
          <w:bCs/>
          <w:lang w:eastAsia="en-AU"/>
        </w:rPr>
      </w:pPr>
      <w:r>
        <w:rPr>
          <w:b/>
          <w:bCs/>
          <w:lang w:eastAsia="en-AU"/>
        </w:rPr>
        <w:t>What would change this score?</w:t>
      </w:r>
    </w:p>
    <w:p>
      <w:pPr>
        <w:pStyle w:val="Normal"/>
        <w:rPr>
          <w:lang w:val="en-AU" w:eastAsia="en-AU"/>
        </w:rPr>
      </w:pPr>
      <w:r>
        <w:rPr>
          <w:lang w:eastAsia="en-AU"/>
        </w:rPr>
        <w:t>The factors below represent governance, operational, or design changes that are likely to materially influence the assessed risk level for this domain over time. These factors are illustrative and should be considered in the context of the system's operating environment and risk appetite.</w:t>
      </w:r>
    </w:p>
    <w:p>
      <w:pPr>
        <w:pStyle w:val="Normal"/>
        <w:numPr>
          <w:ilvl w:val="0"/>
          <w:numId w:val="17"/>
        </w:numPr>
        <w:spacing w:before="60" w:after="60"/>
        <w:rPr>
          <w:lang w:val="en-AU" w:eastAsia="en-AU"/>
        </w:rPr>
      </w:pPr>
      <w:r>
        <w:rPr>
          <w:lang w:val="en-AU" w:eastAsia="en-AU"/>
        </w:rPr>
        <w:t>Regular assessment of training and operational data for bias, representativeness, and proxy variables.</w:t>
      </w:r>
    </w:p>
    <w:p>
      <w:pPr>
        <w:pStyle w:val="Normal"/>
        <w:numPr>
          <w:ilvl w:val="0"/>
          <w:numId w:val="17"/>
        </w:numPr>
        <w:spacing w:before="60" w:after="60"/>
        <w:rPr>
          <w:lang w:val="en-AU" w:eastAsia="en-AU"/>
        </w:rPr>
      </w:pPr>
      <w:r>
        <w:rPr>
          <w:lang w:val="en-AU" w:eastAsia="en-AU"/>
        </w:rPr>
        <w:t>Implementation of fairness testing or monitoring processes relevant to the system's use and affected groups.</w:t>
      </w:r>
    </w:p>
    <w:p>
      <w:pPr>
        <w:pStyle w:val="Normal"/>
        <w:numPr>
          <w:ilvl w:val="0"/>
          <w:numId w:val="17"/>
        </w:numPr>
        <w:spacing w:before="60" w:after="60"/>
        <w:rPr>
          <w:lang w:val="en-AU" w:eastAsia="en-AU"/>
        </w:rPr>
      </w:pPr>
      <w:r>
        <w:rPr>
          <w:lang w:val="en-AU" w:eastAsia="en-AU"/>
        </w:rPr>
        <w:t>Clear documentation of identified bias risks and mitigation strategies.</w:t>
      </w:r>
    </w:p>
    <w:p>
      <w:pPr>
        <w:pStyle w:val="Normal"/>
        <w:numPr>
          <w:ilvl w:val="0"/>
          <w:numId w:val="17"/>
        </w:numPr>
        <w:spacing w:before="60" w:after="60"/>
        <w:rPr>
          <w:lang w:val="en-AU" w:eastAsia="en-AU"/>
        </w:rPr>
      </w:pPr>
      <w:r>
        <w:rPr>
          <w:lang w:val="en-AU" w:eastAsia="en-AU"/>
        </w:rPr>
        <w:t>Human oversight of outcomes where fairness risks are elevated or uncertain.</w:t>
      </w:r>
    </w:p>
    <w:p>
      <w:pPr>
        <w:pStyle w:val="Normal"/>
        <w:numPr>
          <w:ilvl w:val="0"/>
          <w:numId w:val="17"/>
        </w:numPr>
        <w:spacing w:before="60" w:after="60"/>
        <w:rPr>
          <w:lang w:val="en-AU" w:eastAsia="en-AU"/>
        </w:rPr>
      </w:pPr>
      <w:r>
        <w:rPr>
          <w:lang w:val="en-AU" w:eastAsia="en-AU"/>
        </w:rPr>
        <w:t>Ongoing monitoring to detect changes in population, data quality, or system behaviour that may affect fairness.</w:t>
      </w:r>
    </w:p>
    <w:p>
      <w:pPr>
        <w:pStyle w:val="Normal"/>
        <w:rPr>
          <w:lang w:val="en-AU" w:eastAsia="en-AU"/>
        </w:rPr>
      </w:pPr>
      <w:r>
        <w:rPr>
          <w:lang w:val="en-AU" w:eastAsia="en-AU"/>
        </w:rPr>
      </w:r>
    </w:p>
    <w:p>
      <w:pPr>
        <w:pStyle w:val="Heading02"/>
        <w:numPr>
          <w:ilvl w:val="1"/>
          <w:numId w:val="1"/>
        </w:numPr>
        <w:ind w:hanging="432" w:start="432"/>
        <w:rPr>
          <w:lang w:val="en-AU" w:eastAsia="en-AU"/>
        </w:rPr>
      </w:pPr>
      <w:bookmarkStart w:id="21" w:name="_Toc220351608"/>
      <w:r>
        <w:rPr>
          <w:lang w:val="en-AU" w:eastAsia="en-AU"/>
        </w:rPr>
        <w:t>Human, Societal and Environmental Wellbeing</w:t>
      </w:r>
      <w:bookmarkEnd w:id="21"/>
    </w:p>
    <w:p>
      <w:pPr>
        <w:pStyle w:val="Normal"/>
        <w:rPr>
          <w:lang w:val="en-AU" w:eastAsia="en-AU"/>
        </w:rPr>
      </w:pPr>
      <w:r>
        <w:rPr>
          <w:lang w:val="en-AU" w:eastAsia="en-AU"/>
        </w:rPr>
        <w:t>This domain examines the extent to which the use of the AI system may affect human wellbeing, broader societal outcomes, and environmental considerations. It focuses on identifying potential unintended consequences arising from AI-supported decisions, including impacts on individuals and communities, workforce conditions, public trust, and any broader social or environmental effects associated with system deployment. The assessment considers both direct and indirect impacts, based on the system's operating context, affected groups, and governance arrangements, without making assumptions about intent or realised outcomes.</w:t>
      </w:r>
    </w:p>
    <w:p>
      <w:pPr>
        <w:pStyle w:val="Normal"/>
        <w:rPr>
          <w:lang w:val="en-AU" w:eastAsia="en-AU"/>
        </w:rPr>
      </w:pPr>
      <w:r>
        <w:rPr>
          <w:lang w:val="en-AU" w:eastAsia="en-AU"/>
        </w:rPr>
        <w:t xml:space="preserve">For the Human, Societal and Environmental Wellbeing domain, the assessed </w:t>
      </w:r>
      <w:r>
        <w:rPr>
          <w:b/>
          <w:bCs/>
          <w:lang w:val="en-AU" w:eastAsia="en-AU"/>
        </w:rPr>
        <w:t>impact score</w:t>
      </w:r>
      <w:r>
        <w:rPr>
          <w:lang w:val="en-AU" w:eastAsia="en-AU"/>
        </w:rPr>
        <w:t xml:space="preserve"> was </w:t>
      </w:r>
      <w:r>
        <w:rPr>
          <w:b/>
          <w:bCs/>
          <w:lang w:val="en-AU" w:eastAsia="en-AU"/>
        </w:rPr>
        <w:t>{{domain_scores.Wellbeing.Impact}}</w:t>
      </w:r>
      <w:r>
        <w:rPr>
          <w:lang w:val="en-AU" w:eastAsia="en-AU"/>
        </w:rPr>
        <w:t>, reflecting the potential severity of harm should adverse outcomes occur. The assessed impact score is informed by the nature of the system's decision support functions ({{ faira_form.A1_4 | format_list }}), the involvement of potentially vulnerable or public-facing groups ({{ faira_form.A3_3 | format_list }}), and the use of regulated or sensitive data where applicable ({{ faira_form.A2_7_data_types | format_list if faira_form.A2_7 == "Yes" else "not identified" }}).</w:t>
      </w:r>
    </w:p>
    <w:p>
      <w:pPr>
        <w:pStyle w:val="Normal"/>
        <w:rPr>
          <w:lang w:val="en-AU" w:eastAsia="en-AU"/>
        </w:rPr>
      </w:pPr>
      <w:r>
        <w:rPr>
          <w:lang w:val="en-AU" w:eastAsia="en-AU"/>
        </w:rPr>
        <w:t xml:space="preserve">The assessed </w:t>
      </w:r>
      <w:r>
        <w:rPr>
          <w:b/>
          <w:bCs/>
          <w:lang w:val="en-AU" w:eastAsia="en-AU"/>
        </w:rPr>
        <w:t>likelihood score</w:t>
      </w:r>
      <w:r>
        <w:rPr>
          <w:lang w:val="en-AU" w:eastAsia="en-AU"/>
        </w:rPr>
        <w:t xml:space="preserve"> was </w:t>
      </w:r>
      <w:r>
        <w:rPr>
          <w:b/>
          <w:bCs/>
          <w:lang w:val="en-AU" w:eastAsia="en-AU"/>
        </w:rPr>
        <w:t>{{domain_scores.Wellbeing.Likelihood}}</w:t>
      </w:r>
      <w:r>
        <w:rPr>
          <w:lang w:val="en-AU" w:eastAsia="en-AU"/>
        </w:rPr>
        <w:t>, reflecting the probability that wellbeing-related impacts could materialise given the system's deployment context, degree of automation, and exposure to affected individuals. Factors contributing to likelihood include the system's interaction pathways ({{ faira_form.A3_1 | format_list }}), the severity of identified impacts on affected groups ({{ faira_form.A3_6b | severity_label }}), and the extent to which workforce or role impacts have been identified or remain uncertain ({{ faira_form.A3_5b | rating_label }}).</w:t>
      </w:r>
    </w:p>
    <w:p>
      <w:pPr>
        <w:pStyle w:val="Normal"/>
        <w:rPr>
          <w:lang w:val="en-AU" w:eastAsia="en-AU"/>
        </w:rPr>
      </w:pPr>
      <w:r>
        <w:rPr>
          <w:lang w:val="en-AU" w:eastAsia="en-AU"/>
        </w:rPr>
        <w:t xml:space="preserve">The effectiveness of existing controls relevant to this domain was assessed as </w:t>
      </w:r>
      <w:r>
        <w:rPr>
          <w:b/>
          <w:bCs/>
          <w:lang w:val="en-AU" w:eastAsia="en-AU"/>
        </w:rPr>
        <w:t>{{domain_scores.Wellbeing.Control_Effectiveness}}</w:t>
      </w:r>
      <w:r>
        <w:rPr>
          <w:lang w:val="en-AU" w:eastAsia="en-AU"/>
        </w:rPr>
        <w:t xml:space="preserve">, based on the presence of governance oversight, monitoring arrangements, stakeholder engagement mechanisms, and pathways for detecting unintended or harmful outcomes ({{ faira_form.A5_8 | format_list }}). After accounting for these controls, the resulting </w:t>
      </w:r>
      <w:r>
        <w:rPr>
          <w:b/>
          <w:bCs/>
          <w:lang w:val="en-AU" w:eastAsia="en-AU"/>
        </w:rPr>
        <w:t>residual domain risk score</w:t>
      </w:r>
      <w:r>
        <w:rPr>
          <w:lang w:val="en-AU" w:eastAsia="en-AU"/>
        </w:rPr>
        <w:t xml:space="preserve"> is </w:t>
      </w:r>
      <w:r>
        <w:rPr>
          <w:b/>
          <w:bCs/>
          <w:lang w:val="en-AU" w:eastAsia="en-AU"/>
        </w:rPr>
        <w:t>{{domain_scores.Wellbeing.Risk}}</w:t>
      </w:r>
      <w:r>
        <w:rPr>
          <w:lang w:val="en-AU" w:eastAsia="en-AU"/>
        </w:rPr>
        <w:t>.</w:t>
      </w:r>
    </w:p>
    <w:p>
      <w:pPr>
        <w:pStyle w:val="Normal"/>
        <w:rPr>
          <w:lang w:val="en-AU" w:eastAsia="en-AU"/>
        </w:rPr>
      </w:pPr>
      <w:r>
        <w:rPr>
          <w:lang w:val="en-AU" w:eastAsia="en-AU"/>
        </w:rPr>
        <w:t xml:space="preserve">These results represent </w:t>
      </w:r>
      <w:r>
        <w:rPr>
          <w:b/>
          <w:bCs/>
          <w:lang w:val="en-AU" w:eastAsia="en-AU"/>
        </w:rPr>
        <w:t>residual risk</w:t>
      </w:r>
      <w:r>
        <w:rPr>
          <w:lang w:val="en-AU" w:eastAsia="en-AU"/>
        </w:rPr>
        <w:t>, indicating the level of ongoing wellbeing-related exposure that remains under current operating conditions and governance arrangements.</w:t>
      </w:r>
    </w:p>
    <w:p>
      <w:pPr>
        <w:pStyle w:val="Normal"/>
        <w:rPr>
          <w:lang w:val="en-AU" w:eastAsia="en-AU"/>
        </w:rPr>
      </w:pPr>
      <w:r>
        <w:rPr/>
        <mc:AlternateContent>
          <mc:Choice Requires="wps">
            <w:drawing>
              <wp:inline distT="0" distB="0" distL="0" distR="0">
                <wp:extent cx="5731510" cy="19050"/>
                <wp:effectExtent l="0" t="0" r="0" b="0"/>
                <wp:docPr id="8" name=""/>
                <a:graphic xmlns:a="http://schemas.openxmlformats.org/drawingml/2006/main">
                  <a:graphicData uri="http://schemas.microsoft.com/office/word/2010/wordprocessingShape">
                    <wps:wsp>
                      <wps:cNvSpPr/>
                      <wps:nvSpPr>
                        <wps:cNvPr id="9" name=""/>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b/>
          <w:bCs/>
          <w:lang w:val="en-AU" w:eastAsia="en-AU"/>
        </w:rPr>
      </w:pPr>
      <w:r>
        <w:rPr>
          <w:b/>
          <w:bCs/>
          <w:lang w:val="en-AU" w:eastAsia="en-AU"/>
        </w:rPr>
        <w:t>Key Wellbeing Risk Considerations</w:t>
      </w:r>
    </w:p>
    <w:p>
      <w:pPr>
        <w:pStyle w:val="Normal"/>
        <w:numPr>
          <w:ilvl w:val="0"/>
          <w:numId w:val="5"/>
        </w:numPr>
        <w:rPr>
          <w:lang w:val="en-AU" w:eastAsia="en-AU"/>
        </w:rPr>
      </w:pPr>
      <w:r>
        <w:rPr>
          <w:b/>
          <w:bCs/>
          <w:lang w:val="en-AU" w:eastAsia="en-AU"/>
        </w:rPr>
        <w:t>Affected individuals and groups:</w:t>
      </w:r>
      <w:r>
        <w:rPr>
          <w:lang w:val="en-AU" w:eastAsia="en-AU"/>
        </w:rPr>
        <w:t xml:space="preserve"> The system may impact {{ faira_form.A3_3 | format_list }}, including groups that may require additional safeguards due to age, vulnerability, or limited ability to contest outcomes.</w:t>
      </w:r>
    </w:p>
    <w:p>
      <w:pPr>
        <w:pStyle w:val="Normal"/>
        <w:numPr>
          <w:ilvl w:val="0"/>
          <w:numId w:val="5"/>
        </w:numPr>
        <w:rPr>
          <w:lang w:val="en-AU" w:eastAsia="en-AU"/>
        </w:rPr>
      </w:pPr>
      <w:r>
        <w:rPr>
          <w:b/>
          <w:bCs/>
          <w:lang w:val="en-AU" w:eastAsia="en-AU"/>
        </w:rPr>
        <w:t>Nature of potential impacts:</w:t>
      </w:r>
      <w:r>
        <w:rPr>
          <w:lang w:val="en-AU" w:eastAsia="en-AU"/>
        </w:rPr>
        <w:t xml:space="preserve"> Identified impacts include {{ faira_form.A3_6a | format_list }}, with a severity rating of {{ faira_form.A3_6b | severity_label }}.</w:t>
      </w:r>
    </w:p>
    <w:p>
      <w:pPr>
        <w:pStyle w:val="Normal"/>
        <w:numPr>
          <w:ilvl w:val="0"/>
          <w:numId w:val="5"/>
        </w:numPr>
        <w:rPr>
          <w:lang w:val="en-AU" w:eastAsia="en-AU"/>
        </w:rPr>
      </w:pPr>
      <w:r>
        <w:rPr>
          <w:b/>
          <w:bCs/>
          <w:lang w:val="en-AU" w:eastAsia="en-AU"/>
        </w:rPr>
        <w:t>Workforce implications:</w:t>
      </w:r>
      <w:r>
        <w:rPr>
          <w:lang w:val="en-AU" w:eastAsia="en-AU"/>
        </w:rPr>
        <w:t xml:space="preserve"> Potential staff-related impacts have been identified as {{ faira_form.A3_5a | format_list }}, with overall severity assessed as {{ faira_form.A3_5b | rating_label }}. Where impacts are uncertain, this contributes to residual risk due to the potential for unanticipated consequences over time.</w:t>
      </w:r>
    </w:p>
    <w:p>
      <w:pPr>
        <w:pStyle w:val="Normal"/>
        <w:numPr>
          <w:ilvl w:val="0"/>
          <w:numId w:val="5"/>
        </w:numPr>
        <w:rPr>
          <w:lang w:val="en-AU" w:eastAsia="en-AU"/>
        </w:rPr>
      </w:pPr>
      <w:r>
        <w:rPr>
          <w:b/>
          <w:bCs/>
          <w:lang w:val="en-AU" w:eastAsia="en-AU"/>
        </w:rPr>
        <w:t>Environmental considerations:</w:t>
      </w:r>
      <w:r>
        <w:rPr>
          <w:lang w:val="en-AU" w:eastAsia="en-AU"/>
        </w:rPr>
        <w:t xml:space="preserve"> No explicit environmental impacts have been specified within the scope of this assessment. However, environmental effects may arise indirectly depending on system scale, infrastructure usage, or downstream operational decisions, and should be monitored as system use evolves.</w:t>
      </w:r>
    </w:p>
    <w:p>
      <w:pPr>
        <w:pStyle w:val="Normal"/>
        <w:rPr>
          <w:b/>
          <w:bCs/>
          <w:lang w:eastAsia="en-AU"/>
        </w:rPr>
      </w:pPr>
      <w:r>
        <w:rPr>
          <w:b/>
          <w:bCs/>
          <w:lang w:eastAsia="en-AU"/>
        </w:rPr>
        <w:t>FAIRA Domain Risk Profile — Human, Societal and Environmental Wellbeing</w:t>
      </w:r>
    </w:p>
    <w:tbl>
      <w:tblPr>
        <w:tblW w:w="9016" w:type="dxa"/>
        <w:jc w:val="start"/>
        <w:tblInd w:w="0" w:type="dxa"/>
        <w:tblLayout w:type="fixed"/>
        <w:tblCellMar>
          <w:top w:w="43" w:type="dxa"/>
          <w:start w:w="43" w:type="dxa"/>
          <w:bottom w:w="43" w:type="dxa"/>
          <w:end w:w="43" w:type="dxa"/>
        </w:tblCellMar>
        <w:tblLook w:firstRow="1" w:noVBand="1" w:lastRow="0" w:firstColumn="1" w:lastColumn="0" w:noHBand="0" w:val="04a0"/>
      </w:tblPr>
      <w:tblGrid>
        <w:gridCol w:w="1795"/>
        <w:gridCol w:w="2160"/>
        <w:gridCol w:w="5061"/>
      </w:tblGrid>
      <w:tr>
        <w:trPr>
          <w:tblHeader w:val="true"/>
        </w:trPr>
        <w:tc>
          <w:tcPr>
            <w:tcW w:w="1795" w:type="dxa"/>
            <w:tcBorders>
              <w:top w:val="single" w:sz="4" w:space="0" w:color="000000"/>
              <w:start w:val="single" w:sz="4" w:space="0" w:color="000000"/>
              <w:bottom w:val="single" w:sz="4" w:space="0" w:color="000000"/>
              <w:end w:val="single" w:sz="4" w:space="0" w:color="000000"/>
            </w:tcBorders>
            <w:shd w:color="auto" w:fill="D9D9D9" w:themeFill="background1" w:themeFillShade="d9" w:val="clear"/>
          </w:tcPr>
          <w:p>
            <w:pPr>
              <w:pStyle w:val="Normal"/>
              <w:spacing w:before="0" w:after="160"/>
              <w:rPr>
                <w:b/>
                <w:bCs/>
                <w:sz w:val="20"/>
                <w:szCs w:val="20"/>
                <w:lang w:val="en-AU" w:eastAsia="en-AU"/>
              </w:rPr>
            </w:pPr>
            <w:r>
              <w:rPr>
                <w:b/>
                <w:bCs/>
                <w:sz w:val="20"/>
                <w:szCs w:val="20"/>
                <w:lang w:val="en-AU" w:eastAsia="en-AU"/>
              </w:rPr>
              <w:t>Measure</w:t>
            </w:r>
          </w:p>
        </w:tc>
        <w:tc>
          <w:tcPr>
            <w:tcW w:w="2160" w:type="dxa"/>
            <w:tcBorders>
              <w:top w:val="single" w:sz="4" w:space="0" w:color="000000"/>
              <w:start w:val="single" w:sz="4" w:space="0" w:color="000000"/>
              <w:bottom w:val="single" w:sz="4" w:space="0" w:color="000000"/>
              <w:end w:val="single" w:sz="4" w:space="0" w:color="000000"/>
            </w:tcBorders>
            <w:shd w:color="auto" w:fill="D9D9D9" w:themeFill="background1" w:themeFillShade="d9" w:val="clear"/>
          </w:tcPr>
          <w:p>
            <w:pPr>
              <w:pStyle w:val="Normal"/>
              <w:spacing w:before="0" w:after="160"/>
              <w:rPr>
                <w:b/>
                <w:bCs/>
                <w:sz w:val="20"/>
                <w:szCs w:val="20"/>
                <w:lang w:val="en-AU" w:eastAsia="en-AU"/>
              </w:rPr>
            </w:pPr>
            <w:r>
              <w:rPr>
                <w:b/>
                <w:bCs/>
                <w:sz w:val="20"/>
                <w:szCs w:val="20"/>
                <w:lang w:val="en-AU" w:eastAsia="en-AU"/>
              </w:rPr>
              <w:t>Score</w:t>
            </w:r>
          </w:p>
        </w:tc>
        <w:tc>
          <w:tcPr>
            <w:tcW w:w="5061" w:type="dxa"/>
            <w:tcBorders>
              <w:top w:val="single" w:sz="4" w:space="0" w:color="000000"/>
              <w:start w:val="single" w:sz="4" w:space="0" w:color="000000"/>
              <w:bottom w:val="single" w:sz="4" w:space="0" w:color="000000"/>
              <w:end w:val="single" w:sz="4" w:space="0" w:color="000000"/>
            </w:tcBorders>
            <w:shd w:color="auto" w:fill="D9D9D9" w:themeFill="background1" w:themeFillShade="d9" w:val="clear"/>
          </w:tcPr>
          <w:p>
            <w:pPr>
              <w:pStyle w:val="Normal"/>
              <w:spacing w:before="0" w:after="160"/>
              <w:rPr>
                <w:b/>
                <w:bCs/>
                <w:sz w:val="20"/>
                <w:szCs w:val="20"/>
                <w:lang w:val="en-AU" w:eastAsia="en-AU"/>
              </w:rPr>
            </w:pPr>
            <w:r>
              <w:rPr>
                <w:b/>
                <w:bCs/>
                <w:sz w:val="20"/>
                <w:szCs w:val="20"/>
                <w:lang w:val="en-AU" w:eastAsia="en-AU"/>
              </w:rPr>
              <w:t>Interpretation</w:t>
            </w:r>
          </w:p>
        </w:tc>
      </w:tr>
      <w:tr>
        <w:trPr/>
        <w:tc>
          <w:tcPr>
            <w:tcW w:w="1795" w:type="dxa"/>
            <w:tcBorders>
              <w:top w:val="single" w:sz="4" w:space="0" w:color="000000"/>
              <w:start w:val="single" w:sz="4" w:space="0" w:color="000000"/>
              <w:bottom w:val="single" w:sz="4" w:space="0" w:color="000000"/>
              <w:end w:val="single" w:sz="4" w:space="0" w:color="000000"/>
            </w:tcBorders>
          </w:tcPr>
          <w:p>
            <w:pPr>
              <w:pStyle w:val="Normal"/>
              <w:spacing w:before="0" w:after="160"/>
              <w:rPr>
                <w:sz w:val="20"/>
                <w:szCs w:val="20"/>
                <w:lang w:val="en-AU" w:eastAsia="en-AU"/>
              </w:rPr>
            </w:pPr>
            <w:r>
              <w:rPr>
                <w:sz w:val="20"/>
                <w:szCs w:val="20"/>
                <w:lang w:val="en-AU" w:eastAsia="en-AU"/>
              </w:rPr>
              <w:t>Impact</w:t>
            </w:r>
          </w:p>
        </w:tc>
        <w:tc>
          <w:tcPr>
            <w:tcW w:w="2160" w:type="dxa"/>
            <w:tcBorders>
              <w:top w:val="single" w:sz="4" w:space="0" w:color="000000"/>
              <w:start w:val="single" w:sz="4" w:space="0" w:color="000000"/>
              <w:bottom w:val="single" w:sz="4" w:space="0" w:color="000000"/>
              <w:end w:val="single" w:sz="4" w:space="0" w:color="000000"/>
            </w:tcBorders>
          </w:tcPr>
          <w:p>
            <w:pPr>
              <w:pStyle w:val="Normal"/>
              <w:spacing w:before="0" w:after="160"/>
              <w:rPr>
                <w:sz w:val="20"/>
                <w:szCs w:val="20"/>
                <w:lang w:val="en-AU" w:eastAsia="en-AU"/>
              </w:rPr>
            </w:pPr>
            <w:r>
              <w:rPr>
                <w:sz w:val="20"/>
                <w:szCs w:val="20"/>
                <w:lang w:val="en-AU" w:eastAsia="en-AU"/>
              </w:rPr>
              <w:t>{{domain_scores.Wellbeing.Impact}}</w:t>
            </w:r>
          </w:p>
        </w:tc>
        <w:tc>
          <w:tcPr>
            <w:tcW w:w="5061" w:type="dxa"/>
            <w:tcBorders>
              <w:top w:val="single" w:sz="4" w:space="0" w:color="000000"/>
              <w:start w:val="single" w:sz="4" w:space="0" w:color="000000"/>
              <w:bottom w:val="single" w:sz="4" w:space="0" w:color="000000"/>
              <w:end w:val="single" w:sz="4" w:space="0" w:color="000000"/>
            </w:tcBorders>
          </w:tcPr>
          <w:p>
            <w:pPr>
              <w:pStyle w:val="Normal"/>
              <w:spacing w:before="0" w:after="160"/>
              <w:rPr>
                <w:sz w:val="20"/>
                <w:szCs w:val="20"/>
                <w:lang w:val="en-AU" w:eastAsia="en-AU"/>
              </w:rPr>
            </w:pPr>
            <w:r>
              <w:rPr>
                <w:sz w:val="20"/>
                <w:szCs w:val="20"/>
                <w:lang w:val="en-AU" w:eastAsia="en-AU"/>
              </w:rPr>
              <w:t>Severity of potential harm to individuals, communities, or broader societal outcomes</w:t>
            </w:r>
          </w:p>
        </w:tc>
      </w:tr>
      <w:tr>
        <w:trPr/>
        <w:tc>
          <w:tcPr>
            <w:tcW w:w="1795" w:type="dxa"/>
            <w:tcBorders>
              <w:top w:val="single" w:sz="4" w:space="0" w:color="000000"/>
              <w:start w:val="single" w:sz="4" w:space="0" w:color="000000"/>
              <w:bottom w:val="single" w:sz="4" w:space="0" w:color="000000"/>
              <w:end w:val="single" w:sz="4" w:space="0" w:color="000000"/>
            </w:tcBorders>
          </w:tcPr>
          <w:p>
            <w:pPr>
              <w:pStyle w:val="Normal"/>
              <w:spacing w:before="0" w:after="160"/>
              <w:rPr>
                <w:sz w:val="20"/>
                <w:szCs w:val="20"/>
                <w:lang w:val="en-AU" w:eastAsia="en-AU"/>
              </w:rPr>
            </w:pPr>
            <w:r>
              <w:rPr>
                <w:sz w:val="20"/>
                <w:szCs w:val="20"/>
                <w:lang w:val="en-AU" w:eastAsia="en-AU"/>
              </w:rPr>
              <w:t>Likelihood</w:t>
            </w:r>
          </w:p>
        </w:tc>
        <w:tc>
          <w:tcPr>
            <w:tcW w:w="2160" w:type="dxa"/>
            <w:tcBorders>
              <w:top w:val="single" w:sz="4" w:space="0" w:color="000000"/>
              <w:start w:val="single" w:sz="4" w:space="0" w:color="000000"/>
              <w:bottom w:val="single" w:sz="4" w:space="0" w:color="000000"/>
              <w:end w:val="single" w:sz="4" w:space="0" w:color="000000"/>
            </w:tcBorders>
          </w:tcPr>
          <w:p>
            <w:pPr>
              <w:pStyle w:val="Normal"/>
              <w:spacing w:before="0" w:after="160"/>
              <w:rPr>
                <w:sz w:val="20"/>
                <w:szCs w:val="20"/>
                <w:lang w:val="en-AU" w:eastAsia="en-AU"/>
              </w:rPr>
            </w:pPr>
            <w:r>
              <w:rPr>
                <w:sz w:val="20"/>
                <w:szCs w:val="20"/>
                <w:lang w:val="en-AU" w:eastAsia="en-AU"/>
              </w:rPr>
              <w:t>{{domain_scores.Wellbeing.Likelihood}}</w:t>
            </w:r>
          </w:p>
        </w:tc>
        <w:tc>
          <w:tcPr>
            <w:tcW w:w="5061" w:type="dxa"/>
            <w:tcBorders>
              <w:top w:val="single" w:sz="4" w:space="0" w:color="000000"/>
              <w:start w:val="single" w:sz="4" w:space="0" w:color="000000"/>
              <w:bottom w:val="single" w:sz="4" w:space="0" w:color="000000"/>
              <w:end w:val="single" w:sz="4" w:space="0" w:color="000000"/>
            </w:tcBorders>
          </w:tcPr>
          <w:p>
            <w:pPr>
              <w:pStyle w:val="Normal"/>
              <w:spacing w:before="0" w:after="160"/>
              <w:rPr>
                <w:sz w:val="20"/>
                <w:szCs w:val="20"/>
                <w:lang w:val="en-AU" w:eastAsia="en-AU"/>
              </w:rPr>
            </w:pPr>
            <w:r>
              <w:rPr>
                <w:sz w:val="20"/>
                <w:szCs w:val="20"/>
                <w:lang w:val="en-AU" w:eastAsia="en-AU"/>
              </w:rPr>
              <w:t>Probability of wellbeing-related impacts occurring in the current context</w:t>
            </w:r>
          </w:p>
        </w:tc>
      </w:tr>
      <w:tr>
        <w:trPr/>
        <w:tc>
          <w:tcPr>
            <w:tcW w:w="1795" w:type="dxa"/>
            <w:tcBorders>
              <w:top w:val="single" w:sz="4" w:space="0" w:color="000000"/>
              <w:start w:val="single" w:sz="4" w:space="0" w:color="000000"/>
              <w:bottom w:val="single" w:sz="4" w:space="0" w:color="000000"/>
              <w:end w:val="single" w:sz="4" w:space="0" w:color="000000"/>
            </w:tcBorders>
          </w:tcPr>
          <w:p>
            <w:pPr>
              <w:pStyle w:val="Normal"/>
              <w:spacing w:before="0" w:after="160"/>
              <w:rPr>
                <w:sz w:val="20"/>
                <w:szCs w:val="20"/>
                <w:lang w:val="en-AU" w:eastAsia="en-AU"/>
              </w:rPr>
            </w:pPr>
            <w:r>
              <w:rPr>
                <w:sz w:val="20"/>
                <w:szCs w:val="20"/>
                <w:lang w:val="en-AU" w:eastAsia="en-AU"/>
              </w:rPr>
              <w:t>Baseline exposure (context only)</w:t>
            </w:r>
          </w:p>
        </w:tc>
        <w:tc>
          <w:tcPr>
            <w:tcW w:w="2160" w:type="dxa"/>
            <w:tcBorders>
              <w:top w:val="single" w:sz="4" w:space="0" w:color="000000"/>
              <w:start w:val="single" w:sz="4" w:space="0" w:color="000000"/>
              <w:bottom w:val="single" w:sz="4" w:space="0" w:color="000000"/>
              <w:end w:val="single" w:sz="4" w:space="0" w:color="000000"/>
            </w:tcBorders>
          </w:tcPr>
          <w:p>
            <w:pPr>
              <w:pStyle w:val="Normal"/>
              <w:spacing w:before="0" w:after="160"/>
              <w:rPr>
                <w:sz w:val="20"/>
                <w:szCs w:val="20"/>
                <w:lang w:val="en-AU" w:eastAsia="en-AU"/>
              </w:rPr>
            </w:pPr>
            <w:r>
              <w:rPr>
                <w:sz w:val="20"/>
                <w:szCs w:val="20"/>
                <w:lang w:val="en-AU" w:eastAsia="en-AU"/>
              </w:rPr>
              <w:t>{{domain_scores.Wellbeing.Inherent_Risk}}</w:t>
            </w:r>
          </w:p>
        </w:tc>
        <w:tc>
          <w:tcPr>
            <w:tcW w:w="5061" w:type="dxa"/>
            <w:tcBorders>
              <w:top w:val="single" w:sz="4" w:space="0" w:color="000000"/>
              <w:start w:val="single" w:sz="4" w:space="0" w:color="000000"/>
              <w:bottom w:val="single" w:sz="4" w:space="0" w:color="000000"/>
              <w:end w:val="single" w:sz="4" w:space="0" w:color="000000"/>
            </w:tcBorders>
          </w:tcPr>
          <w:p>
            <w:pPr>
              <w:pStyle w:val="Normal"/>
              <w:spacing w:before="0" w:after="160"/>
              <w:rPr>
                <w:sz w:val="20"/>
                <w:szCs w:val="20"/>
                <w:lang w:val="en-AU" w:eastAsia="en-AU"/>
              </w:rPr>
            </w:pPr>
            <w:r>
              <w:rPr>
                <w:sz w:val="20"/>
                <w:szCs w:val="20"/>
                <w:lang w:val="en-AU" w:eastAsia="en-AU"/>
              </w:rPr>
              <w:t>Contextual reference only — not interpreted</w:t>
            </w:r>
          </w:p>
        </w:tc>
      </w:tr>
      <w:tr>
        <w:trPr/>
        <w:tc>
          <w:tcPr>
            <w:tcW w:w="1795" w:type="dxa"/>
            <w:tcBorders>
              <w:top w:val="single" w:sz="4" w:space="0" w:color="000000"/>
              <w:start w:val="single" w:sz="4" w:space="0" w:color="000000"/>
              <w:bottom w:val="single" w:sz="4" w:space="0" w:color="000000"/>
              <w:end w:val="single" w:sz="4" w:space="0" w:color="000000"/>
            </w:tcBorders>
          </w:tcPr>
          <w:p>
            <w:pPr>
              <w:pStyle w:val="Normal"/>
              <w:spacing w:before="0" w:after="160"/>
              <w:rPr>
                <w:sz w:val="20"/>
                <w:szCs w:val="20"/>
                <w:lang w:val="en-AU" w:eastAsia="en-AU"/>
              </w:rPr>
            </w:pPr>
            <w:r>
              <w:rPr>
                <w:sz w:val="20"/>
                <w:szCs w:val="20"/>
                <w:lang w:val="en-AU" w:eastAsia="en-AU"/>
              </w:rPr>
              <w:t>Control effectiveness</w:t>
            </w:r>
          </w:p>
        </w:tc>
        <w:tc>
          <w:tcPr>
            <w:tcW w:w="2160" w:type="dxa"/>
            <w:tcBorders>
              <w:top w:val="single" w:sz="4" w:space="0" w:color="000000"/>
              <w:start w:val="single" w:sz="4" w:space="0" w:color="000000"/>
              <w:bottom w:val="single" w:sz="4" w:space="0" w:color="000000"/>
              <w:end w:val="single" w:sz="4" w:space="0" w:color="000000"/>
            </w:tcBorders>
          </w:tcPr>
          <w:p>
            <w:pPr>
              <w:pStyle w:val="Normal"/>
              <w:spacing w:before="0" w:after="160"/>
              <w:rPr>
                <w:sz w:val="20"/>
                <w:szCs w:val="20"/>
                <w:lang w:val="en-AU" w:eastAsia="en-AU"/>
              </w:rPr>
            </w:pPr>
            <w:r>
              <w:rPr>
                <w:sz w:val="20"/>
                <w:szCs w:val="20"/>
                <w:lang w:val="en-AU" w:eastAsia="en-AU"/>
              </w:rPr>
              <w:t>{{domain_scores.Wellbeing.Control_Effectiveness}}</w:t>
            </w:r>
          </w:p>
        </w:tc>
        <w:tc>
          <w:tcPr>
            <w:tcW w:w="5061" w:type="dxa"/>
            <w:tcBorders>
              <w:top w:val="single" w:sz="4" w:space="0" w:color="000000"/>
              <w:start w:val="single" w:sz="4" w:space="0" w:color="000000"/>
              <w:bottom w:val="single" w:sz="4" w:space="0" w:color="000000"/>
              <w:end w:val="single" w:sz="4" w:space="0" w:color="000000"/>
            </w:tcBorders>
          </w:tcPr>
          <w:p>
            <w:pPr>
              <w:pStyle w:val="Normal"/>
              <w:spacing w:before="0" w:after="160"/>
              <w:rPr>
                <w:sz w:val="20"/>
                <w:szCs w:val="20"/>
                <w:lang w:val="en-AU" w:eastAsia="en-AU"/>
              </w:rPr>
            </w:pPr>
            <w:r>
              <w:rPr>
                <w:sz w:val="20"/>
                <w:szCs w:val="20"/>
                <w:lang w:val="en-AU" w:eastAsia="en-AU"/>
              </w:rPr>
              <w:t>Strength of existing governance, monitoring, and mitigation measures</w:t>
            </w:r>
          </w:p>
        </w:tc>
      </w:tr>
      <w:tr>
        <w:trPr/>
        <w:tc>
          <w:tcPr>
            <w:tcW w:w="1795" w:type="dxa"/>
            <w:tcBorders>
              <w:top w:val="single" w:sz="4" w:space="0" w:color="000000"/>
              <w:start w:val="single" w:sz="4" w:space="0" w:color="000000"/>
              <w:bottom w:val="single" w:sz="4" w:space="0" w:color="000000"/>
              <w:end w:val="single" w:sz="4" w:space="0" w:color="000000"/>
            </w:tcBorders>
          </w:tcPr>
          <w:p>
            <w:pPr>
              <w:pStyle w:val="Normal"/>
              <w:spacing w:before="0" w:after="160"/>
              <w:rPr>
                <w:sz w:val="20"/>
                <w:szCs w:val="20"/>
                <w:lang w:val="en-AU" w:eastAsia="en-AU"/>
              </w:rPr>
            </w:pPr>
            <w:r>
              <w:rPr>
                <w:b/>
                <w:bCs/>
                <w:sz w:val="20"/>
                <w:szCs w:val="20"/>
                <w:lang w:val="en-AU" w:eastAsia="en-AU"/>
              </w:rPr>
              <w:t>Residual risk</w:t>
            </w:r>
          </w:p>
        </w:tc>
        <w:tc>
          <w:tcPr>
            <w:tcW w:w="2160" w:type="dxa"/>
            <w:tcBorders>
              <w:top w:val="single" w:sz="4" w:space="0" w:color="000000"/>
              <w:start w:val="single" w:sz="4" w:space="0" w:color="000000"/>
              <w:bottom w:val="single" w:sz="4" w:space="0" w:color="000000"/>
              <w:end w:val="single" w:sz="4" w:space="0" w:color="000000"/>
            </w:tcBorders>
          </w:tcPr>
          <w:p>
            <w:pPr>
              <w:pStyle w:val="Normal"/>
              <w:spacing w:before="0" w:after="160"/>
              <w:rPr>
                <w:sz w:val="20"/>
                <w:szCs w:val="20"/>
                <w:lang w:val="en-AU" w:eastAsia="en-AU"/>
              </w:rPr>
            </w:pPr>
            <w:r>
              <w:rPr>
                <w:b/>
                <w:bCs/>
                <w:sz w:val="20"/>
                <w:szCs w:val="20"/>
                <w:lang w:val="en-AU" w:eastAsia="en-AU"/>
              </w:rPr>
              <w:t>{{domain_scores.Wellbeing.Risk}}</w:t>
            </w:r>
          </w:p>
        </w:tc>
        <w:tc>
          <w:tcPr>
            <w:tcW w:w="5061" w:type="dxa"/>
            <w:tcBorders>
              <w:top w:val="single" w:sz="4" w:space="0" w:color="000000"/>
              <w:start w:val="single" w:sz="4" w:space="0" w:color="000000"/>
              <w:bottom w:val="single" w:sz="4" w:space="0" w:color="000000"/>
              <w:end w:val="single" w:sz="4" w:space="0" w:color="000000"/>
            </w:tcBorders>
          </w:tcPr>
          <w:p>
            <w:pPr>
              <w:pStyle w:val="Normal"/>
              <w:keepNext w:val="true"/>
              <w:spacing w:before="0" w:after="160"/>
              <w:rPr>
                <w:sz w:val="20"/>
                <w:szCs w:val="20"/>
                <w:lang w:val="en-AU" w:eastAsia="en-AU"/>
              </w:rPr>
            </w:pPr>
            <w:r>
              <w:rPr>
                <w:sz w:val="20"/>
                <w:szCs w:val="20"/>
                <w:lang w:val="en-AU" w:eastAsia="en-AU"/>
              </w:rPr>
              <w:t>Ongoing risk requiring management and explicit consideration</w:t>
            </w:r>
          </w:p>
        </w:tc>
      </w:tr>
    </w:tbl>
    <w:p>
      <w:pPr>
        <w:pStyle w:val="Caption"/>
        <w:rPr>
          <w:lang w:eastAsia="en-AU"/>
        </w:rPr>
      </w:pPr>
      <w:bookmarkStart w:id="22" w:name="_Toc220351609"/>
      <w:r>
        <w:rPr/>
        <w:t xml:space="preserve">Table </w:t>
      </w:r>
      <w:r>
        <w:rPr/>
        <w:fldChar w:fldCharType="begin"/>
      </w:r>
      <w:r>
        <w:rPr/>
        <w:instrText xml:space="preserve"> SEQ Table \* ARABIC </w:instrText>
      </w:r>
      <w:r>
        <w:rPr/>
        <w:fldChar w:fldCharType="separate"/>
      </w:r>
      <w:r>
        <w:rPr/>
        <w:t>10</w:t>
      </w:r>
      <w:r>
        <w:rPr/>
        <w:fldChar w:fldCharType="end"/>
      </w:r>
      <w:r>
        <w:rPr/>
        <w:t xml:space="preserve"> - Human, Societal and Environmental Wellbeing FAIRA domain risk profile</w:t>
      </w:r>
      <w:bookmarkEnd w:id="22"/>
    </w:p>
    <w:p>
      <w:pPr>
        <w:pStyle w:val="Normal"/>
        <w:rPr>
          <w:b/>
          <w:bCs/>
          <w:lang w:val="en-AU" w:eastAsia="en-AU"/>
        </w:rPr>
      </w:pPr>
      <w:r>
        <w:rPr>
          <w:b/>
          <w:bCs/>
          <w:lang w:val="en-AU" w:eastAsia="en-AU"/>
        </w:rPr>
        <w:t>Domain Interpretation</w:t>
      </w:r>
    </w:p>
    <w:p>
      <w:pPr>
        <w:pStyle w:val="Normal"/>
        <w:rPr>
          <w:lang w:val="en-AU" w:eastAsia="en-AU"/>
        </w:rPr>
      </w:pPr>
      <w:r>
        <w:rPr>
          <w:lang w:val="en-AU" w:eastAsia="en-AU"/>
        </w:rPr>
        <w:t>Human, societal, and environmental wellbeing risks associated with AI systems often arise indirectly and may not be immediately observable. Such impacts can extend beyond individual users to affect broader groups, social dynamics, or environmental conditions over time. As a result, this domain should be interpreted in the context of cumulative effects, uncertainty, and interactions with other risk domains, rather than as a measure of immediate or isolated outcomes.</w:t>
      </w:r>
    </w:p>
    <w:p>
      <w:pPr>
        <w:pStyle w:val="Normal"/>
        <w:rPr>
          <w:lang w:val="en-AU" w:eastAsia="en-AU"/>
        </w:rPr>
      </w:pPr>
      <w:r>
        <w:rPr>
          <w:lang w:val="en-AU" w:eastAsia="en-AU"/>
        </w:rPr>
        <w:t>Wellbeing considerations may evolve as system use, scale, or operating conditions change. Accordingly, this domain provides an important lens for understanding potential longer-term and systemic impacts, and should be considered alongside governance, accountability, and monitoring arrangements when evaluating the overall risk profile of the AI system.</w:t>
      </w:r>
    </w:p>
    <w:p>
      <w:pPr>
        <w:pStyle w:val="Normal"/>
        <w:rPr>
          <w:b/>
          <w:bCs/>
          <w:lang w:eastAsia="en-AU"/>
        </w:rPr>
      </w:pPr>
      <w:r>
        <w:rPr>
          <w:b/>
          <w:bCs/>
          <w:lang w:eastAsia="en-AU"/>
        </w:rPr>
        <w:t>What would change this score?</w:t>
      </w:r>
    </w:p>
    <w:p>
      <w:pPr>
        <w:pStyle w:val="Normal"/>
        <w:rPr>
          <w:lang w:val="en-AU" w:eastAsia="en-AU"/>
        </w:rPr>
      </w:pPr>
      <w:r>
        <w:rPr>
          <w:lang w:eastAsia="en-AU"/>
        </w:rPr>
        <w:t>The factors below represent governance, operational, or design changes that are likely to materially influence the assessed risk level for this domain over time. These factors are illustrative and should be considered in the context of the system's operating environment and risk appetite.</w:t>
      </w:r>
    </w:p>
    <w:p>
      <w:pPr>
        <w:pStyle w:val="ListParagraph"/>
        <w:numPr>
          <w:ilvl w:val="0"/>
          <w:numId w:val="5"/>
        </w:numPr>
        <w:spacing w:before="60" w:after="60"/>
        <w:contextualSpacing w:val="false"/>
        <w:rPr>
          <w:lang w:val="en-AU" w:eastAsia="en-AU"/>
        </w:rPr>
      </w:pPr>
      <w:r>
        <w:rPr>
          <w:lang w:val="en-AU" w:eastAsia="en-AU"/>
        </w:rPr>
        <w:t>Formal identification and documentation of potential impacts on individuals, communities, workforce conditions, or public trust.</w:t>
      </w:r>
    </w:p>
    <w:p>
      <w:pPr>
        <w:pStyle w:val="ListParagraph"/>
        <w:numPr>
          <w:ilvl w:val="0"/>
          <w:numId w:val="5"/>
        </w:numPr>
        <w:spacing w:before="60" w:after="60"/>
        <w:contextualSpacing w:val="false"/>
        <w:rPr>
          <w:lang w:val="en-AU" w:eastAsia="en-AU"/>
        </w:rPr>
      </w:pPr>
      <w:r>
        <w:rPr>
          <w:lang w:val="en-AU" w:eastAsia="en-AU"/>
        </w:rPr>
        <w:t>Clear mechanisms for detecting unintended or harmful outcomes during system operation.</w:t>
      </w:r>
    </w:p>
    <w:p>
      <w:pPr>
        <w:pStyle w:val="ListParagraph"/>
        <w:numPr>
          <w:ilvl w:val="0"/>
          <w:numId w:val="5"/>
        </w:numPr>
        <w:spacing w:before="60" w:after="60"/>
        <w:contextualSpacing w:val="false"/>
        <w:rPr>
          <w:lang w:val="en-AU" w:eastAsia="en-AU"/>
        </w:rPr>
      </w:pPr>
      <w:r>
        <w:rPr>
          <w:lang w:val="en-AU" w:eastAsia="en-AU"/>
        </w:rPr>
        <w:t>Engagement with affected stakeholders or user groups to understand real-world impacts.</w:t>
      </w:r>
    </w:p>
    <w:p>
      <w:pPr>
        <w:pStyle w:val="ListParagraph"/>
        <w:numPr>
          <w:ilvl w:val="0"/>
          <w:numId w:val="5"/>
        </w:numPr>
        <w:spacing w:before="60" w:after="60"/>
        <w:contextualSpacing w:val="false"/>
        <w:rPr>
          <w:lang w:val="en-AU" w:eastAsia="en-AU"/>
        </w:rPr>
      </w:pPr>
      <w:r>
        <w:rPr>
          <w:lang w:val="en-AU" w:eastAsia="en-AU"/>
        </w:rPr>
        <w:t>Governance processes that explicitly consider cumulative, long-term, or indirect impacts.</w:t>
      </w:r>
    </w:p>
    <w:p>
      <w:pPr>
        <w:pStyle w:val="ListParagraph"/>
        <w:numPr>
          <w:ilvl w:val="0"/>
          <w:numId w:val="5"/>
        </w:numPr>
        <w:spacing w:before="60" w:after="60"/>
        <w:contextualSpacing w:val="false"/>
        <w:rPr>
          <w:lang w:val="en-AU" w:eastAsia="en-AU"/>
        </w:rPr>
      </w:pPr>
      <w:r>
        <w:rPr>
          <w:lang w:val="en-AU" w:eastAsia="en-AU"/>
        </w:rPr>
        <w:t>Periodic review of wellbeing impacts as system use, scale, or context evolves.</w:t>
      </w:r>
    </w:p>
    <w:p>
      <w:pPr>
        <w:pStyle w:val="Normal"/>
        <w:rPr>
          <w:b/>
          <w:bCs/>
          <w:lang w:val="en-AU" w:eastAsia="en-AU"/>
        </w:rPr>
      </w:pPr>
      <w:r>
        <w:rPr>
          <w:b/>
          <w:bCs/>
          <w:lang w:val="en-AU" w:eastAsia="en-AU"/>
        </w:rPr>
      </w:r>
    </w:p>
    <w:p>
      <w:pPr>
        <w:pStyle w:val="Heading02"/>
        <w:numPr>
          <w:ilvl w:val="1"/>
          <w:numId w:val="1"/>
        </w:numPr>
        <w:ind w:hanging="432" w:start="432"/>
        <w:rPr>
          <w:lang w:val="en-AU" w:eastAsia="en-AU"/>
        </w:rPr>
      </w:pPr>
      <w:bookmarkStart w:id="23" w:name="_Toc220351610"/>
      <w:r>
        <w:rPr>
          <w:lang w:val="en-AU" w:eastAsia="en-AU"/>
        </w:rPr>
        <w:t>Human-Centred Values</w:t>
      </w:r>
      <w:bookmarkEnd w:id="23"/>
    </w:p>
    <w:p>
      <w:pPr>
        <w:pStyle w:val="Normal"/>
        <w:rPr>
          <w:lang w:val="en-AU" w:eastAsia="en-AU"/>
        </w:rPr>
      </w:pPr>
      <w:r>
        <w:rPr>
          <w:lang w:val="en-AU" w:eastAsia="en-AU"/>
        </w:rPr>
        <w:t>This domain examines the extent to which the AI system has been designed, developed, and deployed in a manner that reflects human-centred values, including respect for human autonomy, dignity, agency, and alignment with stated ethical principles. It focuses on whether human values have been meaningfully considered throughout the system lifecycle, rather than treating ethical considerations as purely procedural or compliance-driven.</w:t>
      </w:r>
    </w:p>
    <w:p>
      <w:pPr>
        <w:pStyle w:val="Normal"/>
        <w:rPr>
          <w:lang w:val="en-AU" w:eastAsia="en-AU"/>
        </w:rPr>
      </w:pPr>
      <w:r>
        <w:rPr>
          <w:lang w:val="en-AU" w:eastAsia="en-AU"/>
        </w:rPr>
        <w:t>The assessment considers how values are articulated, embedded, and operationalised within the system's design and governance arrangements. This includes the presence of documented principles ({{ faira_form.B2_1 | format_list }}), the degree to which these principles inform decision-making and system behaviour ({{ faira_form.B2_2 }}), and whether value alignment is reinforced through governance, training, or oversight mechanisms ({{ faira_form.A5_9 | format_list }}). The assessment does not assume intent or outcome, but evaluates the extent to which human-centred considerations are systematically addressed.</w:t>
      </w:r>
    </w:p>
    <w:p>
      <w:pPr>
        <w:pStyle w:val="Normal"/>
        <w:rPr>
          <w:lang w:val="en-AU" w:eastAsia="en-AU"/>
        </w:rPr>
      </w:pPr>
      <w:r>
        <w:rPr>
          <w:lang w:val="en-AU" w:eastAsia="en-AU"/>
        </w:rPr>
        <w:t xml:space="preserve">For the Human-Centred Values domain, the assessed </w:t>
      </w:r>
      <w:r>
        <w:rPr>
          <w:b/>
          <w:bCs/>
          <w:lang w:val="en-AU" w:eastAsia="en-AU"/>
        </w:rPr>
        <w:t>impact score</w:t>
      </w:r>
      <w:r>
        <w:rPr>
          <w:lang w:val="en-AU" w:eastAsia="en-AU"/>
        </w:rPr>
        <w:t xml:space="preserve"> was </w:t>
      </w:r>
      <w:r>
        <w:rPr>
          <w:b/>
          <w:bCs/>
          <w:lang w:val="en-AU" w:eastAsia="en-AU"/>
        </w:rPr>
        <w:t>{{domain_scores.HumanCenteredValues.Impact}}</w:t>
      </w:r>
      <w:r>
        <w:rPr>
          <w:lang w:val="en-AU" w:eastAsia="en-AU"/>
        </w:rPr>
        <w:t xml:space="preserve">, reflecting the potential severity of misalignment between system behaviour and human values should such misalignment occur. The </w:t>
      </w:r>
      <w:r>
        <w:rPr>
          <w:b/>
          <w:bCs/>
          <w:lang w:val="en-AU" w:eastAsia="en-AU"/>
        </w:rPr>
        <w:t>likelihood score</w:t>
      </w:r>
      <w:r>
        <w:rPr>
          <w:lang w:val="en-AU" w:eastAsia="en-AU"/>
        </w:rPr>
        <w:t xml:space="preserve"> was assessed as </w:t>
      </w:r>
      <w:r>
        <w:rPr>
          <w:b/>
          <w:bCs/>
          <w:lang w:val="en-AU" w:eastAsia="en-AU"/>
        </w:rPr>
        <w:t>{{domain_scores.HumanCenteredValues.Likelihood}}</w:t>
      </w:r>
      <w:r>
        <w:rPr>
          <w:lang w:val="en-AU" w:eastAsia="en-AU"/>
        </w:rPr>
        <w:t>, informed by the clarity, consistency, and practical application of stated values across the system lifecycle.</w:t>
      </w:r>
    </w:p>
    <w:p>
      <w:pPr>
        <w:pStyle w:val="Normal"/>
        <w:rPr>
          <w:lang w:val="en-AU" w:eastAsia="en-AU"/>
        </w:rPr>
      </w:pPr>
      <w:r>
        <w:rPr>
          <w:lang w:val="en-AU" w:eastAsia="en-AU"/>
        </w:rPr>
        <w:t xml:space="preserve">The effectiveness of existing controls relevant to this domain was assessed as </w:t>
      </w:r>
      <w:r>
        <w:rPr>
          <w:b/>
          <w:bCs/>
          <w:lang w:val="en-AU" w:eastAsia="en-AU"/>
        </w:rPr>
        <w:t>{{domain_scores.HumanCenteredValues.Control_Effectiveness}}</w:t>
      </w:r>
      <w:r>
        <w:rPr>
          <w:lang w:val="en-AU" w:eastAsia="en-AU"/>
        </w:rPr>
        <w:t xml:space="preserve">, taking into account governance mechanisms, accountability structures, and processes intended to reinforce ethical alignment. After accounting for these controls, the resulting </w:t>
      </w:r>
      <w:r>
        <w:rPr>
          <w:b/>
          <w:bCs/>
          <w:lang w:val="en-AU" w:eastAsia="en-AU"/>
        </w:rPr>
        <w:t>residual domain risk score</w:t>
      </w:r>
      <w:r>
        <w:rPr>
          <w:lang w:val="en-AU" w:eastAsia="en-AU"/>
        </w:rPr>
        <w:t xml:space="preserve"> is </w:t>
      </w:r>
      <w:r>
        <w:rPr>
          <w:b/>
          <w:bCs/>
          <w:lang w:val="en-AU" w:eastAsia="en-AU"/>
        </w:rPr>
        <w:t>{{domain_scores.HumanCenteredValues.Risk}}</w:t>
      </w:r>
      <w:r>
        <w:rPr>
          <w:lang w:val="en-AU" w:eastAsia="en-AU"/>
        </w:rPr>
        <w:t>.</w:t>
      </w:r>
    </w:p>
    <w:p>
      <w:pPr>
        <w:pStyle w:val="Normal"/>
        <w:rPr>
          <w:lang w:val="en-AU" w:eastAsia="en-AU"/>
        </w:rPr>
      </w:pPr>
      <w:r>
        <w:rPr>
          <w:lang w:val="en-AU" w:eastAsia="en-AU"/>
        </w:rPr>
        <w:t xml:space="preserve">These results represent </w:t>
      </w:r>
      <w:r>
        <w:rPr>
          <w:b/>
          <w:bCs/>
          <w:lang w:val="en-AU" w:eastAsia="en-AU"/>
        </w:rPr>
        <w:t>residual risk</w:t>
      </w:r>
      <w:r>
        <w:rPr>
          <w:lang w:val="en-AU" w:eastAsia="en-AU"/>
        </w:rPr>
        <w:t>, indicating the extent to which potential misalignment with human-centred values may persist under current operating conditions and governance arrangements.</w:t>
      </w:r>
    </w:p>
    <w:p>
      <w:pPr>
        <w:pStyle w:val="Normal"/>
        <w:rPr>
          <w:lang w:val="en-AU" w:eastAsia="en-AU"/>
        </w:rPr>
      </w:pPr>
      <w:r>
        <w:rPr/>
        <mc:AlternateContent>
          <mc:Choice Requires="wps">
            <w:drawing>
              <wp:inline distT="0" distB="0" distL="0" distR="0">
                <wp:extent cx="5731510" cy="19050"/>
                <wp:effectExtent l="0" t="0" r="0" b="0"/>
                <wp:docPr id="10" name=""/>
                <a:graphic xmlns:a="http://schemas.openxmlformats.org/drawingml/2006/main">
                  <a:graphicData uri="http://schemas.microsoft.com/office/word/2010/wordprocessingShape">
                    <wps:wsp>
                      <wps:cNvSpPr/>
                      <wps:nvSpPr>
                        <wps:cNvPr id="11" name=""/>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b/>
          <w:bCs/>
          <w:lang w:val="en-AU" w:eastAsia="en-AU"/>
        </w:rPr>
      </w:pPr>
      <w:r>
        <w:rPr>
          <w:b/>
          <w:bCs/>
          <w:lang w:val="en-AU" w:eastAsia="en-AU"/>
        </w:rPr>
        <w:t>Key Human-Centred Value Risk Considerations</w:t>
      </w:r>
    </w:p>
    <w:p>
      <w:pPr>
        <w:pStyle w:val="Normal"/>
        <w:numPr>
          <w:ilvl w:val="0"/>
          <w:numId w:val="6"/>
        </w:numPr>
        <w:rPr>
          <w:lang w:val="en-AU" w:eastAsia="en-AU"/>
        </w:rPr>
      </w:pPr>
      <w:r>
        <w:rPr>
          <w:b/>
          <w:bCs/>
          <w:lang w:val="en-AU" w:eastAsia="en-AU"/>
        </w:rPr>
        <w:t>Articulation of values:</w:t>
      </w:r>
      <w:r>
        <w:rPr>
          <w:lang w:val="en-AU" w:eastAsia="en-AU"/>
        </w:rPr>
        <w:t xml:space="preserve"> Human-centred or ethical principles identified for the system include {{ faira_form.B2_1 | format_list }}.</w:t>
      </w:r>
    </w:p>
    <w:p>
      <w:pPr>
        <w:pStyle w:val="Normal"/>
        <w:numPr>
          <w:ilvl w:val="0"/>
          <w:numId w:val="6"/>
        </w:numPr>
        <w:rPr>
          <w:lang w:val="en-AU" w:eastAsia="en-AU"/>
        </w:rPr>
      </w:pPr>
      <w:r>
        <w:rPr>
          <w:b/>
          <w:bCs/>
          <w:lang w:val="en-AU" w:eastAsia="en-AU"/>
        </w:rPr>
        <w:t>Operationalisation:</w:t>
      </w:r>
      <w:r>
        <w:rPr>
          <w:lang w:val="en-AU" w:eastAsia="en-AU"/>
        </w:rPr>
        <w:t xml:space="preserve"> The extent to which these principles are reflected in system design and decision-making has been assessed as {{ faira_form.B2_2 }}.</w:t>
      </w:r>
    </w:p>
    <w:p>
      <w:pPr>
        <w:pStyle w:val="Normal"/>
        <w:numPr>
          <w:ilvl w:val="0"/>
          <w:numId w:val="6"/>
        </w:numPr>
        <w:rPr>
          <w:lang w:val="en-AU" w:eastAsia="en-AU"/>
        </w:rPr>
      </w:pPr>
      <w:r>
        <w:rPr>
          <w:b/>
          <w:bCs/>
          <w:lang w:val="en-AU" w:eastAsia="en-AU"/>
        </w:rPr>
        <w:t>Governance reinforcement:</w:t>
      </w:r>
      <w:r>
        <w:rPr>
          <w:lang w:val="en-AU" w:eastAsia="en-AU"/>
        </w:rPr>
        <w:t xml:space="preserve"> Mechanisms supporting ethical alignment include {{ faira_form.A5_9 | format_list if faira_form.A5_9 else "no explicitly defined reinforcement mechanisms" }}.</w:t>
      </w:r>
    </w:p>
    <w:p>
      <w:pPr>
        <w:pStyle w:val="Normal"/>
        <w:numPr>
          <w:ilvl w:val="0"/>
          <w:numId w:val="6"/>
        </w:numPr>
        <w:rPr>
          <w:lang w:val="en-AU" w:eastAsia="en-AU"/>
        </w:rPr>
      </w:pPr>
      <w:r>
        <w:rPr>
          <w:b/>
          <w:bCs/>
          <w:lang w:val="en-AU" w:eastAsia="en-AU"/>
        </w:rPr>
        <w:t>Lifecycle coverage:</w:t>
      </w:r>
      <w:r>
        <w:rPr>
          <w:lang w:val="en-AU" w:eastAsia="en-AU"/>
        </w:rPr>
        <w:t xml:space="preserve"> Consideration of human-centred values across development, deployment, and operation contributes to the likelihood of alignment being sustained over time.</w:t>
      </w:r>
    </w:p>
    <w:p>
      <w:pPr>
        <w:pStyle w:val="Normal"/>
        <w:rPr>
          <w:lang w:eastAsia="en-AU"/>
        </w:rPr>
      </w:pPr>
      <w:r>
        <w:rPr>
          <w:lang w:eastAsia="en-AU"/>
        </w:rPr>
      </w:r>
    </w:p>
    <w:p>
      <w:pPr>
        <w:pStyle w:val="Normal"/>
        <w:rPr>
          <w:b/>
          <w:bCs/>
          <w:lang w:eastAsia="en-AU"/>
        </w:rPr>
      </w:pPr>
      <w:r>
        <w:rPr>
          <w:b/>
          <w:bCs/>
          <w:lang w:eastAsia="en-AU"/>
        </w:rPr>
        <w:t>FAIRA Domain Risk Profile — Human-Centred Values</w:t>
      </w:r>
    </w:p>
    <w:tbl>
      <w:tblPr>
        <w:tblW w:w="9016" w:type="dxa"/>
        <w:jc w:val="start"/>
        <w:tblInd w:w="0" w:type="dxa"/>
        <w:tblLayout w:type="fixed"/>
        <w:tblCellMar>
          <w:top w:w="43" w:type="dxa"/>
          <w:start w:w="43" w:type="dxa"/>
          <w:bottom w:w="43" w:type="dxa"/>
          <w:end w:w="43" w:type="dxa"/>
        </w:tblCellMar>
        <w:tblLook w:firstRow="1" w:noVBand="1" w:lastRow="0" w:firstColumn="1" w:lastColumn="0" w:noHBand="0" w:val="04a0"/>
      </w:tblPr>
      <w:tblGrid>
        <w:gridCol w:w="2034"/>
        <w:gridCol w:w="2281"/>
        <w:gridCol w:w="4701"/>
      </w:tblGrid>
      <w:tr>
        <w:trPr>
          <w:tblHeader w:val="true"/>
        </w:trPr>
        <w:tc>
          <w:tcPr>
            <w:tcW w:w="2034" w:type="dxa"/>
            <w:tcBorders>
              <w:top w:val="single" w:sz="4" w:space="0" w:color="000000"/>
              <w:start w:val="single" w:sz="4" w:space="0" w:color="000000"/>
              <w:bottom w:val="single" w:sz="4" w:space="0" w:color="000000"/>
              <w:end w:val="single" w:sz="4" w:space="0" w:color="000000"/>
            </w:tcBorders>
            <w:shd w:color="auto" w:fill="D9D9D9" w:themeFill="background1" w:themeFillShade="d9" w:val="clear"/>
          </w:tcPr>
          <w:p>
            <w:pPr>
              <w:pStyle w:val="Normal"/>
              <w:spacing w:before="0" w:after="160"/>
              <w:rPr>
                <w:b/>
                <w:bCs/>
                <w:sz w:val="20"/>
                <w:szCs w:val="20"/>
                <w:lang w:val="en-AU" w:eastAsia="en-AU"/>
              </w:rPr>
            </w:pPr>
            <w:r>
              <w:rPr>
                <w:b/>
                <w:bCs/>
                <w:sz w:val="20"/>
                <w:szCs w:val="20"/>
                <w:lang w:val="en-AU" w:eastAsia="en-AU"/>
              </w:rPr>
              <w:t>Measure</w:t>
            </w:r>
          </w:p>
        </w:tc>
        <w:tc>
          <w:tcPr>
            <w:tcW w:w="2281" w:type="dxa"/>
            <w:tcBorders>
              <w:top w:val="single" w:sz="4" w:space="0" w:color="000000"/>
              <w:start w:val="single" w:sz="4" w:space="0" w:color="000000"/>
              <w:bottom w:val="single" w:sz="4" w:space="0" w:color="000000"/>
              <w:end w:val="single" w:sz="4" w:space="0" w:color="000000"/>
            </w:tcBorders>
            <w:shd w:color="auto" w:fill="D9D9D9" w:themeFill="background1" w:themeFillShade="d9" w:val="clear"/>
          </w:tcPr>
          <w:p>
            <w:pPr>
              <w:pStyle w:val="Normal"/>
              <w:spacing w:before="0" w:after="160"/>
              <w:rPr>
                <w:b/>
                <w:bCs/>
                <w:sz w:val="20"/>
                <w:szCs w:val="20"/>
                <w:lang w:val="en-AU" w:eastAsia="en-AU"/>
              </w:rPr>
            </w:pPr>
            <w:r>
              <w:rPr>
                <w:b/>
                <w:bCs/>
                <w:sz w:val="20"/>
                <w:szCs w:val="20"/>
                <w:lang w:val="en-AU" w:eastAsia="en-AU"/>
              </w:rPr>
              <w:t>Score</w:t>
            </w:r>
          </w:p>
        </w:tc>
        <w:tc>
          <w:tcPr>
            <w:tcW w:w="4701" w:type="dxa"/>
            <w:tcBorders>
              <w:top w:val="single" w:sz="4" w:space="0" w:color="000000"/>
              <w:start w:val="single" w:sz="4" w:space="0" w:color="000000"/>
              <w:bottom w:val="single" w:sz="4" w:space="0" w:color="000000"/>
              <w:end w:val="single" w:sz="4" w:space="0" w:color="000000"/>
            </w:tcBorders>
            <w:shd w:color="auto" w:fill="D9D9D9" w:themeFill="background1" w:themeFillShade="d9" w:val="clear"/>
          </w:tcPr>
          <w:p>
            <w:pPr>
              <w:pStyle w:val="Normal"/>
              <w:spacing w:before="0" w:after="160"/>
              <w:rPr>
                <w:b/>
                <w:bCs/>
                <w:sz w:val="20"/>
                <w:szCs w:val="20"/>
                <w:lang w:val="en-AU" w:eastAsia="en-AU"/>
              </w:rPr>
            </w:pPr>
            <w:r>
              <w:rPr>
                <w:b/>
                <w:bCs/>
                <w:sz w:val="20"/>
                <w:szCs w:val="20"/>
                <w:lang w:val="en-AU" w:eastAsia="en-AU"/>
              </w:rPr>
              <w:t>Interpretation</w:t>
            </w:r>
          </w:p>
        </w:tc>
      </w:tr>
      <w:tr>
        <w:trPr/>
        <w:tc>
          <w:tcPr>
            <w:tcW w:w="2034" w:type="dxa"/>
            <w:tcBorders>
              <w:top w:val="single" w:sz="4" w:space="0" w:color="000000"/>
              <w:start w:val="single" w:sz="4" w:space="0" w:color="000000"/>
              <w:bottom w:val="single" w:sz="4" w:space="0" w:color="000000"/>
              <w:end w:val="single" w:sz="4" w:space="0" w:color="000000"/>
            </w:tcBorders>
          </w:tcPr>
          <w:p>
            <w:pPr>
              <w:pStyle w:val="Normal"/>
              <w:spacing w:before="0" w:after="160"/>
              <w:rPr>
                <w:sz w:val="20"/>
                <w:szCs w:val="20"/>
                <w:lang w:val="en-AU" w:eastAsia="en-AU"/>
              </w:rPr>
            </w:pPr>
            <w:r>
              <w:rPr>
                <w:sz w:val="20"/>
                <w:szCs w:val="20"/>
                <w:lang w:val="en-AU" w:eastAsia="en-AU"/>
              </w:rPr>
              <w:t>Impact</w:t>
            </w:r>
          </w:p>
        </w:tc>
        <w:tc>
          <w:tcPr>
            <w:tcW w:w="2281" w:type="dxa"/>
            <w:tcBorders>
              <w:top w:val="single" w:sz="4" w:space="0" w:color="000000"/>
              <w:start w:val="single" w:sz="4" w:space="0" w:color="000000"/>
              <w:bottom w:val="single" w:sz="4" w:space="0" w:color="000000"/>
              <w:end w:val="single" w:sz="4" w:space="0" w:color="000000"/>
            </w:tcBorders>
          </w:tcPr>
          <w:p>
            <w:pPr>
              <w:pStyle w:val="Normal"/>
              <w:spacing w:before="0" w:after="160"/>
              <w:rPr>
                <w:sz w:val="20"/>
                <w:szCs w:val="20"/>
                <w:lang w:val="en-AU" w:eastAsia="en-AU"/>
              </w:rPr>
            </w:pPr>
            <w:r>
              <w:rPr>
                <w:sz w:val="20"/>
                <w:szCs w:val="20"/>
                <w:lang w:val="en-AU" w:eastAsia="en-AU"/>
              </w:rPr>
              <w:t>{{domain_scores.HumanCenteredValues.Impact}}</w:t>
            </w:r>
          </w:p>
        </w:tc>
        <w:tc>
          <w:tcPr>
            <w:tcW w:w="4701" w:type="dxa"/>
            <w:tcBorders>
              <w:top w:val="single" w:sz="4" w:space="0" w:color="000000"/>
              <w:start w:val="single" w:sz="4" w:space="0" w:color="000000"/>
              <w:bottom w:val="single" w:sz="4" w:space="0" w:color="000000"/>
              <w:end w:val="single" w:sz="4" w:space="0" w:color="000000"/>
            </w:tcBorders>
          </w:tcPr>
          <w:p>
            <w:pPr>
              <w:pStyle w:val="Normal"/>
              <w:spacing w:before="0" w:after="160"/>
              <w:rPr>
                <w:sz w:val="20"/>
                <w:szCs w:val="20"/>
                <w:lang w:val="en-AU" w:eastAsia="en-AU"/>
              </w:rPr>
            </w:pPr>
            <w:r>
              <w:rPr>
                <w:sz w:val="20"/>
                <w:szCs w:val="20"/>
                <w:lang w:val="en-AU" w:eastAsia="en-AU"/>
              </w:rPr>
              <w:t>Potential severity of harm arising from misalignment with human-centred values</w:t>
            </w:r>
          </w:p>
        </w:tc>
      </w:tr>
      <w:tr>
        <w:trPr/>
        <w:tc>
          <w:tcPr>
            <w:tcW w:w="2034" w:type="dxa"/>
            <w:tcBorders>
              <w:top w:val="single" w:sz="4" w:space="0" w:color="000000"/>
              <w:start w:val="single" w:sz="4" w:space="0" w:color="000000"/>
              <w:bottom w:val="single" w:sz="4" w:space="0" w:color="000000"/>
              <w:end w:val="single" w:sz="4" w:space="0" w:color="000000"/>
            </w:tcBorders>
          </w:tcPr>
          <w:p>
            <w:pPr>
              <w:pStyle w:val="Normal"/>
              <w:spacing w:before="0" w:after="160"/>
              <w:rPr>
                <w:sz w:val="20"/>
                <w:szCs w:val="20"/>
                <w:lang w:val="en-AU" w:eastAsia="en-AU"/>
              </w:rPr>
            </w:pPr>
            <w:r>
              <w:rPr>
                <w:sz w:val="20"/>
                <w:szCs w:val="20"/>
                <w:lang w:val="en-AU" w:eastAsia="en-AU"/>
              </w:rPr>
              <w:t>Likelihood</w:t>
            </w:r>
          </w:p>
        </w:tc>
        <w:tc>
          <w:tcPr>
            <w:tcW w:w="2281" w:type="dxa"/>
            <w:tcBorders>
              <w:top w:val="single" w:sz="4" w:space="0" w:color="000000"/>
              <w:start w:val="single" w:sz="4" w:space="0" w:color="000000"/>
              <w:bottom w:val="single" w:sz="4" w:space="0" w:color="000000"/>
              <w:end w:val="single" w:sz="4" w:space="0" w:color="000000"/>
            </w:tcBorders>
          </w:tcPr>
          <w:p>
            <w:pPr>
              <w:pStyle w:val="Normal"/>
              <w:spacing w:before="0" w:after="160"/>
              <w:rPr>
                <w:sz w:val="20"/>
                <w:szCs w:val="20"/>
                <w:lang w:val="en-AU" w:eastAsia="en-AU"/>
              </w:rPr>
            </w:pPr>
            <w:r>
              <w:rPr>
                <w:sz w:val="20"/>
                <w:szCs w:val="20"/>
                <w:lang w:val="en-AU" w:eastAsia="en-AU"/>
              </w:rPr>
              <w:t>{{domain_scores.HumanCenteredValues.Likelihood}}</w:t>
            </w:r>
          </w:p>
        </w:tc>
        <w:tc>
          <w:tcPr>
            <w:tcW w:w="4701" w:type="dxa"/>
            <w:tcBorders>
              <w:top w:val="single" w:sz="4" w:space="0" w:color="000000"/>
              <w:start w:val="single" w:sz="4" w:space="0" w:color="000000"/>
              <w:bottom w:val="single" w:sz="4" w:space="0" w:color="000000"/>
              <w:end w:val="single" w:sz="4" w:space="0" w:color="000000"/>
            </w:tcBorders>
          </w:tcPr>
          <w:p>
            <w:pPr>
              <w:pStyle w:val="Normal"/>
              <w:spacing w:before="0" w:after="160"/>
              <w:rPr>
                <w:sz w:val="20"/>
                <w:szCs w:val="20"/>
                <w:lang w:val="en-AU" w:eastAsia="en-AU"/>
              </w:rPr>
            </w:pPr>
            <w:r>
              <w:rPr>
                <w:sz w:val="20"/>
                <w:szCs w:val="20"/>
                <w:lang w:val="en-AU" w:eastAsia="en-AU"/>
              </w:rPr>
              <w:t>Probability that misalignment may occur under current conditions</w:t>
            </w:r>
          </w:p>
        </w:tc>
      </w:tr>
      <w:tr>
        <w:trPr/>
        <w:tc>
          <w:tcPr>
            <w:tcW w:w="2034" w:type="dxa"/>
            <w:tcBorders>
              <w:top w:val="single" w:sz="4" w:space="0" w:color="000000"/>
              <w:start w:val="single" w:sz="4" w:space="0" w:color="000000"/>
              <w:bottom w:val="single" w:sz="4" w:space="0" w:color="000000"/>
              <w:end w:val="single" w:sz="4" w:space="0" w:color="000000"/>
            </w:tcBorders>
          </w:tcPr>
          <w:p>
            <w:pPr>
              <w:pStyle w:val="Normal"/>
              <w:spacing w:before="0" w:after="160"/>
              <w:rPr>
                <w:sz w:val="20"/>
                <w:szCs w:val="20"/>
                <w:lang w:val="en-AU" w:eastAsia="en-AU"/>
              </w:rPr>
            </w:pPr>
            <w:r>
              <w:rPr>
                <w:sz w:val="20"/>
                <w:szCs w:val="20"/>
                <w:lang w:val="en-AU" w:eastAsia="en-AU"/>
              </w:rPr>
              <w:t>Baseline exposure (context only)</w:t>
            </w:r>
          </w:p>
        </w:tc>
        <w:tc>
          <w:tcPr>
            <w:tcW w:w="2281" w:type="dxa"/>
            <w:tcBorders>
              <w:top w:val="single" w:sz="4" w:space="0" w:color="000000"/>
              <w:start w:val="single" w:sz="4" w:space="0" w:color="000000"/>
              <w:bottom w:val="single" w:sz="4" w:space="0" w:color="000000"/>
              <w:end w:val="single" w:sz="4" w:space="0" w:color="000000"/>
            </w:tcBorders>
          </w:tcPr>
          <w:p>
            <w:pPr>
              <w:pStyle w:val="Normal"/>
              <w:spacing w:before="0" w:after="160"/>
              <w:rPr>
                <w:sz w:val="20"/>
                <w:szCs w:val="20"/>
                <w:lang w:val="en-AU" w:eastAsia="en-AU"/>
              </w:rPr>
            </w:pPr>
            <w:r>
              <w:rPr>
                <w:sz w:val="20"/>
                <w:szCs w:val="20"/>
                <w:lang w:val="en-AU" w:eastAsia="en-AU"/>
              </w:rPr>
              <w:t>{{domain_scores.HumanCenteredValues.Inherent_Risk}}</w:t>
            </w:r>
          </w:p>
        </w:tc>
        <w:tc>
          <w:tcPr>
            <w:tcW w:w="4701" w:type="dxa"/>
            <w:tcBorders>
              <w:top w:val="single" w:sz="4" w:space="0" w:color="000000"/>
              <w:start w:val="single" w:sz="4" w:space="0" w:color="000000"/>
              <w:bottom w:val="single" w:sz="4" w:space="0" w:color="000000"/>
              <w:end w:val="single" w:sz="4" w:space="0" w:color="000000"/>
            </w:tcBorders>
          </w:tcPr>
          <w:p>
            <w:pPr>
              <w:pStyle w:val="Normal"/>
              <w:spacing w:before="0" w:after="160"/>
              <w:rPr>
                <w:sz w:val="20"/>
                <w:szCs w:val="20"/>
                <w:lang w:val="en-AU" w:eastAsia="en-AU"/>
              </w:rPr>
            </w:pPr>
            <w:r>
              <w:rPr>
                <w:sz w:val="20"/>
                <w:szCs w:val="20"/>
                <w:lang w:val="en-AU" w:eastAsia="en-AU"/>
              </w:rPr>
              <w:t>Contextual reference only — not interpreted</w:t>
            </w:r>
          </w:p>
        </w:tc>
      </w:tr>
      <w:tr>
        <w:trPr/>
        <w:tc>
          <w:tcPr>
            <w:tcW w:w="2034" w:type="dxa"/>
            <w:tcBorders>
              <w:top w:val="single" w:sz="4" w:space="0" w:color="000000"/>
              <w:start w:val="single" w:sz="4" w:space="0" w:color="000000"/>
              <w:bottom w:val="single" w:sz="4" w:space="0" w:color="000000"/>
              <w:end w:val="single" w:sz="4" w:space="0" w:color="000000"/>
            </w:tcBorders>
          </w:tcPr>
          <w:p>
            <w:pPr>
              <w:pStyle w:val="Normal"/>
              <w:spacing w:before="0" w:after="160"/>
              <w:rPr>
                <w:sz w:val="20"/>
                <w:szCs w:val="20"/>
                <w:lang w:val="en-AU" w:eastAsia="en-AU"/>
              </w:rPr>
            </w:pPr>
            <w:r>
              <w:rPr>
                <w:sz w:val="20"/>
                <w:szCs w:val="20"/>
                <w:lang w:val="en-AU" w:eastAsia="en-AU"/>
              </w:rPr>
              <w:t>Control effectiveness</w:t>
            </w:r>
          </w:p>
        </w:tc>
        <w:tc>
          <w:tcPr>
            <w:tcW w:w="2281" w:type="dxa"/>
            <w:tcBorders>
              <w:top w:val="single" w:sz="4" w:space="0" w:color="000000"/>
              <w:start w:val="single" w:sz="4" w:space="0" w:color="000000"/>
              <w:bottom w:val="single" w:sz="4" w:space="0" w:color="000000"/>
              <w:end w:val="single" w:sz="4" w:space="0" w:color="000000"/>
            </w:tcBorders>
          </w:tcPr>
          <w:p>
            <w:pPr>
              <w:pStyle w:val="Normal"/>
              <w:spacing w:before="0" w:after="160"/>
              <w:rPr>
                <w:sz w:val="20"/>
                <w:szCs w:val="20"/>
                <w:lang w:val="en-AU" w:eastAsia="en-AU"/>
              </w:rPr>
            </w:pPr>
            <w:r>
              <w:rPr>
                <w:sz w:val="20"/>
                <w:szCs w:val="20"/>
                <w:lang w:val="en-AU" w:eastAsia="en-AU"/>
              </w:rPr>
              <w:t>{{domain_scores.HumanCenteredValues.Control_Effectiveness}}</w:t>
            </w:r>
          </w:p>
        </w:tc>
        <w:tc>
          <w:tcPr>
            <w:tcW w:w="4701" w:type="dxa"/>
            <w:tcBorders>
              <w:top w:val="single" w:sz="4" w:space="0" w:color="000000"/>
              <w:start w:val="single" w:sz="4" w:space="0" w:color="000000"/>
              <w:bottom w:val="single" w:sz="4" w:space="0" w:color="000000"/>
              <w:end w:val="single" w:sz="4" w:space="0" w:color="000000"/>
            </w:tcBorders>
          </w:tcPr>
          <w:p>
            <w:pPr>
              <w:pStyle w:val="Normal"/>
              <w:spacing w:before="0" w:after="160"/>
              <w:rPr>
                <w:sz w:val="20"/>
                <w:szCs w:val="20"/>
                <w:lang w:val="en-AU" w:eastAsia="en-AU"/>
              </w:rPr>
            </w:pPr>
            <w:r>
              <w:rPr>
                <w:sz w:val="20"/>
                <w:szCs w:val="20"/>
                <w:lang w:val="en-AU" w:eastAsia="en-AU"/>
              </w:rPr>
              <w:t>Strength of governance and ethical reinforcement mechanisms</w:t>
            </w:r>
          </w:p>
        </w:tc>
      </w:tr>
      <w:tr>
        <w:trPr/>
        <w:tc>
          <w:tcPr>
            <w:tcW w:w="2034" w:type="dxa"/>
            <w:tcBorders>
              <w:top w:val="single" w:sz="4" w:space="0" w:color="000000"/>
              <w:start w:val="single" w:sz="4" w:space="0" w:color="000000"/>
              <w:bottom w:val="single" w:sz="4" w:space="0" w:color="000000"/>
              <w:end w:val="single" w:sz="4" w:space="0" w:color="000000"/>
            </w:tcBorders>
          </w:tcPr>
          <w:p>
            <w:pPr>
              <w:pStyle w:val="Normal"/>
              <w:spacing w:before="0" w:after="160"/>
              <w:rPr>
                <w:sz w:val="20"/>
                <w:szCs w:val="20"/>
                <w:lang w:val="en-AU" w:eastAsia="en-AU"/>
              </w:rPr>
            </w:pPr>
            <w:r>
              <w:rPr>
                <w:b/>
                <w:bCs/>
                <w:sz w:val="20"/>
                <w:szCs w:val="20"/>
                <w:lang w:val="en-AU" w:eastAsia="en-AU"/>
              </w:rPr>
              <w:t>Residual risk</w:t>
            </w:r>
          </w:p>
        </w:tc>
        <w:tc>
          <w:tcPr>
            <w:tcW w:w="2281" w:type="dxa"/>
            <w:tcBorders>
              <w:top w:val="single" w:sz="4" w:space="0" w:color="000000"/>
              <w:start w:val="single" w:sz="4" w:space="0" w:color="000000"/>
              <w:bottom w:val="single" w:sz="4" w:space="0" w:color="000000"/>
              <w:end w:val="single" w:sz="4" w:space="0" w:color="000000"/>
            </w:tcBorders>
          </w:tcPr>
          <w:p>
            <w:pPr>
              <w:pStyle w:val="Normal"/>
              <w:spacing w:before="0" w:after="160"/>
              <w:rPr>
                <w:sz w:val="20"/>
                <w:szCs w:val="20"/>
                <w:lang w:val="en-AU" w:eastAsia="en-AU"/>
              </w:rPr>
            </w:pPr>
            <w:r>
              <w:rPr>
                <w:b/>
                <w:bCs/>
                <w:sz w:val="20"/>
                <w:szCs w:val="20"/>
                <w:lang w:val="en-AU" w:eastAsia="en-AU"/>
              </w:rPr>
              <w:t>{{domain_scores.HumanCenteredValues.Risk}}</w:t>
            </w:r>
          </w:p>
        </w:tc>
        <w:tc>
          <w:tcPr>
            <w:tcW w:w="4701" w:type="dxa"/>
            <w:tcBorders>
              <w:top w:val="single" w:sz="4" w:space="0" w:color="000000"/>
              <w:start w:val="single" w:sz="4" w:space="0" w:color="000000"/>
              <w:bottom w:val="single" w:sz="4" w:space="0" w:color="000000"/>
              <w:end w:val="single" w:sz="4" w:space="0" w:color="000000"/>
            </w:tcBorders>
          </w:tcPr>
          <w:p>
            <w:pPr>
              <w:pStyle w:val="Normal"/>
              <w:keepNext w:val="true"/>
              <w:spacing w:before="0" w:after="160"/>
              <w:rPr>
                <w:sz w:val="20"/>
                <w:szCs w:val="20"/>
                <w:lang w:val="en-AU" w:eastAsia="en-AU"/>
              </w:rPr>
            </w:pPr>
            <w:r>
              <w:rPr>
                <w:sz w:val="20"/>
                <w:szCs w:val="20"/>
                <w:lang w:val="en-AU" w:eastAsia="en-AU"/>
              </w:rPr>
              <w:t>Ongoing risk requiring consideration and oversight</w:t>
            </w:r>
          </w:p>
        </w:tc>
      </w:tr>
    </w:tbl>
    <w:p>
      <w:pPr>
        <w:pStyle w:val="Caption"/>
        <w:rPr>
          <w:lang w:val="en-AU" w:eastAsia="en-AU"/>
        </w:rPr>
      </w:pPr>
      <w:bookmarkStart w:id="24" w:name="_Toc220351611"/>
      <w:r>
        <w:rPr/>
        <w:t xml:space="preserve">Table </w:t>
      </w:r>
      <w:r>
        <w:rPr/>
        <w:fldChar w:fldCharType="begin"/>
      </w:r>
      <w:r>
        <w:rPr/>
        <w:instrText xml:space="preserve"> SEQ Table \* ARABIC </w:instrText>
      </w:r>
      <w:r>
        <w:rPr/>
        <w:fldChar w:fldCharType="separate"/>
      </w:r>
      <w:r>
        <w:rPr/>
        <w:t>11</w:t>
      </w:r>
      <w:r>
        <w:rPr/>
        <w:fldChar w:fldCharType="end"/>
      </w:r>
      <w:r>
        <w:rPr/>
        <w:t xml:space="preserve"> - Human-Centred Values FAIRA domain risk profile</w:t>
      </w:r>
      <w:bookmarkEnd w:id="24"/>
    </w:p>
    <w:p>
      <w:pPr>
        <w:pStyle w:val="Normal"/>
        <w:rPr>
          <w:b/>
          <w:bCs/>
          <w:lang w:val="en-AU" w:eastAsia="en-AU"/>
        </w:rPr>
      </w:pPr>
      <w:r>
        <w:rPr>
          <w:b/>
          <w:bCs/>
          <w:lang w:val="en-AU" w:eastAsia="en-AU"/>
        </w:rPr>
        <w:t>Domain Interpretation</w:t>
      </w:r>
    </w:p>
    <w:p>
      <w:pPr>
        <w:pStyle w:val="Normal"/>
        <w:rPr>
          <w:lang w:val="en-AU" w:eastAsia="en-AU"/>
        </w:rPr>
      </w:pPr>
      <w:r>
        <w:rPr>
          <w:lang w:val="en-AU" w:eastAsia="en-AU"/>
        </w:rPr>
        <w:t>Human-centred values risks relate to the degree of alignment between an AI system's behaviour and the values, expectations, and rights of the people affected by its use. Such risks may arise even where systems function as intended, particularly if ethical considerations are treated as abstract principles rather than being meaningfully embedded into design, governance, and operational practices.</w:t>
      </w:r>
    </w:p>
    <w:p>
      <w:pPr>
        <w:pStyle w:val="Normal"/>
        <w:rPr>
          <w:lang w:val="en-AU" w:eastAsia="en-AU"/>
        </w:rPr>
      </w:pPr>
      <w:r>
        <w:rPr>
          <w:lang w:val="en-AU" w:eastAsia="en-AU"/>
        </w:rPr>
        <w:t>This domain should be interpreted as an indicator of how systematically human values have been considered and sustained over time, rather than as a measure of intent or ethical correctness. Consideration of human-centred values is inherently contextual and may evolve as system use, scale, or societal expectations change, and should therefore be viewed alongside broader governance and accountability arrangements.</w:t>
      </w:r>
    </w:p>
    <w:p>
      <w:pPr>
        <w:pStyle w:val="Normal"/>
        <w:rPr>
          <w:b/>
          <w:bCs/>
          <w:lang w:eastAsia="en-AU"/>
        </w:rPr>
      </w:pPr>
      <w:r>
        <w:rPr>
          <w:b/>
          <w:bCs/>
          <w:lang w:eastAsia="en-AU"/>
        </w:rPr>
        <w:t>What would change this score?</w:t>
      </w:r>
    </w:p>
    <w:p>
      <w:pPr>
        <w:pStyle w:val="Normal"/>
        <w:rPr>
          <w:lang w:val="en-AU" w:eastAsia="en-AU"/>
        </w:rPr>
      </w:pPr>
      <w:r>
        <w:rPr>
          <w:lang w:eastAsia="en-AU"/>
        </w:rPr>
        <w:t>The factors below represent governance, operational, or design changes that are likely to materially influence the assessed risk level for this domain over time. These factors are illustrative and should be considered in the context of the system's operating environment and risk appetite.</w:t>
      </w:r>
    </w:p>
    <w:p>
      <w:pPr>
        <w:pStyle w:val="Normal"/>
        <w:numPr>
          <w:ilvl w:val="0"/>
          <w:numId w:val="18"/>
        </w:numPr>
        <w:spacing w:before="60" w:after="60"/>
        <w:rPr>
          <w:lang w:val="en-AU" w:eastAsia="en-AU"/>
        </w:rPr>
      </w:pPr>
      <w:r>
        <w:rPr>
          <w:lang w:val="en-AU" w:eastAsia="en-AU"/>
        </w:rPr>
        <w:t>Clear articulation of human-centred or ethical principles relevant to the AI system.</w:t>
      </w:r>
    </w:p>
    <w:p>
      <w:pPr>
        <w:pStyle w:val="Normal"/>
        <w:numPr>
          <w:ilvl w:val="0"/>
          <w:numId w:val="18"/>
        </w:numPr>
        <w:spacing w:before="60" w:after="60"/>
        <w:rPr>
          <w:lang w:val="en-AU" w:eastAsia="en-AU"/>
        </w:rPr>
      </w:pPr>
      <w:r>
        <w:rPr>
          <w:lang w:val="en-AU" w:eastAsia="en-AU"/>
        </w:rPr>
        <w:t>Evidence that these principles are embedded into system design, decision-making, and governance processes.</w:t>
      </w:r>
    </w:p>
    <w:p>
      <w:pPr>
        <w:pStyle w:val="Normal"/>
        <w:numPr>
          <w:ilvl w:val="0"/>
          <w:numId w:val="18"/>
        </w:numPr>
        <w:spacing w:before="60" w:after="60"/>
        <w:rPr>
          <w:lang w:val="en-AU" w:eastAsia="en-AU"/>
        </w:rPr>
      </w:pPr>
      <w:r>
        <w:rPr>
          <w:lang w:val="en-AU" w:eastAsia="en-AU"/>
        </w:rPr>
        <w:t>Training or guidance to ensure staff understand and apply stated values in practice.</w:t>
      </w:r>
    </w:p>
    <w:p>
      <w:pPr>
        <w:pStyle w:val="Normal"/>
        <w:numPr>
          <w:ilvl w:val="0"/>
          <w:numId w:val="18"/>
        </w:numPr>
        <w:spacing w:before="60" w:after="60"/>
        <w:rPr>
          <w:lang w:val="en-AU" w:eastAsia="en-AU"/>
        </w:rPr>
      </w:pPr>
      <w:r>
        <w:rPr>
          <w:lang w:val="en-AU" w:eastAsia="en-AU"/>
        </w:rPr>
        <w:t>Governance mechanisms that reinforce ethical alignment, such as reviews, approvals, or oversight bodies.</w:t>
      </w:r>
    </w:p>
    <w:p>
      <w:pPr>
        <w:pStyle w:val="Normal"/>
        <w:numPr>
          <w:ilvl w:val="0"/>
          <w:numId w:val="18"/>
        </w:numPr>
        <w:spacing w:before="60" w:after="60"/>
        <w:rPr>
          <w:lang w:val="en-AU" w:eastAsia="en-AU"/>
        </w:rPr>
      </w:pPr>
      <w:r>
        <w:rPr>
          <w:lang w:val="en-AU" w:eastAsia="en-AU"/>
        </w:rPr>
        <w:t>Regular reassessment of value alignment as system capabilities or organisational expectations change.</w:t>
      </w:r>
    </w:p>
    <w:p>
      <w:pPr>
        <w:pStyle w:val="Normal"/>
        <w:rPr>
          <w:lang w:val="en-AU" w:eastAsia="en-AU"/>
        </w:rPr>
      </w:pPr>
      <w:r>
        <w:rPr>
          <w:lang w:val="en-AU" w:eastAsia="en-AU"/>
        </w:rPr>
      </w:r>
    </w:p>
    <w:p>
      <w:pPr>
        <w:pStyle w:val="Heading02"/>
        <w:numPr>
          <w:ilvl w:val="1"/>
          <w:numId w:val="1"/>
        </w:numPr>
        <w:ind w:hanging="432" w:start="432"/>
        <w:rPr>
          <w:lang w:val="en-AU" w:eastAsia="en-AU"/>
        </w:rPr>
      </w:pPr>
      <w:bookmarkStart w:id="25" w:name="_Toc220351612"/>
      <w:r>
        <w:rPr>
          <w:lang w:val="en-AU" w:eastAsia="en-AU"/>
        </w:rPr>
        <w:t>Privacy Protection and Security</w:t>
      </w:r>
      <w:bookmarkEnd w:id="25"/>
    </w:p>
    <w:p>
      <w:pPr>
        <w:pStyle w:val="Normal"/>
        <w:rPr>
          <w:lang w:val="en-AU" w:eastAsia="en-AU"/>
        </w:rPr>
      </w:pPr>
      <w:r>
        <w:rPr>
          <w:lang w:val="en-AU" w:eastAsia="en-AU"/>
        </w:rPr>
        <w:t>This domain examines the extent to which the AI system appropriately protects personal, sensitive, and regulated data, and whether security measures are proportionate to the system's risk profile and operating context. It focuses on risks arising from data collection, processing, storage, access, and disclosure across the system lifecycle, including potential impacts on individuals' rights, confidentiality, and trust.</w:t>
      </w:r>
    </w:p>
    <w:p>
      <w:pPr>
        <w:pStyle w:val="Normal"/>
        <w:rPr>
          <w:lang w:val="en-AU" w:eastAsia="en-AU"/>
        </w:rPr>
      </w:pPr>
      <w:r>
        <w:rPr>
          <w:lang w:val="en-AU" w:eastAsia="en-AU"/>
        </w:rPr>
        <w:t>The assessment considers both privacy protection and security controls, recognising that these are related but distinct concepts. Privacy risks may arise even where technical security measures are present, particularly if data handling practices, purpose limitation, or transparency mechanisms are insufficient. The assessment does not assume regulatory compliance, but evaluates the extent to which privacy and security risks are identified and managed within existing governance arrangements.</w:t>
      </w:r>
    </w:p>
    <w:p>
      <w:pPr>
        <w:pStyle w:val="Normal"/>
        <w:rPr>
          <w:lang w:val="en-AU" w:eastAsia="en-AU"/>
        </w:rPr>
      </w:pPr>
      <w:r>
        <w:rPr>
          <w:lang w:val="en-AU" w:eastAsia="en-AU"/>
        </w:rPr>
        <w:t xml:space="preserve">For the Privacy Protection and Security domain, the assessed </w:t>
      </w:r>
      <w:r>
        <w:rPr>
          <w:b/>
          <w:bCs/>
          <w:lang w:val="en-AU" w:eastAsia="en-AU"/>
        </w:rPr>
        <w:t>impact score</w:t>
      </w:r>
      <w:r>
        <w:rPr>
          <w:lang w:val="en-AU" w:eastAsia="en-AU"/>
        </w:rPr>
        <w:t xml:space="preserve"> was </w:t>
      </w:r>
      <w:r>
        <w:rPr>
          <w:b/>
          <w:bCs/>
          <w:lang w:val="en-AU" w:eastAsia="en-AU"/>
        </w:rPr>
        <w:t>{{domain_scores.PrivacySecurity.Impact}}</w:t>
      </w:r>
      <w:r>
        <w:rPr>
          <w:lang w:val="en-AU" w:eastAsia="en-AU"/>
        </w:rPr>
        <w:t xml:space="preserve">, reflecting the potential severity of harm should privacy breaches or security incidents occur. The </w:t>
      </w:r>
      <w:r>
        <w:rPr>
          <w:b/>
          <w:bCs/>
          <w:lang w:val="en-AU" w:eastAsia="en-AU"/>
        </w:rPr>
        <w:t>likelihood score</w:t>
      </w:r>
      <w:r>
        <w:rPr>
          <w:lang w:val="en-AU" w:eastAsia="en-AU"/>
        </w:rPr>
        <w:t xml:space="preserve"> was assessed as </w:t>
      </w:r>
      <w:r>
        <w:rPr>
          <w:b/>
          <w:bCs/>
          <w:lang w:val="en-AU" w:eastAsia="en-AU"/>
        </w:rPr>
        <w:t>{{domain_scores.PrivacySecurity.Likelihood}}</w:t>
      </w:r>
      <w:r>
        <w:rPr>
          <w:lang w:val="en-AU" w:eastAsia="en-AU"/>
        </w:rPr>
        <w:t>, informed by factors such as the types of data processed ({{ faira_form.A2_7_data_types | format_list if faira_form.A2_7 == "Yes" else "no regulated or sensitive data identified" }}), data access pathways ({{ faira_form.A2_4 | format_list }}), and exposure arising from system integration or deployment context ({{ faira_form.A1_9 | format_list }}).</w:t>
      </w:r>
    </w:p>
    <w:p>
      <w:pPr>
        <w:pStyle w:val="Normal"/>
        <w:rPr>
          <w:lang w:val="en-AU" w:eastAsia="en-AU"/>
        </w:rPr>
      </w:pPr>
      <w:r>
        <w:rPr>
          <w:lang w:val="en-AU" w:eastAsia="en-AU"/>
        </w:rPr>
        <w:t xml:space="preserve">The effectiveness of existing controls relevant to this domain was assessed as </w:t>
      </w:r>
      <w:r>
        <w:rPr>
          <w:b/>
          <w:bCs/>
          <w:lang w:val="en-AU" w:eastAsia="en-AU"/>
        </w:rPr>
        <w:t>{{domain_scores.PrivacySecurity.Control_Effectiveness}}</w:t>
      </w:r>
      <w:r>
        <w:rPr>
          <w:lang w:val="en-AU" w:eastAsia="en-AU"/>
        </w:rPr>
        <w:t xml:space="preserve">, taking into account security safeguards, access controls, data governance practices, and monitoring mechanisms intended to prevent, detect, or respond to privacy or security incidents ({{ faira_form.A5_3 | format_list }}). After accounting for these controls, the resulting </w:t>
      </w:r>
      <w:r>
        <w:rPr>
          <w:b/>
          <w:bCs/>
          <w:lang w:val="en-AU" w:eastAsia="en-AU"/>
        </w:rPr>
        <w:t>residual domain risk score</w:t>
      </w:r>
      <w:r>
        <w:rPr>
          <w:lang w:val="en-AU" w:eastAsia="en-AU"/>
        </w:rPr>
        <w:t xml:space="preserve"> is </w:t>
      </w:r>
      <w:r>
        <w:rPr>
          <w:b/>
          <w:bCs/>
          <w:lang w:val="en-AU" w:eastAsia="en-AU"/>
        </w:rPr>
        <w:t>{{domain_scores.PrivacySecurity.Risk}}</w:t>
      </w:r>
      <w:r>
        <w:rPr>
          <w:lang w:val="en-AU" w:eastAsia="en-AU"/>
        </w:rPr>
        <w:t>.</w:t>
      </w:r>
    </w:p>
    <w:p>
      <w:pPr>
        <w:pStyle w:val="Normal"/>
        <w:rPr>
          <w:lang w:val="en-AU" w:eastAsia="en-AU"/>
        </w:rPr>
      </w:pPr>
      <w:r>
        <w:rPr>
          <w:lang w:val="en-AU" w:eastAsia="en-AU"/>
        </w:rPr>
        <w:t xml:space="preserve">These results represent </w:t>
      </w:r>
      <w:r>
        <w:rPr>
          <w:b/>
          <w:bCs/>
          <w:lang w:val="en-AU" w:eastAsia="en-AU"/>
        </w:rPr>
        <w:t>residual risk</w:t>
      </w:r>
      <w:r>
        <w:rPr>
          <w:lang w:val="en-AU" w:eastAsia="en-AU"/>
        </w:rPr>
        <w:t>, indicating the level of ongoing privacy and security exposure that remains under current operating conditions and governance arrangements.</w:t>
      </w:r>
    </w:p>
    <w:p>
      <w:pPr>
        <w:pStyle w:val="Normal"/>
        <w:rPr>
          <w:lang w:val="en-AU" w:eastAsia="en-AU"/>
        </w:rPr>
      </w:pPr>
      <w:r>
        <w:rPr/>
        <mc:AlternateContent>
          <mc:Choice Requires="wps">
            <w:drawing>
              <wp:inline distT="0" distB="0" distL="0" distR="0">
                <wp:extent cx="5731510" cy="19050"/>
                <wp:effectExtent l="0" t="0" r="0" b="0"/>
                <wp:docPr id="12" name=""/>
                <a:graphic xmlns:a="http://schemas.openxmlformats.org/drawingml/2006/main">
                  <a:graphicData uri="http://schemas.microsoft.com/office/word/2010/wordprocessingShape">
                    <wps:wsp>
                      <wps:cNvSpPr/>
                      <wps:nvSpPr>
                        <wps:cNvPr id="13" name=""/>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b/>
          <w:bCs/>
          <w:lang w:val="en-AU" w:eastAsia="en-AU"/>
        </w:rPr>
      </w:pPr>
      <w:r>
        <w:rPr>
          <w:b/>
          <w:bCs/>
          <w:lang w:val="en-AU" w:eastAsia="en-AU"/>
        </w:rPr>
        <w:t>Key Privacy and Security Considerations</w:t>
      </w:r>
    </w:p>
    <w:p>
      <w:pPr>
        <w:pStyle w:val="Normal"/>
        <w:numPr>
          <w:ilvl w:val="0"/>
          <w:numId w:val="8"/>
        </w:numPr>
        <w:rPr>
          <w:lang w:val="en-AU" w:eastAsia="en-AU"/>
        </w:rPr>
      </w:pPr>
      <w:r>
        <w:rPr>
          <w:b/>
          <w:bCs/>
          <w:lang w:val="en-AU" w:eastAsia="en-AU"/>
        </w:rPr>
        <w:t>Data types:</w:t>
      </w:r>
      <w:r>
        <w:rPr>
          <w:lang w:val="en-AU" w:eastAsia="en-AU"/>
        </w:rPr>
        <w:t xml:space="preserve"> The system processes {{ faira_form.A2_7_data_types | format_list if faira_form.A2_7 == "Yes" else "no regulated or sensitive data types" }}, influencing the potential impact of privacy or security incidents.</w:t>
      </w:r>
    </w:p>
    <w:p>
      <w:pPr>
        <w:pStyle w:val="Normal"/>
        <w:numPr>
          <w:ilvl w:val="0"/>
          <w:numId w:val="8"/>
        </w:numPr>
        <w:rPr>
          <w:lang w:val="en-AU" w:eastAsia="en-AU"/>
        </w:rPr>
      </w:pPr>
      <w:r>
        <w:rPr>
          <w:b/>
          <w:bCs/>
          <w:lang w:val="en-AU" w:eastAsia="en-AU"/>
        </w:rPr>
        <w:t>Data access and handling:</w:t>
      </w:r>
      <w:r>
        <w:rPr>
          <w:lang w:val="en-AU" w:eastAsia="en-AU"/>
        </w:rPr>
        <w:t xml:space="preserve"> Data access pathways include {{ faira_form.A2_4 | format_list }}, which affect exposure and control requirements.</w:t>
      </w:r>
    </w:p>
    <w:p>
      <w:pPr>
        <w:pStyle w:val="Normal"/>
        <w:numPr>
          <w:ilvl w:val="0"/>
          <w:numId w:val="8"/>
        </w:numPr>
        <w:rPr>
          <w:lang w:val="en-AU" w:eastAsia="en-AU"/>
        </w:rPr>
      </w:pPr>
      <w:r>
        <w:rPr>
          <w:b/>
          <w:bCs/>
          <w:lang w:val="en-AU" w:eastAsia="en-AU"/>
        </w:rPr>
        <w:t>System integration:</w:t>
      </w:r>
      <w:r>
        <w:rPr>
          <w:lang w:val="en-AU" w:eastAsia="en-AU"/>
        </w:rPr>
        <w:t xml:space="preserve"> Integration with other systems or services ({{ faira_form.A1_9 | format_list }}) may introduce additional privacy or security dependencies.</w:t>
      </w:r>
    </w:p>
    <w:p>
      <w:pPr>
        <w:pStyle w:val="Normal"/>
        <w:numPr>
          <w:ilvl w:val="0"/>
          <w:numId w:val="8"/>
        </w:numPr>
        <w:rPr>
          <w:lang w:val="en-AU" w:eastAsia="en-AU"/>
        </w:rPr>
      </w:pPr>
      <w:r>
        <w:rPr>
          <w:b/>
          <w:bCs/>
          <w:lang w:val="en-AU" w:eastAsia="en-AU"/>
        </w:rPr>
        <w:t>Governance and safeguards:</w:t>
      </w:r>
      <w:r>
        <w:rPr>
          <w:lang w:val="en-AU" w:eastAsia="en-AU"/>
        </w:rPr>
        <w:t xml:space="preserve"> Privacy and security controls identified include {{ faira_form.A5_3 | format_list if faira_form.A5_3 else "no explicitly defined safeguards" }}, contributing to overall control effectiveness.</w:t>
      </w:r>
    </w:p>
    <w:p>
      <w:pPr>
        <w:pStyle w:val="Normal"/>
        <w:rPr>
          <w:b/>
          <w:bCs/>
          <w:lang w:eastAsia="en-AU"/>
        </w:rPr>
      </w:pPr>
      <w:r>
        <w:rPr>
          <w:b/>
          <w:bCs/>
          <w:lang w:eastAsia="en-AU"/>
        </w:rPr>
        <w:t>FAIRA Domain Risk Profile — Privacy Protection and Security</w:t>
      </w:r>
    </w:p>
    <w:tbl>
      <w:tblPr>
        <w:tblW w:w="9016" w:type="dxa"/>
        <w:jc w:val="start"/>
        <w:tblInd w:w="0" w:type="dxa"/>
        <w:tblLayout w:type="fixed"/>
        <w:tblCellMar>
          <w:top w:w="43" w:type="dxa"/>
          <w:start w:w="43" w:type="dxa"/>
          <w:bottom w:w="43" w:type="dxa"/>
          <w:end w:w="43" w:type="dxa"/>
        </w:tblCellMar>
        <w:tblLook w:firstRow="1" w:noVBand="1" w:lastRow="0" w:firstColumn="1" w:lastColumn="0" w:noHBand="0" w:val="04a0"/>
      </w:tblPr>
      <w:tblGrid>
        <w:gridCol w:w="1914"/>
        <w:gridCol w:w="2760"/>
        <w:gridCol w:w="4342"/>
      </w:tblGrid>
      <w:tr>
        <w:trPr>
          <w:tblHeader w:val="true"/>
        </w:trPr>
        <w:tc>
          <w:tcPr>
            <w:tcW w:w="1914" w:type="dxa"/>
            <w:tcBorders>
              <w:top w:val="single" w:sz="4" w:space="0" w:color="000000"/>
              <w:start w:val="single" w:sz="4" w:space="0" w:color="000000"/>
              <w:bottom w:val="single" w:sz="4" w:space="0" w:color="000000"/>
              <w:end w:val="single" w:sz="4" w:space="0" w:color="000000"/>
            </w:tcBorders>
            <w:shd w:color="auto" w:fill="D9D9D9" w:themeFill="background1" w:themeFillShade="d9" w:val="clear"/>
          </w:tcPr>
          <w:p>
            <w:pPr>
              <w:pStyle w:val="Normal"/>
              <w:spacing w:before="0" w:after="160"/>
              <w:rPr>
                <w:b/>
                <w:bCs/>
                <w:sz w:val="20"/>
                <w:szCs w:val="20"/>
                <w:lang w:val="en-AU" w:eastAsia="en-AU"/>
              </w:rPr>
            </w:pPr>
            <w:r>
              <w:rPr>
                <w:b/>
                <w:bCs/>
                <w:sz w:val="20"/>
                <w:szCs w:val="20"/>
                <w:lang w:val="en-AU" w:eastAsia="en-AU"/>
              </w:rPr>
              <w:t>Measure</w:t>
            </w:r>
          </w:p>
        </w:tc>
        <w:tc>
          <w:tcPr>
            <w:tcW w:w="2760" w:type="dxa"/>
            <w:tcBorders>
              <w:top w:val="single" w:sz="4" w:space="0" w:color="000000"/>
              <w:start w:val="single" w:sz="4" w:space="0" w:color="000000"/>
              <w:bottom w:val="single" w:sz="4" w:space="0" w:color="000000"/>
              <w:end w:val="single" w:sz="4" w:space="0" w:color="000000"/>
            </w:tcBorders>
            <w:shd w:color="auto" w:fill="D9D9D9" w:themeFill="background1" w:themeFillShade="d9" w:val="clear"/>
          </w:tcPr>
          <w:p>
            <w:pPr>
              <w:pStyle w:val="Normal"/>
              <w:spacing w:before="0" w:after="160"/>
              <w:rPr>
                <w:b/>
                <w:bCs/>
                <w:sz w:val="20"/>
                <w:szCs w:val="20"/>
                <w:lang w:val="en-AU" w:eastAsia="en-AU"/>
              </w:rPr>
            </w:pPr>
            <w:r>
              <w:rPr>
                <w:b/>
                <w:bCs/>
                <w:sz w:val="20"/>
                <w:szCs w:val="20"/>
                <w:lang w:val="en-AU" w:eastAsia="en-AU"/>
              </w:rPr>
              <w:t>Score</w:t>
            </w:r>
          </w:p>
        </w:tc>
        <w:tc>
          <w:tcPr>
            <w:tcW w:w="4342" w:type="dxa"/>
            <w:tcBorders>
              <w:top w:val="single" w:sz="4" w:space="0" w:color="000000"/>
              <w:start w:val="single" w:sz="4" w:space="0" w:color="000000"/>
              <w:bottom w:val="single" w:sz="4" w:space="0" w:color="000000"/>
              <w:end w:val="single" w:sz="4" w:space="0" w:color="000000"/>
            </w:tcBorders>
            <w:shd w:color="auto" w:fill="D9D9D9" w:themeFill="background1" w:themeFillShade="d9" w:val="clear"/>
          </w:tcPr>
          <w:p>
            <w:pPr>
              <w:pStyle w:val="Normal"/>
              <w:spacing w:before="0" w:after="160"/>
              <w:rPr>
                <w:b/>
                <w:bCs/>
                <w:sz w:val="20"/>
                <w:szCs w:val="20"/>
                <w:lang w:val="en-AU" w:eastAsia="en-AU"/>
              </w:rPr>
            </w:pPr>
            <w:r>
              <w:rPr>
                <w:b/>
                <w:bCs/>
                <w:sz w:val="20"/>
                <w:szCs w:val="20"/>
                <w:lang w:val="en-AU" w:eastAsia="en-AU"/>
              </w:rPr>
              <w:t>Interpretation</w:t>
            </w:r>
          </w:p>
        </w:tc>
      </w:tr>
      <w:tr>
        <w:trPr/>
        <w:tc>
          <w:tcPr>
            <w:tcW w:w="1914" w:type="dxa"/>
            <w:tcBorders>
              <w:top w:val="single" w:sz="4" w:space="0" w:color="000000"/>
              <w:start w:val="single" w:sz="4" w:space="0" w:color="000000"/>
              <w:bottom w:val="single" w:sz="4" w:space="0" w:color="000000"/>
              <w:end w:val="single" w:sz="4" w:space="0" w:color="000000"/>
            </w:tcBorders>
          </w:tcPr>
          <w:p>
            <w:pPr>
              <w:pStyle w:val="Normal"/>
              <w:spacing w:before="0" w:after="160"/>
              <w:rPr>
                <w:sz w:val="20"/>
                <w:szCs w:val="20"/>
                <w:lang w:val="en-AU" w:eastAsia="en-AU"/>
              </w:rPr>
            </w:pPr>
            <w:r>
              <w:rPr>
                <w:sz w:val="20"/>
                <w:szCs w:val="20"/>
                <w:lang w:val="en-AU" w:eastAsia="en-AU"/>
              </w:rPr>
              <w:t>Impact</w:t>
            </w:r>
          </w:p>
        </w:tc>
        <w:tc>
          <w:tcPr>
            <w:tcW w:w="2760" w:type="dxa"/>
            <w:tcBorders>
              <w:top w:val="single" w:sz="4" w:space="0" w:color="000000"/>
              <w:start w:val="single" w:sz="4" w:space="0" w:color="000000"/>
              <w:bottom w:val="single" w:sz="4" w:space="0" w:color="000000"/>
              <w:end w:val="single" w:sz="4" w:space="0" w:color="000000"/>
            </w:tcBorders>
          </w:tcPr>
          <w:p>
            <w:pPr>
              <w:pStyle w:val="Normal"/>
              <w:spacing w:before="0" w:after="160"/>
              <w:rPr>
                <w:sz w:val="20"/>
                <w:szCs w:val="20"/>
                <w:lang w:val="en-AU" w:eastAsia="en-AU"/>
              </w:rPr>
            </w:pPr>
            <w:r>
              <w:rPr>
                <w:sz w:val="20"/>
                <w:szCs w:val="20"/>
                <w:lang w:val="en-AU" w:eastAsia="en-AU"/>
              </w:rPr>
              <w:t>{{domain_scores.PrivacySecurity.Impact}}</w:t>
            </w:r>
          </w:p>
        </w:tc>
        <w:tc>
          <w:tcPr>
            <w:tcW w:w="4342" w:type="dxa"/>
            <w:tcBorders>
              <w:top w:val="single" w:sz="4" w:space="0" w:color="000000"/>
              <w:start w:val="single" w:sz="4" w:space="0" w:color="000000"/>
              <w:bottom w:val="single" w:sz="4" w:space="0" w:color="000000"/>
              <w:end w:val="single" w:sz="4" w:space="0" w:color="000000"/>
            </w:tcBorders>
          </w:tcPr>
          <w:p>
            <w:pPr>
              <w:pStyle w:val="Normal"/>
              <w:spacing w:before="0" w:after="160"/>
              <w:rPr>
                <w:sz w:val="20"/>
                <w:szCs w:val="20"/>
                <w:lang w:val="en-AU" w:eastAsia="en-AU"/>
              </w:rPr>
            </w:pPr>
            <w:r>
              <w:rPr>
                <w:sz w:val="20"/>
                <w:szCs w:val="20"/>
                <w:lang w:val="en-AU" w:eastAsia="en-AU"/>
              </w:rPr>
              <w:t>Severity of potential harm arising from privacy breaches or security incidents</w:t>
            </w:r>
          </w:p>
        </w:tc>
      </w:tr>
      <w:tr>
        <w:trPr/>
        <w:tc>
          <w:tcPr>
            <w:tcW w:w="1914" w:type="dxa"/>
            <w:tcBorders>
              <w:top w:val="single" w:sz="4" w:space="0" w:color="000000"/>
              <w:start w:val="single" w:sz="4" w:space="0" w:color="000000"/>
              <w:bottom w:val="single" w:sz="4" w:space="0" w:color="000000"/>
              <w:end w:val="single" w:sz="4" w:space="0" w:color="000000"/>
            </w:tcBorders>
          </w:tcPr>
          <w:p>
            <w:pPr>
              <w:pStyle w:val="Normal"/>
              <w:spacing w:before="0" w:after="160"/>
              <w:rPr>
                <w:sz w:val="20"/>
                <w:szCs w:val="20"/>
                <w:lang w:val="en-AU" w:eastAsia="en-AU"/>
              </w:rPr>
            </w:pPr>
            <w:r>
              <w:rPr>
                <w:sz w:val="20"/>
                <w:szCs w:val="20"/>
                <w:lang w:val="en-AU" w:eastAsia="en-AU"/>
              </w:rPr>
              <w:t>Likelihood</w:t>
            </w:r>
          </w:p>
        </w:tc>
        <w:tc>
          <w:tcPr>
            <w:tcW w:w="2760" w:type="dxa"/>
            <w:tcBorders>
              <w:top w:val="single" w:sz="4" w:space="0" w:color="000000"/>
              <w:start w:val="single" w:sz="4" w:space="0" w:color="000000"/>
              <w:bottom w:val="single" w:sz="4" w:space="0" w:color="000000"/>
              <w:end w:val="single" w:sz="4" w:space="0" w:color="000000"/>
            </w:tcBorders>
          </w:tcPr>
          <w:p>
            <w:pPr>
              <w:pStyle w:val="Normal"/>
              <w:spacing w:before="0" w:after="160"/>
              <w:rPr>
                <w:sz w:val="20"/>
                <w:szCs w:val="20"/>
                <w:lang w:val="en-AU" w:eastAsia="en-AU"/>
              </w:rPr>
            </w:pPr>
            <w:r>
              <w:rPr>
                <w:sz w:val="20"/>
                <w:szCs w:val="20"/>
                <w:lang w:val="en-AU" w:eastAsia="en-AU"/>
              </w:rPr>
              <w:t>{{domain_scores.PrivacySecurity.Likelihood}}</w:t>
            </w:r>
          </w:p>
        </w:tc>
        <w:tc>
          <w:tcPr>
            <w:tcW w:w="4342" w:type="dxa"/>
            <w:tcBorders>
              <w:top w:val="single" w:sz="4" w:space="0" w:color="000000"/>
              <w:start w:val="single" w:sz="4" w:space="0" w:color="000000"/>
              <w:bottom w:val="single" w:sz="4" w:space="0" w:color="000000"/>
              <w:end w:val="single" w:sz="4" w:space="0" w:color="000000"/>
            </w:tcBorders>
          </w:tcPr>
          <w:p>
            <w:pPr>
              <w:pStyle w:val="Normal"/>
              <w:spacing w:before="0" w:after="160"/>
              <w:rPr>
                <w:sz w:val="20"/>
                <w:szCs w:val="20"/>
                <w:lang w:val="en-AU" w:eastAsia="en-AU"/>
              </w:rPr>
            </w:pPr>
            <w:r>
              <w:rPr>
                <w:sz w:val="20"/>
                <w:szCs w:val="20"/>
                <w:lang w:val="en-AU" w:eastAsia="en-AU"/>
              </w:rPr>
              <w:t>Probability that privacy or security incidents may occur</w:t>
            </w:r>
          </w:p>
        </w:tc>
      </w:tr>
      <w:tr>
        <w:trPr/>
        <w:tc>
          <w:tcPr>
            <w:tcW w:w="1914" w:type="dxa"/>
            <w:tcBorders>
              <w:top w:val="single" w:sz="4" w:space="0" w:color="000000"/>
              <w:start w:val="single" w:sz="4" w:space="0" w:color="000000"/>
              <w:bottom w:val="single" w:sz="4" w:space="0" w:color="000000"/>
              <w:end w:val="single" w:sz="4" w:space="0" w:color="000000"/>
            </w:tcBorders>
          </w:tcPr>
          <w:p>
            <w:pPr>
              <w:pStyle w:val="Normal"/>
              <w:spacing w:before="0" w:after="160"/>
              <w:rPr>
                <w:sz w:val="20"/>
                <w:szCs w:val="20"/>
                <w:lang w:val="en-AU" w:eastAsia="en-AU"/>
              </w:rPr>
            </w:pPr>
            <w:r>
              <w:rPr>
                <w:sz w:val="20"/>
                <w:szCs w:val="20"/>
                <w:lang w:val="en-AU" w:eastAsia="en-AU"/>
              </w:rPr>
              <w:t>Baseline exposure (context only)</w:t>
            </w:r>
          </w:p>
        </w:tc>
        <w:tc>
          <w:tcPr>
            <w:tcW w:w="2760" w:type="dxa"/>
            <w:tcBorders>
              <w:top w:val="single" w:sz="4" w:space="0" w:color="000000"/>
              <w:start w:val="single" w:sz="4" w:space="0" w:color="000000"/>
              <w:bottom w:val="single" w:sz="4" w:space="0" w:color="000000"/>
              <w:end w:val="single" w:sz="4" w:space="0" w:color="000000"/>
            </w:tcBorders>
          </w:tcPr>
          <w:p>
            <w:pPr>
              <w:pStyle w:val="Normal"/>
              <w:spacing w:before="0" w:after="160"/>
              <w:rPr>
                <w:sz w:val="20"/>
                <w:szCs w:val="20"/>
                <w:lang w:val="en-AU" w:eastAsia="en-AU"/>
              </w:rPr>
            </w:pPr>
            <w:r>
              <w:rPr>
                <w:sz w:val="20"/>
                <w:szCs w:val="20"/>
                <w:lang w:val="en-AU" w:eastAsia="en-AU"/>
              </w:rPr>
              <w:t>{{domain_scores.PrivacySecurity.Inherent_Risk}}</w:t>
            </w:r>
          </w:p>
        </w:tc>
        <w:tc>
          <w:tcPr>
            <w:tcW w:w="4342" w:type="dxa"/>
            <w:tcBorders>
              <w:top w:val="single" w:sz="4" w:space="0" w:color="000000"/>
              <w:start w:val="single" w:sz="4" w:space="0" w:color="000000"/>
              <w:bottom w:val="single" w:sz="4" w:space="0" w:color="000000"/>
              <w:end w:val="single" w:sz="4" w:space="0" w:color="000000"/>
            </w:tcBorders>
          </w:tcPr>
          <w:p>
            <w:pPr>
              <w:pStyle w:val="Normal"/>
              <w:spacing w:before="0" w:after="160"/>
              <w:rPr>
                <w:sz w:val="20"/>
                <w:szCs w:val="20"/>
                <w:lang w:val="en-AU" w:eastAsia="en-AU"/>
              </w:rPr>
            </w:pPr>
            <w:r>
              <w:rPr>
                <w:sz w:val="20"/>
                <w:szCs w:val="20"/>
                <w:lang w:val="en-AU" w:eastAsia="en-AU"/>
              </w:rPr>
              <w:t>Contextual reference only — not interpreted</w:t>
            </w:r>
          </w:p>
        </w:tc>
      </w:tr>
      <w:tr>
        <w:trPr/>
        <w:tc>
          <w:tcPr>
            <w:tcW w:w="1914" w:type="dxa"/>
            <w:tcBorders>
              <w:top w:val="single" w:sz="4" w:space="0" w:color="000000"/>
              <w:start w:val="single" w:sz="4" w:space="0" w:color="000000"/>
              <w:bottom w:val="single" w:sz="4" w:space="0" w:color="000000"/>
              <w:end w:val="single" w:sz="4" w:space="0" w:color="000000"/>
            </w:tcBorders>
          </w:tcPr>
          <w:p>
            <w:pPr>
              <w:pStyle w:val="Normal"/>
              <w:spacing w:before="0" w:after="160"/>
              <w:rPr>
                <w:sz w:val="20"/>
                <w:szCs w:val="20"/>
                <w:lang w:val="en-AU" w:eastAsia="en-AU"/>
              </w:rPr>
            </w:pPr>
            <w:r>
              <w:rPr>
                <w:sz w:val="20"/>
                <w:szCs w:val="20"/>
                <w:lang w:val="en-AU" w:eastAsia="en-AU"/>
              </w:rPr>
              <w:t>Control effectiveness</w:t>
            </w:r>
          </w:p>
        </w:tc>
        <w:tc>
          <w:tcPr>
            <w:tcW w:w="2760" w:type="dxa"/>
            <w:tcBorders>
              <w:top w:val="single" w:sz="4" w:space="0" w:color="000000"/>
              <w:start w:val="single" w:sz="4" w:space="0" w:color="000000"/>
              <w:bottom w:val="single" w:sz="4" w:space="0" w:color="000000"/>
              <w:end w:val="single" w:sz="4" w:space="0" w:color="000000"/>
            </w:tcBorders>
          </w:tcPr>
          <w:p>
            <w:pPr>
              <w:pStyle w:val="Normal"/>
              <w:spacing w:before="0" w:after="160"/>
              <w:rPr>
                <w:sz w:val="20"/>
                <w:szCs w:val="20"/>
                <w:lang w:val="en-AU" w:eastAsia="en-AU"/>
              </w:rPr>
            </w:pPr>
            <w:r>
              <w:rPr>
                <w:sz w:val="20"/>
                <w:szCs w:val="20"/>
                <w:lang w:val="en-AU" w:eastAsia="en-AU"/>
              </w:rPr>
              <w:t>{{domain_scores.PrivacySecurity.Control_Effectiveness}}</w:t>
            </w:r>
          </w:p>
        </w:tc>
        <w:tc>
          <w:tcPr>
            <w:tcW w:w="4342" w:type="dxa"/>
            <w:tcBorders>
              <w:top w:val="single" w:sz="4" w:space="0" w:color="000000"/>
              <w:start w:val="single" w:sz="4" w:space="0" w:color="000000"/>
              <w:bottom w:val="single" w:sz="4" w:space="0" w:color="000000"/>
              <w:end w:val="single" w:sz="4" w:space="0" w:color="000000"/>
            </w:tcBorders>
          </w:tcPr>
          <w:p>
            <w:pPr>
              <w:pStyle w:val="Normal"/>
              <w:spacing w:before="0" w:after="160"/>
              <w:rPr>
                <w:sz w:val="20"/>
                <w:szCs w:val="20"/>
                <w:lang w:val="en-AU" w:eastAsia="en-AU"/>
              </w:rPr>
            </w:pPr>
            <w:r>
              <w:rPr>
                <w:sz w:val="20"/>
                <w:szCs w:val="20"/>
                <w:lang w:val="en-AU" w:eastAsia="en-AU"/>
              </w:rPr>
              <w:t>Strength of existing privacy and security safeguards</w:t>
            </w:r>
          </w:p>
        </w:tc>
      </w:tr>
      <w:tr>
        <w:trPr/>
        <w:tc>
          <w:tcPr>
            <w:tcW w:w="1914" w:type="dxa"/>
            <w:tcBorders>
              <w:top w:val="single" w:sz="4" w:space="0" w:color="000000"/>
              <w:start w:val="single" w:sz="4" w:space="0" w:color="000000"/>
              <w:bottom w:val="single" w:sz="4" w:space="0" w:color="000000"/>
              <w:end w:val="single" w:sz="4" w:space="0" w:color="000000"/>
            </w:tcBorders>
          </w:tcPr>
          <w:p>
            <w:pPr>
              <w:pStyle w:val="Normal"/>
              <w:spacing w:before="0" w:after="160"/>
              <w:rPr>
                <w:sz w:val="20"/>
                <w:szCs w:val="20"/>
                <w:lang w:val="en-AU" w:eastAsia="en-AU"/>
              </w:rPr>
            </w:pPr>
            <w:r>
              <w:rPr>
                <w:b/>
                <w:bCs/>
                <w:sz w:val="20"/>
                <w:szCs w:val="20"/>
                <w:lang w:val="en-AU" w:eastAsia="en-AU"/>
              </w:rPr>
              <w:t>Residual risk</w:t>
            </w:r>
          </w:p>
        </w:tc>
        <w:tc>
          <w:tcPr>
            <w:tcW w:w="2760" w:type="dxa"/>
            <w:tcBorders>
              <w:top w:val="single" w:sz="4" w:space="0" w:color="000000"/>
              <w:start w:val="single" w:sz="4" w:space="0" w:color="000000"/>
              <w:bottom w:val="single" w:sz="4" w:space="0" w:color="000000"/>
              <w:end w:val="single" w:sz="4" w:space="0" w:color="000000"/>
            </w:tcBorders>
          </w:tcPr>
          <w:p>
            <w:pPr>
              <w:pStyle w:val="Normal"/>
              <w:spacing w:before="0" w:after="160"/>
              <w:rPr>
                <w:sz w:val="20"/>
                <w:szCs w:val="20"/>
                <w:lang w:val="en-AU" w:eastAsia="en-AU"/>
              </w:rPr>
            </w:pPr>
            <w:r>
              <w:rPr>
                <w:b/>
                <w:bCs/>
                <w:sz w:val="20"/>
                <w:szCs w:val="20"/>
                <w:lang w:val="en-AU" w:eastAsia="en-AU"/>
              </w:rPr>
              <w:t>{{domain_scores.PrivacySecurity.Risk}}</w:t>
            </w:r>
          </w:p>
        </w:tc>
        <w:tc>
          <w:tcPr>
            <w:tcW w:w="4342" w:type="dxa"/>
            <w:tcBorders>
              <w:top w:val="single" w:sz="4" w:space="0" w:color="000000"/>
              <w:start w:val="single" w:sz="4" w:space="0" w:color="000000"/>
              <w:bottom w:val="single" w:sz="4" w:space="0" w:color="000000"/>
              <w:end w:val="single" w:sz="4" w:space="0" w:color="000000"/>
            </w:tcBorders>
          </w:tcPr>
          <w:p>
            <w:pPr>
              <w:pStyle w:val="Normal"/>
              <w:spacing w:before="0" w:after="160"/>
              <w:rPr>
                <w:sz w:val="20"/>
                <w:szCs w:val="20"/>
                <w:lang w:val="en-AU" w:eastAsia="en-AU"/>
              </w:rPr>
            </w:pPr>
            <w:r>
              <w:rPr>
                <w:sz w:val="20"/>
                <w:szCs w:val="20"/>
                <w:lang w:val="en-AU" w:eastAsia="en-AU"/>
              </w:rPr>
              <w:t>Ongoing privacy and security risk requiring consideration</w:t>
            </w:r>
          </w:p>
        </w:tc>
      </w:tr>
    </w:tbl>
    <w:p>
      <w:pPr>
        <w:pStyle w:val="Normal"/>
        <w:rPr>
          <w:lang w:val="en-AU" w:eastAsia="en-AU"/>
        </w:rPr>
      </w:pPr>
      <w:r>
        <w:rPr>
          <w:lang w:val="en-AU" w:eastAsia="en-AU"/>
        </w:rPr>
      </w:r>
    </w:p>
    <w:p>
      <w:pPr>
        <w:pStyle w:val="Normal"/>
        <w:rPr>
          <w:b/>
          <w:bCs/>
          <w:lang w:val="en-AU" w:eastAsia="en-AU"/>
        </w:rPr>
      </w:pPr>
      <w:r>
        <w:rPr>
          <w:b/>
          <w:bCs/>
          <w:lang w:val="en-AU" w:eastAsia="en-AU"/>
        </w:rPr>
        <w:t>Domain Interpretation</w:t>
      </w:r>
    </w:p>
    <w:p>
      <w:pPr>
        <w:pStyle w:val="Normal"/>
        <w:rPr>
          <w:lang w:val="en-AU" w:eastAsia="en-AU"/>
        </w:rPr>
      </w:pPr>
      <w:r>
        <w:rPr>
          <w:lang w:val="en-AU" w:eastAsia="en-AU"/>
        </w:rPr>
        <w:t>Privacy protection and security risks relate to how personal and sensitive data are handled, protected, and governed throughout an AI system's lifecycle. Such risks may arise from technical vulnerabilities, data governance practices, access arrangements, or changes in system use and integration over time. Importantly, the presence of security controls does not eliminate privacy risk, and privacy considerations may persist even in the absence of security incidents.</w:t>
      </w:r>
    </w:p>
    <w:p>
      <w:pPr>
        <w:pStyle w:val="Normal"/>
        <w:rPr>
          <w:lang w:val="en-AU" w:eastAsia="en-AU"/>
        </w:rPr>
      </w:pPr>
      <w:r>
        <w:rPr>
          <w:lang w:val="en-AU" w:eastAsia="en-AU"/>
        </w:rPr>
        <w:t>This domain should be interpreted as an indicator of ongoing exposure to privacy and data protection risks rather than as a statement of regulatory compliance or security sufficiency. Privacy and security risks are context-dependent and may evolve as data types, system integrations, or operating conditions change, and should therefore be considered alongside broader governance, accountability, and monitoring arrangements.</w:t>
      </w:r>
    </w:p>
    <w:p>
      <w:pPr>
        <w:pStyle w:val="Normal"/>
        <w:rPr>
          <w:b/>
          <w:bCs/>
          <w:lang w:eastAsia="en-AU"/>
        </w:rPr>
      </w:pPr>
      <w:r>
        <w:rPr>
          <w:b/>
          <w:bCs/>
          <w:lang w:eastAsia="en-AU"/>
        </w:rPr>
        <w:t>What would change this score?</w:t>
      </w:r>
    </w:p>
    <w:p>
      <w:pPr>
        <w:pStyle w:val="Normal"/>
        <w:rPr>
          <w:lang w:val="en-AU" w:eastAsia="en-AU"/>
        </w:rPr>
      </w:pPr>
      <w:r>
        <w:rPr>
          <w:lang w:eastAsia="en-AU"/>
        </w:rPr>
        <w:t>The factors below represent governance, operational, or design changes that are likely to materially influence the assessed risk level for this domain over time. These factors are illustrative and should be considered in the context of the system's operating environment and risk appetite.</w:t>
      </w:r>
    </w:p>
    <w:p>
      <w:pPr>
        <w:pStyle w:val="ListParagraph"/>
        <w:numPr>
          <w:ilvl w:val="0"/>
          <w:numId w:val="8"/>
        </w:numPr>
        <w:spacing w:before="60" w:after="60"/>
        <w:contextualSpacing w:val="false"/>
        <w:rPr>
          <w:lang w:val="en-AU" w:eastAsia="en-AU"/>
        </w:rPr>
      </w:pPr>
      <w:r>
        <w:rPr>
          <w:lang w:val="en-AU" w:eastAsia="en-AU"/>
        </w:rPr>
        <w:t>Reduction in the volume, sensitivity, or scope of data collected or processed by the system.</w:t>
      </w:r>
    </w:p>
    <w:p>
      <w:pPr>
        <w:pStyle w:val="ListParagraph"/>
        <w:numPr>
          <w:ilvl w:val="0"/>
          <w:numId w:val="8"/>
        </w:numPr>
        <w:spacing w:before="60" w:after="60"/>
        <w:contextualSpacing w:val="false"/>
        <w:rPr>
          <w:lang w:val="en-AU" w:eastAsia="en-AU"/>
        </w:rPr>
      </w:pPr>
      <w:r>
        <w:rPr>
          <w:lang w:val="en-AU" w:eastAsia="en-AU"/>
        </w:rPr>
        <w:t>Implementation or strengthening of access controls, logging, and monitoring for data use.</w:t>
      </w:r>
    </w:p>
    <w:p>
      <w:pPr>
        <w:pStyle w:val="ListParagraph"/>
        <w:numPr>
          <w:ilvl w:val="0"/>
          <w:numId w:val="8"/>
        </w:numPr>
        <w:spacing w:before="60" w:after="60"/>
        <w:contextualSpacing w:val="false"/>
        <w:rPr>
          <w:lang w:val="en-AU" w:eastAsia="en-AU"/>
        </w:rPr>
      </w:pPr>
      <w:r>
        <w:rPr>
          <w:lang w:val="en-AU" w:eastAsia="en-AU"/>
        </w:rPr>
        <w:t>Clear data governance practices covering retention, disposal, and purpose limitation.</w:t>
      </w:r>
    </w:p>
    <w:p>
      <w:pPr>
        <w:pStyle w:val="ListParagraph"/>
        <w:numPr>
          <w:ilvl w:val="0"/>
          <w:numId w:val="8"/>
        </w:numPr>
        <w:spacing w:before="60" w:after="60"/>
        <w:contextualSpacing w:val="false"/>
        <w:rPr>
          <w:lang w:val="en-AU" w:eastAsia="en-AU"/>
        </w:rPr>
      </w:pPr>
      <w:r>
        <w:rPr>
          <w:lang w:val="en-AU" w:eastAsia="en-AU"/>
        </w:rPr>
        <w:t>Formal privacy risk assessments or reviews aligned to the system's operating context.</w:t>
      </w:r>
    </w:p>
    <w:p>
      <w:pPr>
        <w:pStyle w:val="ListParagraph"/>
        <w:numPr>
          <w:ilvl w:val="0"/>
          <w:numId w:val="8"/>
        </w:numPr>
        <w:spacing w:before="60" w:after="60"/>
        <w:contextualSpacing w:val="false"/>
        <w:rPr>
          <w:lang w:val="en-AU" w:eastAsia="en-AU"/>
        </w:rPr>
      </w:pPr>
      <w:r>
        <w:rPr>
          <w:lang w:val="en-AU" w:eastAsia="en-AU"/>
        </w:rPr>
        <w:t>Ongoing monitoring of integrations, data flows, and access pathways as the system evolves.</w:t>
      </w:r>
    </w:p>
    <w:p>
      <w:pPr>
        <w:pStyle w:val="Normal"/>
        <w:rPr>
          <w:lang w:val="en-AU" w:eastAsia="en-AU"/>
        </w:rPr>
      </w:pPr>
      <w:r>
        <w:rPr>
          <w:lang w:val="en-AU" w:eastAsia="en-AU"/>
        </w:rPr>
      </w:r>
    </w:p>
    <w:p>
      <w:pPr>
        <w:pStyle w:val="Heading02"/>
        <w:numPr>
          <w:ilvl w:val="1"/>
          <w:numId w:val="1"/>
        </w:numPr>
        <w:ind w:hanging="432" w:start="432"/>
        <w:rPr>
          <w:lang w:val="en-AU" w:eastAsia="en-AU"/>
        </w:rPr>
      </w:pPr>
      <w:bookmarkStart w:id="26" w:name="_Toc220351613"/>
      <w:r>
        <w:rPr>
          <w:lang w:val="en-AU" w:eastAsia="en-AU"/>
        </w:rPr>
        <w:t>Reliability and Safety</w:t>
      </w:r>
      <w:bookmarkEnd w:id="26"/>
    </w:p>
    <w:p>
      <w:pPr>
        <w:pStyle w:val="Normal"/>
        <w:rPr>
          <w:lang w:val="en-AU" w:eastAsia="en-AU"/>
        </w:rPr>
      </w:pPr>
      <w:r>
        <w:rPr>
          <w:lang w:val="en-AU" w:eastAsia="en-AU"/>
        </w:rPr>
        <w:t>This domain examines the extent to which the AI system operates reliably, predictably, and safely within its intended use and operating context. It focuses on the potential for system errors, failures, or unintended behaviours to cause harm, disruption, or unsafe outcomes, particularly where AI-supported decisions influence operational processes, services, or individuals.</w:t>
      </w:r>
    </w:p>
    <w:p>
      <w:pPr>
        <w:pStyle w:val="Normal"/>
        <w:rPr>
          <w:lang w:val="en-AU" w:eastAsia="en-AU"/>
        </w:rPr>
      </w:pPr>
      <w:r>
        <w:rPr>
          <w:lang w:val="en-AU" w:eastAsia="en-AU"/>
        </w:rPr>
        <w:t>The assessment considers reliability and safety risks arising from system design, deployment context, and operational dependencies. This includes the degree of automation applied to decisions ({{ faira_form.A1_6 }}), the criticality of decisions supported by the system ({{ faira_form.A1_4 | format_list }}), the presence of safeguards to prevent or detect erroneous inputs or outputs ({{ faira_form.A2_3 | format_list }}), and the extent to which human oversight or intervention is available when system behaviour deviates from expectations ({{ faira_form.A1_7 | format_list }}).</w:t>
      </w:r>
    </w:p>
    <w:p>
      <w:pPr>
        <w:pStyle w:val="Normal"/>
        <w:rPr>
          <w:lang w:val="en-AU" w:eastAsia="en-AU"/>
        </w:rPr>
      </w:pPr>
      <w:r>
        <w:rPr>
          <w:lang w:val="en-AU" w:eastAsia="en-AU"/>
        </w:rPr>
        <w:t xml:space="preserve">For the Reliability and Safety domain, the assessed </w:t>
      </w:r>
      <w:r>
        <w:rPr>
          <w:b/>
          <w:bCs/>
          <w:lang w:val="en-AU" w:eastAsia="en-AU"/>
        </w:rPr>
        <w:t>impact score</w:t>
      </w:r>
      <w:r>
        <w:rPr>
          <w:lang w:val="en-AU" w:eastAsia="en-AU"/>
        </w:rPr>
        <w:t xml:space="preserve"> was </w:t>
      </w:r>
      <w:r>
        <w:rPr>
          <w:b/>
          <w:bCs/>
          <w:lang w:val="en-AU" w:eastAsia="en-AU"/>
        </w:rPr>
        <w:t>{{domain_scores.ReliabilitySafety.Impact}}</w:t>
      </w:r>
      <w:r>
        <w:rPr>
          <w:lang w:val="en-AU" w:eastAsia="en-AU"/>
        </w:rPr>
        <w:t xml:space="preserve">, reflecting the potential severity of harm should system failures or unsafe behaviours occur. The </w:t>
      </w:r>
      <w:r>
        <w:rPr>
          <w:b/>
          <w:bCs/>
          <w:lang w:val="en-AU" w:eastAsia="en-AU"/>
        </w:rPr>
        <w:t>likelihood score</w:t>
      </w:r>
      <w:r>
        <w:rPr>
          <w:lang w:val="en-AU" w:eastAsia="en-AU"/>
        </w:rPr>
        <w:t xml:space="preserve"> was assessed as </w:t>
      </w:r>
      <w:r>
        <w:rPr>
          <w:b/>
          <w:bCs/>
          <w:lang w:val="en-AU" w:eastAsia="en-AU"/>
        </w:rPr>
        <w:t>{{domain_scores.ReliabilitySafety.Likelihood}}</w:t>
      </w:r>
      <w:r>
        <w:rPr>
          <w:lang w:val="en-AU" w:eastAsia="en-AU"/>
        </w:rPr>
        <w:t>, informed by factors such as system autonomy, integration with other systems or processes ({{ faira_form.A1_9 | format_list }}), monitoring arrangements ({{ faira_form.A5_3 | format_list }}), and the operating environment in which the system is deployed.</w:t>
      </w:r>
    </w:p>
    <w:p>
      <w:pPr>
        <w:pStyle w:val="Normal"/>
        <w:rPr>
          <w:lang w:val="en-AU" w:eastAsia="en-AU"/>
        </w:rPr>
      </w:pPr>
      <w:r>
        <w:rPr>
          <w:lang w:val="en-AU" w:eastAsia="en-AU"/>
        </w:rPr>
        <w:t xml:space="preserve">The effectiveness of existing controls relevant to this domain was assessed as </w:t>
      </w:r>
      <w:r>
        <w:rPr>
          <w:b/>
          <w:bCs/>
          <w:lang w:val="en-AU" w:eastAsia="en-AU"/>
        </w:rPr>
        <w:t>{{domain_scores.ReliabilitySafety.Control_Effectiveness}}</w:t>
      </w:r>
      <w:r>
        <w:rPr>
          <w:lang w:val="en-AU" w:eastAsia="en-AU"/>
        </w:rPr>
        <w:t xml:space="preserve">, taking into account testing practices, monitoring mechanisms, incident detection processes, and escalation pathways intended to identify or respond to failures or unsafe outcomes ({{ faira_form.A5_6 | format_list }}). After accounting for these controls, the resulting </w:t>
      </w:r>
      <w:r>
        <w:rPr>
          <w:b/>
          <w:bCs/>
          <w:lang w:val="en-AU" w:eastAsia="en-AU"/>
        </w:rPr>
        <w:t>residual domain risk score</w:t>
      </w:r>
      <w:r>
        <w:rPr>
          <w:lang w:val="en-AU" w:eastAsia="en-AU"/>
        </w:rPr>
        <w:t xml:space="preserve"> is </w:t>
      </w:r>
      <w:r>
        <w:rPr>
          <w:b/>
          <w:bCs/>
          <w:lang w:val="en-AU" w:eastAsia="en-AU"/>
        </w:rPr>
        <w:t>{{domain_scores.ReliabilitySafety.Risk}}</w:t>
      </w:r>
      <w:r>
        <w:rPr>
          <w:lang w:val="en-AU" w:eastAsia="en-AU"/>
        </w:rPr>
        <w:t>.</w:t>
      </w:r>
    </w:p>
    <w:p>
      <w:pPr>
        <w:pStyle w:val="Normal"/>
        <w:rPr>
          <w:lang w:val="en-AU" w:eastAsia="en-AU"/>
        </w:rPr>
      </w:pPr>
      <w:r>
        <w:rPr>
          <w:lang w:val="en-AU" w:eastAsia="en-AU"/>
        </w:rPr>
        <w:t xml:space="preserve">These results represent </w:t>
      </w:r>
      <w:r>
        <w:rPr>
          <w:b/>
          <w:bCs/>
          <w:lang w:val="en-AU" w:eastAsia="en-AU"/>
        </w:rPr>
        <w:t>residual risk</w:t>
      </w:r>
      <w:r>
        <w:rPr>
          <w:lang w:val="en-AU" w:eastAsia="en-AU"/>
        </w:rPr>
        <w:t>, indicating the extent to which reliability or safety-related risks may persist under current operating conditions and governance arrangements.</w:t>
      </w:r>
    </w:p>
    <w:p>
      <w:pPr>
        <w:pStyle w:val="Normal"/>
        <w:rPr>
          <w:lang w:val="en-AU" w:eastAsia="en-AU"/>
        </w:rPr>
      </w:pPr>
      <w:r>
        <w:rPr/>
        <mc:AlternateContent>
          <mc:Choice Requires="wps">
            <w:drawing>
              <wp:inline distT="0" distB="0" distL="0" distR="0">
                <wp:extent cx="5731510" cy="19050"/>
                <wp:effectExtent l="0" t="0" r="0" b="0"/>
                <wp:docPr id="14" name=""/>
                <a:graphic xmlns:a="http://schemas.openxmlformats.org/drawingml/2006/main">
                  <a:graphicData uri="http://schemas.microsoft.com/office/word/2010/wordprocessingShape">
                    <wps:wsp>
                      <wps:cNvSpPr/>
                      <wps:nvSpPr>
                        <wps:cNvPr id="15" name=""/>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b/>
          <w:bCs/>
          <w:lang w:val="en-AU" w:eastAsia="en-AU"/>
        </w:rPr>
      </w:pPr>
      <w:r>
        <w:rPr>
          <w:b/>
          <w:bCs/>
          <w:lang w:val="en-AU" w:eastAsia="en-AU"/>
        </w:rPr>
        <w:t>Key Reliability and Safety Considerations</w:t>
      </w:r>
    </w:p>
    <w:p>
      <w:pPr>
        <w:pStyle w:val="Normal"/>
        <w:numPr>
          <w:ilvl w:val="0"/>
          <w:numId w:val="12"/>
        </w:numPr>
        <w:rPr>
          <w:lang w:val="en-AU" w:eastAsia="en-AU"/>
        </w:rPr>
      </w:pPr>
      <w:r>
        <w:rPr>
          <w:b/>
          <w:bCs/>
          <w:lang w:val="en-AU" w:eastAsia="en-AU"/>
        </w:rPr>
        <w:t>Decision criticality:</w:t>
      </w:r>
      <w:r>
        <w:rPr>
          <w:lang w:val="en-AU" w:eastAsia="en-AU"/>
        </w:rPr>
        <w:t xml:space="preserve"> The system supports decisions related to {{ faira_form.A1_4 | format_list }}, influencing the potential impact of reliability or safety failures.</w:t>
      </w:r>
    </w:p>
    <w:p>
      <w:pPr>
        <w:pStyle w:val="Normal"/>
        <w:numPr>
          <w:ilvl w:val="0"/>
          <w:numId w:val="12"/>
        </w:numPr>
        <w:rPr>
          <w:lang w:val="en-AU" w:eastAsia="en-AU"/>
        </w:rPr>
      </w:pPr>
      <w:r>
        <w:rPr>
          <w:b/>
          <w:bCs/>
          <w:lang w:val="en-AU" w:eastAsia="en-AU"/>
        </w:rPr>
        <w:t>Automation and autonomy:</w:t>
      </w:r>
      <w:r>
        <w:rPr>
          <w:lang w:val="en-AU" w:eastAsia="en-AU"/>
        </w:rPr>
        <w:t xml:space="preserve"> The level of automation applied to decision-making was assessed as </w:t>
      </w:r>
      <w:r>
        <w:rPr>
          <w:highlight w:val="yellow"/>
          <w:lang w:val="en-AU" w:eastAsia="en-AU"/>
        </w:rPr>
        <w:t>{{ faira_form.A1_6 }},</w:t>
      </w:r>
      <w:r>
        <w:rPr>
          <w:lang w:val="en-AU" w:eastAsia="en-AU"/>
        </w:rPr>
        <w:t xml:space="preserve"> affecting both the likelihood and detectability of failures.</w:t>
      </w:r>
    </w:p>
    <w:p>
      <w:pPr>
        <w:pStyle w:val="Normal"/>
        <w:numPr>
          <w:ilvl w:val="0"/>
          <w:numId w:val="12"/>
        </w:numPr>
        <w:rPr>
          <w:lang w:val="en-AU" w:eastAsia="en-AU"/>
        </w:rPr>
      </w:pPr>
      <w:r>
        <w:rPr>
          <w:b/>
          <w:bCs/>
          <w:lang w:val="en-AU" w:eastAsia="en-AU"/>
        </w:rPr>
        <w:t>Safeguards and monitoring:</w:t>
      </w:r>
      <w:r>
        <w:rPr>
          <w:lang w:val="en-AU" w:eastAsia="en-AU"/>
        </w:rPr>
        <w:t xml:space="preserve"> Safeguards to prevent or detect erroneous inputs or outputs were assessed as {{ faira_form.A2_3 | format_list }}, alongside monitoring mechanisms including {{ faira_form.A5_3 | format_list if faira_form.A5_3 else "no explicitly defined monitoring mechanisms" }}.</w:t>
      </w:r>
    </w:p>
    <w:p>
      <w:pPr>
        <w:pStyle w:val="Normal"/>
        <w:numPr>
          <w:ilvl w:val="0"/>
          <w:numId w:val="12"/>
        </w:numPr>
        <w:rPr>
          <w:lang w:val="en-AU" w:eastAsia="en-AU"/>
        </w:rPr>
      </w:pPr>
      <w:r>
        <w:rPr>
          <w:b/>
          <w:bCs/>
          <w:lang w:val="en-AU" w:eastAsia="en-AU"/>
        </w:rPr>
        <w:t>Human oversight:</w:t>
      </w:r>
      <w:r>
        <w:rPr>
          <w:lang w:val="en-AU" w:eastAsia="en-AU"/>
        </w:rPr>
        <w:t xml:space="preserve"> The availability of human review or intervention in response to unexpected system behaviour was assessed as {{ faira_form.A1_7 | format_list }}.</w:t>
      </w:r>
    </w:p>
    <w:p>
      <w:pPr>
        <w:pStyle w:val="Normal"/>
        <w:rPr>
          <w:b/>
          <w:bCs/>
          <w:lang w:eastAsia="en-AU"/>
        </w:rPr>
      </w:pPr>
      <w:r>
        <w:rPr>
          <w:b/>
          <w:bCs/>
          <w:lang w:eastAsia="en-AU"/>
        </w:rPr>
        <w:t>FAIRA Domain Risk Profile — Reliability and Safety</w:t>
      </w:r>
    </w:p>
    <w:tbl>
      <w:tblPr>
        <w:tblW w:w="9016" w:type="dxa"/>
        <w:jc w:val="start"/>
        <w:tblInd w:w="0" w:type="dxa"/>
        <w:tblLayout w:type="fixed"/>
        <w:tblCellMar>
          <w:top w:w="43" w:type="dxa"/>
          <w:start w:w="43" w:type="dxa"/>
          <w:bottom w:w="43" w:type="dxa"/>
          <w:end w:w="43" w:type="dxa"/>
        </w:tblCellMar>
        <w:tblLook w:firstRow="1" w:noVBand="1" w:lastRow="0" w:firstColumn="1" w:lastColumn="0" w:noHBand="0" w:val="04a0"/>
      </w:tblPr>
      <w:tblGrid>
        <w:gridCol w:w="2135"/>
        <w:gridCol w:w="2659"/>
        <w:gridCol w:w="4222"/>
      </w:tblGrid>
      <w:tr>
        <w:trPr>
          <w:tblHeader w:val="true"/>
        </w:trPr>
        <w:tc>
          <w:tcPr>
            <w:tcW w:w="2135" w:type="dxa"/>
            <w:tcBorders>
              <w:top w:val="single" w:sz="4" w:space="0" w:color="000000"/>
              <w:start w:val="single" w:sz="4" w:space="0" w:color="000000"/>
              <w:bottom w:val="single" w:sz="4" w:space="0" w:color="000000"/>
              <w:end w:val="single" w:sz="4" w:space="0" w:color="000000"/>
            </w:tcBorders>
            <w:shd w:color="auto" w:fill="D9D9D9" w:themeFill="background1" w:themeFillShade="d9" w:val="clear"/>
          </w:tcPr>
          <w:p>
            <w:pPr>
              <w:pStyle w:val="Normal"/>
              <w:spacing w:before="0" w:after="160"/>
              <w:rPr>
                <w:b/>
                <w:bCs/>
                <w:sz w:val="20"/>
                <w:szCs w:val="20"/>
                <w:lang w:val="en-AU" w:eastAsia="en-AU"/>
              </w:rPr>
            </w:pPr>
            <w:r>
              <w:rPr>
                <w:b/>
                <w:bCs/>
                <w:sz w:val="20"/>
                <w:szCs w:val="20"/>
                <w:lang w:val="en-AU" w:eastAsia="en-AU"/>
              </w:rPr>
              <w:t>Measure</w:t>
            </w:r>
          </w:p>
        </w:tc>
        <w:tc>
          <w:tcPr>
            <w:tcW w:w="2659" w:type="dxa"/>
            <w:tcBorders>
              <w:top w:val="single" w:sz="4" w:space="0" w:color="000000"/>
              <w:start w:val="single" w:sz="4" w:space="0" w:color="000000"/>
              <w:bottom w:val="single" w:sz="4" w:space="0" w:color="000000"/>
              <w:end w:val="single" w:sz="4" w:space="0" w:color="000000"/>
            </w:tcBorders>
            <w:shd w:color="auto" w:fill="D9D9D9" w:themeFill="background1" w:themeFillShade="d9" w:val="clear"/>
          </w:tcPr>
          <w:p>
            <w:pPr>
              <w:pStyle w:val="Normal"/>
              <w:spacing w:before="0" w:after="160"/>
              <w:rPr>
                <w:b/>
                <w:bCs/>
                <w:sz w:val="20"/>
                <w:szCs w:val="20"/>
                <w:lang w:val="en-AU" w:eastAsia="en-AU"/>
              </w:rPr>
            </w:pPr>
            <w:r>
              <w:rPr>
                <w:b/>
                <w:bCs/>
                <w:sz w:val="20"/>
                <w:szCs w:val="20"/>
                <w:lang w:val="en-AU" w:eastAsia="en-AU"/>
              </w:rPr>
              <w:t>Score</w:t>
            </w:r>
          </w:p>
        </w:tc>
        <w:tc>
          <w:tcPr>
            <w:tcW w:w="4222" w:type="dxa"/>
            <w:tcBorders>
              <w:top w:val="single" w:sz="4" w:space="0" w:color="000000"/>
              <w:start w:val="single" w:sz="4" w:space="0" w:color="000000"/>
              <w:bottom w:val="single" w:sz="4" w:space="0" w:color="000000"/>
              <w:end w:val="single" w:sz="4" w:space="0" w:color="000000"/>
            </w:tcBorders>
            <w:shd w:color="auto" w:fill="D9D9D9" w:themeFill="background1" w:themeFillShade="d9" w:val="clear"/>
          </w:tcPr>
          <w:p>
            <w:pPr>
              <w:pStyle w:val="Normal"/>
              <w:spacing w:before="0" w:after="160"/>
              <w:rPr>
                <w:b/>
                <w:bCs/>
                <w:sz w:val="20"/>
                <w:szCs w:val="20"/>
                <w:lang w:val="en-AU" w:eastAsia="en-AU"/>
              </w:rPr>
            </w:pPr>
            <w:r>
              <w:rPr>
                <w:b/>
                <w:bCs/>
                <w:sz w:val="20"/>
                <w:szCs w:val="20"/>
                <w:lang w:val="en-AU" w:eastAsia="en-AU"/>
              </w:rPr>
              <w:t>Interpretation</w:t>
            </w:r>
          </w:p>
        </w:tc>
      </w:tr>
      <w:tr>
        <w:trPr/>
        <w:tc>
          <w:tcPr>
            <w:tcW w:w="2135" w:type="dxa"/>
            <w:tcBorders>
              <w:top w:val="single" w:sz="4" w:space="0" w:color="000000"/>
              <w:start w:val="single" w:sz="4" w:space="0" w:color="000000"/>
              <w:bottom w:val="single" w:sz="4" w:space="0" w:color="000000"/>
              <w:end w:val="single" w:sz="4" w:space="0" w:color="000000"/>
            </w:tcBorders>
          </w:tcPr>
          <w:p>
            <w:pPr>
              <w:pStyle w:val="Normal"/>
              <w:spacing w:before="0" w:after="160"/>
              <w:rPr>
                <w:sz w:val="20"/>
                <w:szCs w:val="20"/>
                <w:lang w:val="en-AU" w:eastAsia="en-AU"/>
              </w:rPr>
            </w:pPr>
            <w:r>
              <w:rPr>
                <w:sz w:val="20"/>
                <w:szCs w:val="20"/>
                <w:lang w:val="en-AU" w:eastAsia="en-AU"/>
              </w:rPr>
              <w:t>Impact</w:t>
            </w:r>
          </w:p>
        </w:tc>
        <w:tc>
          <w:tcPr>
            <w:tcW w:w="2659" w:type="dxa"/>
            <w:tcBorders>
              <w:top w:val="single" w:sz="4" w:space="0" w:color="000000"/>
              <w:start w:val="single" w:sz="4" w:space="0" w:color="000000"/>
              <w:bottom w:val="single" w:sz="4" w:space="0" w:color="000000"/>
              <w:end w:val="single" w:sz="4" w:space="0" w:color="000000"/>
            </w:tcBorders>
          </w:tcPr>
          <w:p>
            <w:pPr>
              <w:pStyle w:val="Normal"/>
              <w:spacing w:before="0" w:after="160"/>
              <w:rPr>
                <w:sz w:val="20"/>
                <w:szCs w:val="20"/>
                <w:lang w:val="en-AU" w:eastAsia="en-AU"/>
              </w:rPr>
            </w:pPr>
            <w:r>
              <w:rPr>
                <w:sz w:val="20"/>
                <w:szCs w:val="20"/>
                <w:lang w:val="en-AU" w:eastAsia="en-AU"/>
              </w:rPr>
              <w:t>{{domain_scores.ReliabilitySafety.Impact}}</w:t>
            </w:r>
          </w:p>
        </w:tc>
        <w:tc>
          <w:tcPr>
            <w:tcW w:w="4222" w:type="dxa"/>
            <w:tcBorders>
              <w:top w:val="single" w:sz="4" w:space="0" w:color="000000"/>
              <w:start w:val="single" w:sz="4" w:space="0" w:color="000000"/>
              <w:bottom w:val="single" w:sz="4" w:space="0" w:color="000000"/>
              <w:end w:val="single" w:sz="4" w:space="0" w:color="000000"/>
            </w:tcBorders>
          </w:tcPr>
          <w:p>
            <w:pPr>
              <w:pStyle w:val="Normal"/>
              <w:spacing w:before="0" w:after="160"/>
              <w:rPr>
                <w:sz w:val="20"/>
                <w:szCs w:val="20"/>
                <w:lang w:val="en-AU" w:eastAsia="en-AU"/>
              </w:rPr>
            </w:pPr>
            <w:r>
              <w:rPr>
                <w:sz w:val="20"/>
                <w:szCs w:val="20"/>
                <w:lang w:val="en-AU" w:eastAsia="en-AU"/>
              </w:rPr>
              <w:t>Severity of potential harm arising from system failure or unsafe behaviour</w:t>
            </w:r>
          </w:p>
        </w:tc>
      </w:tr>
      <w:tr>
        <w:trPr/>
        <w:tc>
          <w:tcPr>
            <w:tcW w:w="2135" w:type="dxa"/>
            <w:tcBorders>
              <w:top w:val="single" w:sz="4" w:space="0" w:color="000000"/>
              <w:start w:val="single" w:sz="4" w:space="0" w:color="000000"/>
              <w:bottom w:val="single" w:sz="4" w:space="0" w:color="000000"/>
              <w:end w:val="single" w:sz="4" w:space="0" w:color="000000"/>
            </w:tcBorders>
          </w:tcPr>
          <w:p>
            <w:pPr>
              <w:pStyle w:val="Normal"/>
              <w:spacing w:before="0" w:after="160"/>
              <w:rPr>
                <w:sz w:val="20"/>
                <w:szCs w:val="20"/>
                <w:lang w:val="en-AU" w:eastAsia="en-AU"/>
              </w:rPr>
            </w:pPr>
            <w:r>
              <w:rPr>
                <w:sz w:val="20"/>
                <w:szCs w:val="20"/>
                <w:lang w:val="en-AU" w:eastAsia="en-AU"/>
              </w:rPr>
              <w:t>Likelihood</w:t>
            </w:r>
          </w:p>
        </w:tc>
        <w:tc>
          <w:tcPr>
            <w:tcW w:w="2659" w:type="dxa"/>
            <w:tcBorders>
              <w:top w:val="single" w:sz="4" w:space="0" w:color="000000"/>
              <w:start w:val="single" w:sz="4" w:space="0" w:color="000000"/>
              <w:bottom w:val="single" w:sz="4" w:space="0" w:color="000000"/>
              <w:end w:val="single" w:sz="4" w:space="0" w:color="000000"/>
            </w:tcBorders>
          </w:tcPr>
          <w:p>
            <w:pPr>
              <w:pStyle w:val="Normal"/>
              <w:spacing w:before="0" w:after="160"/>
              <w:rPr>
                <w:sz w:val="20"/>
                <w:szCs w:val="20"/>
                <w:lang w:val="en-AU" w:eastAsia="en-AU"/>
              </w:rPr>
            </w:pPr>
            <w:r>
              <w:rPr>
                <w:sz w:val="20"/>
                <w:szCs w:val="20"/>
                <w:lang w:val="en-AU" w:eastAsia="en-AU"/>
              </w:rPr>
              <w:t>{{domain_scores.ReliabilitySafety.Likelihood}}</w:t>
            </w:r>
          </w:p>
        </w:tc>
        <w:tc>
          <w:tcPr>
            <w:tcW w:w="4222" w:type="dxa"/>
            <w:tcBorders>
              <w:top w:val="single" w:sz="4" w:space="0" w:color="000000"/>
              <w:start w:val="single" w:sz="4" w:space="0" w:color="000000"/>
              <w:bottom w:val="single" w:sz="4" w:space="0" w:color="000000"/>
              <w:end w:val="single" w:sz="4" w:space="0" w:color="000000"/>
            </w:tcBorders>
          </w:tcPr>
          <w:p>
            <w:pPr>
              <w:pStyle w:val="Normal"/>
              <w:spacing w:before="0" w:after="160"/>
              <w:rPr>
                <w:sz w:val="20"/>
                <w:szCs w:val="20"/>
                <w:lang w:val="en-AU" w:eastAsia="en-AU"/>
              </w:rPr>
            </w:pPr>
            <w:r>
              <w:rPr>
                <w:sz w:val="20"/>
                <w:szCs w:val="20"/>
                <w:lang w:val="en-AU" w:eastAsia="en-AU"/>
              </w:rPr>
              <w:t>Probability that reliability or safety failures may occur</w:t>
            </w:r>
          </w:p>
        </w:tc>
      </w:tr>
      <w:tr>
        <w:trPr/>
        <w:tc>
          <w:tcPr>
            <w:tcW w:w="2135" w:type="dxa"/>
            <w:tcBorders>
              <w:top w:val="single" w:sz="4" w:space="0" w:color="000000"/>
              <w:start w:val="single" w:sz="4" w:space="0" w:color="000000"/>
              <w:bottom w:val="single" w:sz="4" w:space="0" w:color="000000"/>
              <w:end w:val="single" w:sz="4" w:space="0" w:color="000000"/>
            </w:tcBorders>
          </w:tcPr>
          <w:p>
            <w:pPr>
              <w:pStyle w:val="Normal"/>
              <w:spacing w:before="0" w:after="160"/>
              <w:rPr>
                <w:sz w:val="20"/>
                <w:szCs w:val="20"/>
                <w:lang w:val="en-AU" w:eastAsia="en-AU"/>
              </w:rPr>
            </w:pPr>
            <w:r>
              <w:rPr>
                <w:sz w:val="20"/>
                <w:szCs w:val="20"/>
                <w:lang w:val="en-AU" w:eastAsia="en-AU"/>
              </w:rPr>
              <w:t>Baseline exposure (context only)</w:t>
            </w:r>
          </w:p>
        </w:tc>
        <w:tc>
          <w:tcPr>
            <w:tcW w:w="2659" w:type="dxa"/>
            <w:tcBorders>
              <w:top w:val="single" w:sz="4" w:space="0" w:color="000000"/>
              <w:start w:val="single" w:sz="4" w:space="0" w:color="000000"/>
              <w:bottom w:val="single" w:sz="4" w:space="0" w:color="000000"/>
              <w:end w:val="single" w:sz="4" w:space="0" w:color="000000"/>
            </w:tcBorders>
          </w:tcPr>
          <w:p>
            <w:pPr>
              <w:pStyle w:val="Normal"/>
              <w:spacing w:before="0" w:after="160"/>
              <w:rPr>
                <w:sz w:val="20"/>
                <w:szCs w:val="20"/>
                <w:lang w:val="en-AU" w:eastAsia="en-AU"/>
              </w:rPr>
            </w:pPr>
            <w:r>
              <w:rPr>
                <w:sz w:val="20"/>
                <w:szCs w:val="20"/>
                <w:lang w:val="en-AU" w:eastAsia="en-AU"/>
              </w:rPr>
              <w:t>{{domain_scores.ReliabilitySafety.Inherent_Risk}}</w:t>
            </w:r>
          </w:p>
        </w:tc>
        <w:tc>
          <w:tcPr>
            <w:tcW w:w="4222" w:type="dxa"/>
            <w:tcBorders>
              <w:top w:val="single" w:sz="4" w:space="0" w:color="000000"/>
              <w:start w:val="single" w:sz="4" w:space="0" w:color="000000"/>
              <w:bottom w:val="single" w:sz="4" w:space="0" w:color="000000"/>
              <w:end w:val="single" w:sz="4" w:space="0" w:color="000000"/>
            </w:tcBorders>
          </w:tcPr>
          <w:p>
            <w:pPr>
              <w:pStyle w:val="Normal"/>
              <w:spacing w:before="0" w:after="160"/>
              <w:rPr>
                <w:sz w:val="20"/>
                <w:szCs w:val="20"/>
                <w:lang w:val="en-AU" w:eastAsia="en-AU"/>
              </w:rPr>
            </w:pPr>
            <w:r>
              <w:rPr>
                <w:sz w:val="20"/>
                <w:szCs w:val="20"/>
                <w:lang w:val="en-AU" w:eastAsia="en-AU"/>
              </w:rPr>
              <w:t>Contextual reference only — not interpreted</w:t>
            </w:r>
          </w:p>
        </w:tc>
      </w:tr>
      <w:tr>
        <w:trPr/>
        <w:tc>
          <w:tcPr>
            <w:tcW w:w="2135" w:type="dxa"/>
            <w:tcBorders>
              <w:top w:val="single" w:sz="4" w:space="0" w:color="000000"/>
              <w:start w:val="single" w:sz="4" w:space="0" w:color="000000"/>
              <w:bottom w:val="single" w:sz="4" w:space="0" w:color="000000"/>
              <w:end w:val="single" w:sz="4" w:space="0" w:color="000000"/>
            </w:tcBorders>
          </w:tcPr>
          <w:p>
            <w:pPr>
              <w:pStyle w:val="Normal"/>
              <w:spacing w:before="0" w:after="160"/>
              <w:rPr>
                <w:sz w:val="20"/>
                <w:szCs w:val="20"/>
                <w:lang w:val="en-AU" w:eastAsia="en-AU"/>
              </w:rPr>
            </w:pPr>
            <w:r>
              <w:rPr>
                <w:sz w:val="20"/>
                <w:szCs w:val="20"/>
                <w:lang w:val="en-AU" w:eastAsia="en-AU"/>
              </w:rPr>
              <w:t>Control effectiveness</w:t>
            </w:r>
          </w:p>
        </w:tc>
        <w:tc>
          <w:tcPr>
            <w:tcW w:w="2659" w:type="dxa"/>
            <w:tcBorders>
              <w:top w:val="single" w:sz="4" w:space="0" w:color="000000"/>
              <w:start w:val="single" w:sz="4" w:space="0" w:color="000000"/>
              <w:bottom w:val="single" w:sz="4" w:space="0" w:color="000000"/>
              <w:end w:val="single" w:sz="4" w:space="0" w:color="000000"/>
            </w:tcBorders>
          </w:tcPr>
          <w:p>
            <w:pPr>
              <w:pStyle w:val="Normal"/>
              <w:spacing w:before="0" w:after="160"/>
              <w:rPr>
                <w:sz w:val="20"/>
                <w:szCs w:val="20"/>
                <w:lang w:val="en-AU" w:eastAsia="en-AU"/>
              </w:rPr>
            </w:pPr>
            <w:r>
              <w:rPr>
                <w:sz w:val="20"/>
                <w:szCs w:val="20"/>
                <w:lang w:val="en-AU" w:eastAsia="en-AU"/>
              </w:rPr>
              <w:t>{{domain_scores.ReliabilitySafety.Control_Effectiveness}}</w:t>
            </w:r>
          </w:p>
        </w:tc>
        <w:tc>
          <w:tcPr>
            <w:tcW w:w="4222" w:type="dxa"/>
            <w:tcBorders>
              <w:top w:val="single" w:sz="4" w:space="0" w:color="000000"/>
              <w:start w:val="single" w:sz="4" w:space="0" w:color="000000"/>
              <w:bottom w:val="single" w:sz="4" w:space="0" w:color="000000"/>
              <w:end w:val="single" w:sz="4" w:space="0" w:color="000000"/>
            </w:tcBorders>
          </w:tcPr>
          <w:p>
            <w:pPr>
              <w:pStyle w:val="Normal"/>
              <w:spacing w:before="0" w:after="160"/>
              <w:rPr>
                <w:sz w:val="20"/>
                <w:szCs w:val="20"/>
                <w:lang w:val="en-AU" w:eastAsia="en-AU"/>
              </w:rPr>
            </w:pPr>
            <w:r>
              <w:rPr>
                <w:sz w:val="20"/>
                <w:szCs w:val="20"/>
                <w:lang w:val="en-AU" w:eastAsia="en-AU"/>
              </w:rPr>
              <w:t>Strength of existing safeguards and monitoring arrangements</w:t>
            </w:r>
          </w:p>
        </w:tc>
      </w:tr>
      <w:tr>
        <w:trPr/>
        <w:tc>
          <w:tcPr>
            <w:tcW w:w="2135" w:type="dxa"/>
            <w:tcBorders>
              <w:top w:val="single" w:sz="4" w:space="0" w:color="000000"/>
              <w:start w:val="single" w:sz="4" w:space="0" w:color="000000"/>
              <w:bottom w:val="single" w:sz="4" w:space="0" w:color="000000"/>
              <w:end w:val="single" w:sz="4" w:space="0" w:color="000000"/>
            </w:tcBorders>
          </w:tcPr>
          <w:p>
            <w:pPr>
              <w:pStyle w:val="Normal"/>
              <w:spacing w:before="0" w:after="160"/>
              <w:rPr>
                <w:sz w:val="20"/>
                <w:szCs w:val="20"/>
                <w:lang w:val="en-AU" w:eastAsia="en-AU"/>
              </w:rPr>
            </w:pPr>
            <w:r>
              <w:rPr>
                <w:b/>
                <w:bCs/>
                <w:sz w:val="20"/>
                <w:szCs w:val="20"/>
                <w:lang w:val="en-AU" w:eastAsia="en-AU"/>
              </w:rPr>
              <w:t>Residual risk</w:t>
            </w:r>
          </w:p>
        </w:tc>
        <w:tc>
          <w:tcPr>
            <w:tcW w:w="2659" w:type="dxa"/>
            <w:tcBorders>
              <w:top w:val="single" w:sz="4" w:space="0" w:color="000000"/>
              <w:start w:val="single" w:sz="4" w:space="0" w:color="000000"/>
              <w:bottom w:val="single" w:sz="4" w:space="0" w:color="000000"/>
              <w:end w:val="single" w:sz="4" w:space="0" w:color="000000"/>
            </w:tcBorders>
          </w:tcPr>
          <w:p>
            <w:pPr>
              <w:pStyle w:val="Normal"/>
              <w:spacing w:before="0" w:after="160"/>
              <w:rPr>
                <w:sz w:val="20"/>
                <w:szCs w:val="20"/>
                <w:lang w:val="en-AU" w:eastAsia="en-AU"/>
              </w:rPr>
            </w:pPr>
            <w:r>
              <w:rPr>
                <w:b/>
                <w:bCs/>
                <w:sz w:val="20"/>
                <w:szCs w:val="20"/>
                <w:lang w:val="en-AU" w:eastAsia="en-AU"/>
              </w:rPr>
              <w:t>{{domain_scores.ReliabilitySafety.Risk}}</w:t>
            </w:r>
          </w:p>
        </w:tc>
        <w:tc>
          <w:tcPr>
            <w:tcW w:w="4222" w:type="dxa"/>
            <w:tcBorders>
              <w:top w:val="single" w:sz="4" w:space="0" w:color="000000"/>
              <w:start w:val="single" w:sz="4" w:space="0" w:color="000000"/>
              <w:bottom w:val="single" w:sz="4" w:space="0" w:color="000000"/>
              <w:end w:val="single" w:sz="4" w:space="0" w:color="000000"/>
            </w:tcBorders>
          </w:tcPr>
          <w:p>
            <w:pPr>
              <w:pStyle w:val="Normal"/>
              <w:spacing w:before="0" w:after="160"/>
              <w:rPr>
                <w:sz w:val="20"/>
                <w:szCs w:val="20"/>
                <w:lang w:val="en-AU" w:eastAsia="en-AU"/>
              </w:rPr>
            </w:pPr>
            <w:r>
              <w:rPr>
                <w:sz w:val="20"/>
                <w:szCs w:val="20"/>
                <w:lang w:val="en-AU" w:eastAsia="en-AU"/>
              </w:rPr>
              <w:t>Ongoing reliability and safety risk requiring consideration</w:t>
            </w:r>
          </w:p>
        </w:tc>
      </w:tr>
    </w:tbl>
    <w:p>
      <w:pPr>
        <w:pStyle w:val="Normal"/>
        <w:rPr>
          <w:b/>
          <w:bCs/>
          <w:lang w:val="en-AU" w:eastAsia="en-AU"/>
        </w:rPr>
      </w:pPr>
      <w:r>
        <w:rPr>
          <w:b/>
          <w:bCs/>
          <w:lang w:val="en-AU" w:eastAsia="en-AU"/>
        </w:rPr>
      </w:r>
    </w:p>
    <w:p>
      <w:pPr>
        <w:pStyle w:val="Normal"/>
        <w:rPr>
          <w:b/>
          <w:bCs/>
          <w:lang w:val="en-AU" w:eastAsia="en-AU"/>
        </w:rPr>
      </w:pPr>
      <w:r>
        <w:rPr>
          <w:b/>
          <w:bCs/>
          <w:lang w:val="en-AU" w:eastAsia="en-AU"/>
        </w:rPr>
        <w:t>Domain Interpretation</w:t>
      </w:r>
    </w:p>
    <w:p>
      <w:pPr>
        <w:pStyle w:val="Normal"/>
        <w:rPr>
          <w:lang w:val="en-AU" w:eastAsia="en-AU"/>
        </w:rPr>
      </w:pPr>
      <w:r>
        <w:rPr>
          <w:lang w:val="en-AU" w:eastAsia="en-AU"/>
        </w:rPr>
        <w:t xml:space="preserve">Reliability and safety risks relate to the potential for AI systems to behave unpredictably, fail under certain conditions, or produce outcomes that deviate from intended use. Such risks may arise from system complexity, automation, integration with other processes, or changes in operating conditions over time. </w:t>
      </w:r>
      <w:r>
        <w:rPr>
          <w:lang w:eastAsia="en-AU"/>
        </w:rPr>
        <w:t>Residual reliability and safety risks may persist due to uncertainty, scale, or environmental variability, even where systems function as designed.</w:t>
      </w:r>
      <w:r>
        <w:rPr>
          <w:lang w:val="en-AU" w:eastAsia="en-AU"/>
        </w:rPr>
        <w:t xml:space="preserve"> </w:t>
      </w:r>
    </w:p>
    <w:p>
      <w:pPr>
        <w:pStyle w:val="Normal"/>
        <w:rPr>
          <w:lang w:val="en-AU" w:eastAsia="en-AU"/>
        </w:rPr>
      </w:pPr>
      <w:r>
        <w:rPr>
          <w:lang w:val="en-AU" w:eastAsia="en-AU"/>
        </w:rPr>
        <w:t>This domain should be interpreted as an indicator of exposure to failure-related harms rather than as a measure of system quality or robustness. Reliability and safety considerations are inherently context-dependent and may evolve as system use, dependencies, or operating environments change, and should therefore be considered alongside governance, monitoring, and incident response arrangements.</w:t>
      </w:r>
    </w:p>
    <w:p>
      <w:pPr>
        <w:pStyle w:val="Normal"/>
        <w:rPr>
          <w:b/>
          <w:bCs/>
          <w:lang w:eastAsia="en-AU"/>
        </w:rPr>
      </w:pPr>
      <w:r>
        <w:rPr>
          <w:b/>
          <w:bCs/>
          <w:lang w:eastAsia="en-AU"/>
        </w:rPr>
        <w:t>What would change this score?</w:t>
      </w:r>
    </w:p>
    <w:p>
      <w:pPr>
        <w:pStyle w:val="Normal"/>
        <w:rPr>
          <w:lang w:val="en-AU" w:eastAsia="en-AU"/>
        </w:rPr>
      </w:pPr>
      <w:r>
        <w:rPr>
          <w:lang w:eastAsia="en-AU"/>
        </w:rPr>
        <w:t>The factors below represent governance, operational, or design changes that are likely to materially influence the assessed risk level for this domain over time. These factors are illustrative and should be considered in the context of the system's operating environment and risk appetite.</w:t>
      </w:r>
    </w:p>
    <w:p>
      <w:pPr>
        <w:pStyle w:val="ListParagraph"/>
        <w:numPr>
          <w:ilvl w:val="0"/>
          <w:numId w:val="12"/>
        </w:numPr>
        <w:spacing w:before="60" w:after="60"/>
        <w:contextualSpacing w:val="false"/>
        <w:rPr>
          <w:lang w:val="en-AU" w:eastAsia="en-AU"/>
        </w:rPr>
      </w:pPr>
      <w:r>
        <w:rPr>
          <w:lang w:val="en-AU" w:eastAsia="en-AU"/>
        </w:rPr>
        <w:t>Improved testing and validation of system behaviour under normal and edge-case conditions.</w:t>
      </w:r>
    </w:p>
    <w:p>
      <w:pPr>
        <w:pStyle w:val="ListParagraph"/>
        <w:numPr>
          <w:ilvl w:val="0"/>
          <w:numId w:val="12"/>
        </w:numPr>
        <w:spacing w:before="60" w:after="60"/>
        <w:contextualSpacing w:val="false"/>
        <w:rPr>
          <w:lang w:val="en-AU" w:eastAsia="en-AU"/>
        </w:rPr>
      </w:pPr>
      <w:r>
        <w:rPr>
          <w:lang w:val="en-AU" w:eastAsia="en-AU"/>
        </w:rPr>
        <w:t>Clear thresholds for human intervention or system shutdown when unexpected behaviour occurs.</w:t>
      </w:r>
    </w:p>
    <w:p>
      <w:pPr>
        <w:pStyle w:val="ListParagraph"/>
        <w:numPr>
          <w:ilvl w:val="0"/>
          <w:numId w:val="12"/>
        </w:numPr>
        <w:spacing w:before="60" w:after="60"/>
        <w:contextualSpacing w:val="false"/>
        <w:rPr>
          <w:lang w:val="en-AU" w:eastAsia="en-AU"/>
        </w:rPr>
      </w:pPr>
      <w:r>
        <w:rPr>
          <w:lang w:val="en-AU" w:eastAsia="en-AU"/>
        </w:rPr>
        <w:t>Enhanced monitoring and alerting for errors, failures, or unsafe outcomes.</w:t>
      </w:r>
    </w:p>
    <w:p>
      <w:pPr>
        <w:pStyle w:val="ListParagraph"/>
        <w:numPr>
          <w:ilvl w:val="0"/>
          <w:numId w:val="12"/>
        </w:numPr>
        <w:spacing w:before="60" w:after="60"/>
        <w:contextualSpacing w:val="false"/>
        <w:rPr>
          <w:lang w:val="en-AU" w:eastAsia="en-AU"/>
        </w:rPr>
      </w:pPr>
      <w:r>
        <w:rPr>
          <w:lang w:val="en-AU" w:eastAsia="en-AU"/>
        </w:rPr>
        <w:t>Reduction in system autonomy for high-impact or safety-critical decisions.</w:t>
      </w:r>
    </w:p>
    <w:p>
      <w:pPr>
        <w:pStyle w:val="ListParagraph"/>
        <w:numPr>
          <w:ilvl w:val="0"/>
          <w:numId w:val="12"/>
        </w:numPr>
        <w:spacing w:before="60" w:after="60"/>
        <w:contextualSpacing w:val="false"/>
        <w:rPr>
          <w:lang w:val="en-AU" w:eastAsia="en-AU"/>
        </w:rPr>
      </w:pPr>
      <w:r>
        <w:rPr>
          <w:lang w:val="en-AU" w:eastAsia="en-AU"/>
        </w:rPr>
        <w:t>Documented incident response and recovery processes specific to AI-related failures.</w:t>
      </w:r>
    </w:p>
    <w:p>
      <w:pPr>
        <w:pStyle w:val="Normal"/>
        <w:rPr>
          <w:sz w:val="20"/>
          <w:szCs w:val="20"/>
          <w:lang w:val="en-AU" w:eastAsia="en-AU"/>
        </w:rPr>
      </w:pPr>
      <w:r>
        <w:rPr>
          <w:sz w:val="20"/>
          <w:szCs w:val="20"/>
          <w:lang w:val="en-AU" w:eastAsia="en-AU"/>
        </w:rPr>
      </w:r>
    </w:p>
    <w:p>
      <w:pPr>
        <w:pStyle w:val="Heading02"/>
        <w:numPr>
          <w:ilvl w:val="1"/>
          <w:numId w:val="1"/>
        </w:numPr>
        <w:ind w:hanging="432" w:start="432"/>
        <w:rPr>
          <w:lang w:val="en-AU" w:eastAsia="en-AU"/>
        </w:rPr>
      </w:pPr>
      <w:bookmarkStart w:id="27" w:name="_Toc220351614"/>
      <w:r>
        <w:rPr>
          <w:lang w:val="en-AU" w:eastAsia="en-AU"/>
        </w:rPr>
        <w:t>Transparency and Explainability</w:t>
      </w:r>
      <w:bookmarkEnd w:id="27"/>
    </w:p>
    <w:p>
      <w:pPr>
        <w:pStyle w:val="Normal"/>
        <w:rPr>
          <w:lang w:val="en-AU" w:eastAsia="en-AU"/>
        </w:rPr>
      </w:pPr>
      <w:r>
        <w:rPr>
          <w:lang w:val="en-AU" w:eastAsia="en-AU"/>
        </w:rPr>
        <w:t xml:space="preserve">This domain examines the extent to which the operation and outcomes of the AI system are </w:t>
      </w:r>
      <w:r>
        <w:rPr>
          <w:b/>
          <w:bCs/>
          <w:lang w:val="en-AU" w:eastAsia="en-AU"/>
        </w:rPr>
        <w:t>understandable, explainable, and transparent</w:t>
      </w:r>
      <w:r>
        <w:rPr>
          <w:lang w:val="en-AU" w:eastAsia="en-AU"/>
        </w:rPr>
        <w:t xml:space="preserve"> to relevant stakeholders. It focuses on whether individuals affected by AI-supported decisions can obtain meaningful information about how those decisions are made, the factors influencing outcomes, and the system's limitations.</w:t>
      </w:r>
    </w:p>
    <w:p>
      <w:pPr>
        <w:pStyle w:val="Normal"/>
        <w:rPr>
          <w:lang w:val="en-AU" w:eastAsia="en-AU"/>
        </w:rPr>
      </w:pPr>
      <w:r>
        <w:rPr>
          <w:lang w:val="en-AU" w:eastAsia="en-AU"/>
        </w:rPr>
        <w:t>The assessment considers transparency and explainability across different audiences, recognising that the level of explanation required may vary depending on whether the audience is internal staff, decision-makers, or external individuals affected by system outputs. It also considers whether explanations are available in a timely and accessible manner, particularly where decisions may have material impacts.</w:t>
      </w:r>
    </w:p>
    <w:p>
      <w:pPr>
        <w:pStyle w:val="Normal"/>
        <w:rPr>
          <w:lang w:val="en-AU" w:eastAsia="en-AU"/>
        </w:rPr>
      </w:pPr>
      <w:r>
        <w:rPr>
          <w:lang w:val="en-AU" w:eastAsia="en-AU"/>
        </w:rPr>
        <w:t xml:space="preserve">For the Transparency and Explainability domain, the assessed </w:t>
      </w:r>
      <w:r>
        <w:rPr>
          <w:b/>
          <w:bCs/>
          <w:lang w:val="en-AU" w:eastAsia="en-AU"/>
        </w:rPr>
        <w:t>impact score</w:t>
      </w:r>
      <w:r>
        <w:rPr>
          <w:lang w:val="en-AU" w:eastAsia="en-AU"/>
        </w:rPr>
        <w:t xml:space="preserve"> was </w:t>
      </w:r>
      <w:r>
        <w:rPr>
          <w:b/>
          <w:bCs/>
          <w:lang w:val="en-AU" w:eastAsia="en-AU"/>
        </w:rPr>
        <w:t>{{domain_scores.TransparencyExplainability.Impact}}</w:t>
      </w:r>
      <w:r>
        <w:rPr>
          <w:lang w:val="en-AU" w:eastAsia="en-AU"/>
        </w:rPr>
        <w:t xml:space="preserve">, reflecting the potential severity of harm that may arise if system behaviour or outcomes are insufficiently understood. The </w:t>
      </w:r>
      <w:r>
        <w:rPr>
          <w:b/>
          <w:bCs/>
          <w:lang w:val="en-AU" w:eastAsia="en-AU"/>
        </w:rPr>
        <w:t>likelihood score</w:t>
      </w:r>
      <w:r>
        <w:rPr>
          <w:lang w:val="en-AU" w:eastAsia="en-AU"/>
        </w:rPr>
        <w:t xml:space="preserve"> was assessed as </w:t>
      </w:r>
      <w:r>
        <w:rPr>
          <w:b/>
          <w:bCs/>
          <w:lang w:val="en-AU" w:eastAsia="en-AU"/>
        </w:rPr>
        <w:t>{{domain_scores.TransparencyExplainability.Likelihood}}</w:t>
      </w:r>
      <w:r>
        <w:rPr>
          <w:lang w:val="en-AU" w:eastAsia="en-AU"/>
        </w:rPr>
        <w:t>, informed by factors such as the availability of explanations ({{ faira_form.B6_1 | rating_label }}), the clarity and usefulness of those explanations ({{ faira_form.B6_2 | rating_label }}), and whether affected individuals are informed about the use of AI in decision-making ({{ faira_form.A3_4 | format_list }}).</w:t>
      </w:r>
    </w:p>
    <w:p>
      <w:pPr>
        <w:pStyle w:val="Normal"/>
        <w:rPr/>
      </w:pPr>
      <w:r>
        <w:rPr/>
        <w:t>{%p if faira_form.B6_3 == "Yes" %}</w:t>
      </w:r>
    </w:p>
    <w:p>
      <w:pPr>
        <w:pStyle w:val="Normal"/>
        <w:rPr/>
      </w:pPr>
      <w:r>
        <w:rPr/>
        <w:t>The assessment indicates that users and/or affected individuals are informed that AI is being used. The groups informed include {{ faira_form.B6_3_audience | format_list if faira_form.B6_3_audience else "audience not specified" }}. Disclosure is provided through {{ faira_form.B6_3_methods | format_list if faira_form.B6_3_methods else "method(s) not specified" }} and occurs {{ faira_form.B6_3_timing if faira_form.B6_3_timing else "at a time not specified" }}.</w:t>
      </w:r>
    </w:p>
    <w:p>
      <w:pPr>
        <w:pStyle w:val="Normal"/>
        <w:rPr/>
      </w:pPr>
      <w:r>
        <w:rPr/>
        <w:t>Information provided as part of the disclosure includes {{ faira_form.B6_3_information_provided | format_list if faira_form.B6_3_information_provided else "information not specified" }}{% if faira_form.B6_3_notes %}. Additional notes: {{ faira_form.B6_3_notes }}{% endif %}.</w:t>
      </w:r>
    </w:p>
    <w:p>
      <w:pPr>
        <w:pStyle w:val="Normal"/>
        <w:rPr/>
      </w:pPr>
      <w:r>
        <w:rPr/>
        <w:t>{%p else %}</w:t>
      </w:r>
    </w:p>
    <w:p>
      <w:pPr>
        <w:pStyle w:val="Normal"/>
        <w:rPr/>
      </w:pPr>
      <w:r>
        <w:rPr/>
        <w:t>The assessment indicates that users and/or affected individuals are not informed that AI is being used.</w:t>
      </w:r>
    </w:p>
    <w:p>
      <w:pPr>
        <w:pStyle w:val="Normal"/>
        <w:rPr/>
      </w:pPr>
      <w:r>
        <w:rPr/>
        <w:t>{%p endif %}</w:t>
      </w:r>
    </w:p>
    <w:p>
      <w:pPr>
        <w:pStyle w:val="Normal"/>
        <w:rPr/>
      </w:pPr>
      <w:r>
        <w:rPr/>
        <w:t>{%p if faira_form.B6_4 == "Yes" %}</w:t>
      </w:r>
    </w:p>
    <w:p>
      <w:pPr>
        <w:pStyle w:val="Normal"/>
        <w:rPr/>
      </w:pPr>
      <w:r>
        <w:rPr/>
        <w:t>The assessment indicates that meaningful explanations of AI-supported outcomes can be provided to users and/or affected individuals. Explanations are available to {{ faira_form.B6_4_audience | format_list if faira_form.B6_4_audience else "audience not specified" }} and are delivered through {{ faira_form.B6_4_explanation_methods | format_list if faira_form.B6_4_explanation_methods else "method(s) not specified" }}.</w:t>
      </w:r>
    </w:p>
    <w:p>
      <w:pPr>
        <w:pStyle w:val="Normal"/>
        <w:rPr/>
      </w:pPr>
      <w:r>
        <w:rPr/>
        <w:t xml:space="preserve">Explanations are available {{ faira_form.B6_4_timing if faira_form.B6_4_timing else "at a time not specified" }} and include information such as {{ faira_form.B6_4_explanation_content | format_list if faira_form.B6_4_explanation_content else "content not specified" }}. The accessibility of explanations to non-technical audiences is described as {{ faira_form.B6_4_accessibility if faira_form.B6_4_accessibility else "not specified" }}{% if faira_form.B6_4_limitations_disclosed %}, with limitations or uncertainty </w:t>
      </w:r>
      <w:r>
        <w:rPr>
          <w:highlight w:val="yellow"/>
        </w:rPr>
        <w:t>{{ faira_form.B6_4_limitations_disclosed | lower }}</w:t>
      </w:r>
      <w:r>
        <w:rPr/>
        <w:t>{% endif %}{% if faira_form.B6_4_notes %}. Additional notes: {{ faira_form.B6_4_notes }}{% endif %}.</w:t>
      </w:r>
    </w:p>
    <w:p>
      <w:pPr>
        <w:pStyle w:val="Normal"/>
        <w:rPr/>
      </w:pPr>
      <w:r>
        <w:rPr/>
        <w:t>{%p else %}</w:t>
      </w:r>
    </w:p>
    <w:p>
      <w:pPr>
        <w:pStyle w:val="Normal"/>
        <w:rPr/>
      </w:pPr>
      <w:r>
        <w:rPr/>
        <w:t>The assessment indicates that meaningful explanations of AI-supported outcomes cannot be provided to users or affected individuals.</w:t>
      </w:r>
    </w:p>
    <w:p>
      <w:pPr>
        <w:pStyle w:val="Normal"/>
        <w:rPr/>
      </w:pPr>
      <w:r>
        <w:rPr/>
        <w:t>{%p endif %}</w:t>
      </w:r>
    </w:p>
    <w:p>
      <w:pPr>
        <w:pStyle w:val="Normal"/>
        <w:rPr>
          <w:lang w:val="en-AU" w:eastAsia="en-AU"/>
        </w:rPr>
      </w:pPr>
      <w:r>
        <w:rPr>
          <w:lang w:val="en-AU" w:eastAsia="en-AU"/>
        </w:rPr>
        <w:t xml:space="preserve">The effectiveness of existing controls relevant to this domain was assessed as </w:t>
      </w:r>
      <w:r>
        <w:rPr>
          <w:b/>
          <w:bCs/>
          <w:lang w:val="en-AU" w:eastAsia="en-AU"/>
        </w:rPr>
        <w:t>{{domain_scores.TransparencyExplainability.Control_Effectiveness}}</w:t>
      </w:r>
      <w:r>
        <w:rPr>
          <w:lang w:val="en-AU" w:eastAsia="en-AU"/>
        </w:rPr>
        <w:t xml:space="preserve">, taking into account governance arrangements, documentation practices, and processes intended to support transparency and explainability across the system lifecycle </w:t>
      </w:r>
      <w:r>
        <w:rPr>
          <w:highlight w:val="yellow"/>
          <w:lang w:val="en-AU" w:eastAsia="en-AU"/>
        </w:rPr>
        <w:t>({{ faira_form.A5_5 | format_list }}</w:t>
      </w:r>
      <w:r>
        <w:rPr>
          <w:lang w:val="en-AU" w:eastAsia="en-AU"/>
        </w:rPr>
        <w:t xml:space="preserve">). After accounting for these controls, the resulting </w:t>
      </w:r>
      <w:r>
        <w:rPr>
          <w:b/>
          <w:bCs/>
          <w:lang w:val="en-AU" w:eastAsia="en-AU"/>
        </w:rPr>
        <w:t>residual domain risk score</w:t>
      </w:r>
      <w:r>
        <w:rPr>
          <w:lang w:val="en-AU" w:eastAsia="en-AU"/>
        </w:rPr>
        <w:t xml:space="preserve"> is </w:t>
      </w:r>
      <w:r>
        <w:rPr>
          <w:b/>
          <w:bCs/>
          <w:lang w:val="en-AU" w:eastAsia="en-AU"/>
        </w:rPr>
        <w:t>{{domain_scores.TransparencyExplainability.Risk}}</w:t>
      </w:r>
      <w:r>
        <w:rPr>
          <w:lang w:val="en-AU" w:eastAsia="en-AU"/>
        </w:rPr>
        <w:t>.</w:t>
      </w:r>
    </w:p>
    <w:p>
      <w:pPr>
        <w:pStyle w:val="Normal"/>
        <w:rPr>
          <w:lang w:val="en-AU" w:eastAsia="en-AU"/>
        </w:rPr>
      </w:pPr>
      <w:r>
        <w:rPr>
          <w:lang w:val="en-AU" w:eastAsia="en-AU"/>
        </w:rPr>
        <w:t xml:space="preserve">These results represent </w:t>
      </w:r>
      <w:r>
        <w:rPr>
          <w:b/>
          <w:bCs/>
          <w:lang w:val="en-AU" w:eastAsia="en-AU"/>
        </w:rPr>
        <w:t>residual risk</w:t>
      </w:r>
      <w:r>
        <w:rPr>
          <w:lang w:val="en-AU" w:eastAsia="en-AU"/>
        </w:rPr>
        <w:t>, indicating the extent to which limitations in transparency or explainability may persist under current operating conditions and governance arrangements.</w:t>
      </w:r>
    </w:p>
    <w:p>
      <w:pPr>
        <w:pStyle w:val="Normal"/>
        <w:rPr>
          <w:lang w:val="en-AU" w:eastAsia="en-AU"/>
        </w:rPr>
      </w:pPr>
      <w:r>
        <w:rPr/>
        <mc:AlternateContent>
          <mc:Choice Requires="wps">
            <w:drawing>
              <wp:inline distT="0" distB="0" distL="0" distR="0">
                <wp:extent cx="5731510" cy="19050"/>
                <wp:effectExtent l="0" t="0" r="0" b="0"/>
                <wp:docPr id="16" name=""/>
                <a:graphic xmlns:a="http://schemas.openxmlformats.org/drawingml/2006/main">
                  <a:graphicData uri="http://schemas.microsoft.com/office/word/2010/wordprocessingShape">
                    <wps:wsp>
                      <wps:cNvSpPr/>
                      <wps:nvSpPr>
                        <wps:cNvPr id="17" name=""/>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b/>
          <w:bCs/>
          <w:lang w:val="en-AU" w:eastAsia="en-AU"/>
        </w:rPr>
      </w:pPr>
      <w:r>
        <w:rPr>
          <w:b/>
          <w:bCs/>
          <w:lang w:val="en-AU" w:eastAsia="en-AU"/>
        </w:rPr>
        <w:t>Key Transparency and Explainability Considerations</w:t>
      </w:r>
    </w:p>
    <w:p>
      <w:pPr>
        <w:pStyle w:val="Normal"/>
        <w:numPr>
          <w:ilvl w:val="0"/>
          <w:numId w:val="9"/>
        </w:numPr>
        <w:rPr>
          <w:lang w:val="en-AU" w:eastAsia="en-AU"/>
        </w:rPr>
      </w:pPr>
      <w:r>
        <w:rPr>
          <w:b/>
          <w:bCs/>
          <w:lang w:val="en-AU" w:eastAsia="en-AU"/>
        </w:rPr>
        <w:t>Availability of explanations:</w:t>
      </w:r>
      <w:r>
        <w:rPr>
          <w:lang w:val="en-AU" w:eastAsia="en-AU"/>
        </w:rPr>
        <w:t xml:space="preserve"> Explanations of system behaviour or outcomes are assessed as {{ faira_form.B6_1 | rating_label }}, influencing stakeholders' ability to understand AI-supported decisions.</w:t>
      </w:r>
    </w:p>
    <w:p>
      <w:pPr>
        <w:pStyle w:val="Normal"/>
        <w:numPr>
          <w:ilvl w:val="0"/>
          <w:numId w:val="9"/>
        </w:numPr>
        <w:rPr>
          <w:lang w:val="en-AU" w:eastAsia="en-AU"/>
        </w:rPr>
      </w:pPr>
      <w:r>
        <w:rPr>
          <w:b/>
          <w:bCs/>
          <w:lang w:val="en-AU" w:eastAsia="en-AU"/>
        </w:rPr>
        <w:t>Quality and usefulness:</w:t>
      </w:r>
      <w:r>
        <w:rPr>
          <w:lang w:val="en-AU" w:eastAsia="en-AU"/>
        </w:rPr>
        <w:t xml:space="preserve"> The clarity and practical usefulness of explanations were assessed as {{ faira_form.B6_2 | rating_label }}, affecting whether explanations support meaningful understanding rather than purely technical disclosure.</w:t>
      </w:r>
    </w:p>
    <w:p>
      <w:pPr>
        <w:pStyle w:val="Normal"/>
        <w:numPr>
          <w:ilvl w:val="0"/>
          <w:numId w:val="9"/>
        </w:numPr>
        <w:rPr>
          <w:lang w:val="en-AU" w:eastAsia="en-AU"/>
        </w:rPr>
      </w:pPr>
      <w:r>
        <w:rPr>
          <w:b/>
          <w:bCs/>
          <w:lang w:val="en-AU" w:eastAsia="en-AU"/>
        </w:rPr>
        <w:t>Notification and awareness:</w:t>
      </w:r>
      <w:r>
        <w:rPr>
          <w:lang w:val="en-AU" w:eastAsia="en-AU"/>
        </w:rPr>
        <w:t xml:space="preserve"> Individuals affected by AI-supported decisions are {{ faira_form.A3_4 }}, which contributes to expectations around transparency and informed engagement.</w:t>
      </w:r>
    </w:p>
    <w:p>
      <w:pPr>
        <w:pStyle w:val="Normal"/>
        <w:numPr>
          <w:ilvl w:val="0"/>
          <w:numId w:val="9"/>
        </w:numPr>
        <w:rPr>
          <w:lang w:val="en-AU" w:eastAsia="en-AU"/>
        </w:rPr>
      </w:pPr>
      <w:r>
        <w:rPr>
          <w:b/>
          <w:bCs/>
          <w:lang w:val="en-AU" w:eastAsia="en-AU"/>
        </w:rPr>
        <w:t>Governance support:</w:t>
      </w:r>
      <w:r>
        <w:rPr>
          <w:lang w:val="en-AU" w:eastAsia="en-AU"/>
        </w:rPr>
        <w:t xml:space="preserve"> Documentation and governance mechanisms supporting transparency include {{ faira_form.A5_5 | format_list if faira_form.A5_5 else "no explicitly defined transparency mechanisms" }}.</w:t>
      </w:r>
    </w:p>
    <w:p>
      <w:pPr>
        <w:pStyle w:val="Normal"/>
        <w:rPr>
          <w:b/>
          <w:bCs/>
          <w:lang w:eastAsia="en-AU"/>
        </w:rPr>
      </w:pPr>
      <w:r>
        <w:rPr>
          <w:b/>
          <w:bCs/>
          <w:lang w:eastAsia="en-AU"/>
        </w:rPr>
        <w:t>FAIRA Domain Risk Profile — Transparency and Explainability</w:t>
      </w:r>
    </w:p>
    <w:tbl>
      <w:tblPr>
        <w:tblW w:w="9016" w:type="dxa"/>
        <w:jc w:val="start"/>
        <w:tblInd w:w="0" w:type="dxa"/>
        <w:tblLayout w:type="fixed"/>
        <w:tblCellMar>
          <w:top w:w="43" w:type="dxa"/>
          <w:start w:w="43" w:type="dxa"/>
          <w:bottom w:w="43" w:type="dxa"/>
          <w:end w:w="43" w:type="dxa"/>
        </w:tblCellMar>
        <w:tblLook w:firstRow="1" w:noVBand="1" w:lastRow="0" w:firstColumn="1" w:lastColumn="0" w:noHBand="0" w:val="04a0"/>
      </w:tblPr>
      <w:tblGrid>
        <w:gridCol w:w="1761"/>
        <w:gridCol w:w="2793"/>
        <w:gridCol w:w="4462"/>
      </w:tblGrid>
      <w:tr>
        <w:trPr>
          <w:tblHeader w:val="true"/>
        </w:trPr>
        <w:tc>
          <w:tcPr>
            <w:tcW w:w="1761" w:type="dxa"/>
            <w:tcBorders>
              <w:top w:val="single" w:sz="4" w:space="0" w:color="000000"/>
              <w:start w:val="single" w:sz="4" w:space="0" w:color="000000"/>
              <w:bottom w:val="single" w:sz="4" w:space="0" w:color="000000"/>
              <w:end w:val="single" w:sz="4" w:space="0" w:color="000000"/>
            </w:tcBorders>
            <w:shd w:color="auto" w:fill="D9D9D9" w:themeFill="background1" w:themeFillShade="d9" w:val="clear"/>
          </w:tcPr>
          <w:p>
            <w:pPr>
              <w:pStyle w:val="Normal"/>
              <w:spacing w:before="0" w:after="160"/>
              <w:rPr>
                <w:b/>
                <w:bCs/>
                <w:sz w:val="20"/>
                <w:szCs w:val="20"/>
                <w:lang w:val="en-AU" w:eastAsia="en-AU"/>
              </w:rPr>
            </w:pPr>
            <w:r>
              <w:rPr>
                <w:b/>
                <w:bCs/>
                <w:sz w:val="20"/>
                <w:szCs w:val="20"/>
                <w:lang w:val="en-AU" w:eastAsia="en-AU"/>
              </w:rPr>
              <w:t>Measure</w:t>
            </w:r>
          </w:p>
        </w:tc>
        <w:tc>
          <w:tcPr>
            <w:tcW w:w="2793" w:type="dxa"/>
            <w:tcBorders>
              <w:top w:val="single" w:sz="4" w:space="0" w:color="000000"/>
              <w:start w:val="single" w:sz="4" w:space="0" w:color="000000"/>
              <w:bottom w:val="single" w:sz="4" w:space="0" w:color="000000"/>
              <w:end w:val="single" w:sz="4" w:space="0" w:color="000000"/>
            </w:tcBorders>
            <w:shd w:color="auto" w:fill="D9D9D9" w:themeFill="background1" w:themeFillShade="d9" w:val="clear"/>
          </w:tcPr>
          <w:p>
            <w:pPr>
              <w:pStyle w:val="Normal"/>
              <w:spacing w:before="0" w:after="160"/>
              <w:rPr>
                <w:b/>
                <w:bCs/>
                <w:sz w:val="20"/>
                <w:szCs w:val="20"/>
                <w:lang w:val="en-AU" w:eastAsia="en-AU"/>
              </w:rPr>
            </w:pPr>
            <w:r>
              <w:rPr>
                <w:b/>
                <w:bCs/>
                <w:sz w:val="20"/>
                <w:szCs w:val="20"/>
                <w:lang w:val="en-AU" w:eastAsia="en-AU"/>
              </w:rPr>
              <w:t>Score</w:t>
            </w:r>
          </w:p>
        </w:tc>
        <w:tc>
          <w:tcPr>
            <w:tcW w:w="4462" w:type="dxa"/>
            <w:tcBorders>
              <w:top w:val="single" w:sz="4" w:space="0" w:color="000000"/>
              <w:start w:val="single" w:sz="4" w:space="0" w:color="000000"/>
              <w:bottom w:val="single" w:sz="4" w:space="0" w:color="000000"/>
              <w:end w:val="single" w:sz="4" w:space="0" w:color="000000"/>
            </w:tcBorders>
            <w:shd w:color="auto" w:fill="D9D9D9" w:themeFill="background1" w:themeFillShade="d9" w:val="clear"/>
          </w:tcPr>
          <w:p>
            <w:pPr>
              <w:pStyle w:val="Normal"/>
              <w:spacing w:before="0" w:after="160"/>
              <w:rPr>
                <w:b/>
                <w:bCs/>
                <w:sz w:val="20"/>
                <w:szCs w:val="20"/>
                <w:lang w:val="en-AU" w:eastAsia="en-AU"/>
              </w:rPr>
            </w:pPr>
            <w:r>
              <w:rPr>
                <w:b/>
                <w:bCs/>
                <w:sz w:val="20"/>
                <w:szCs w:val="20"/>
                <w:lang w:val="en-AU" w:eastAsia="en-AU"/>
              </w:rPr>
              <w:t>Interpretation</w:t>
            </w:r>
          </w:p>
        </w:tc>
      </w:tr>
      <w:tr>
        <w:trPr/>
        <w:tc>
          <w:tcPr>
            <w:tcW w:w="1761" w:type="dxa"/>
            <w:tcBorders>
              <w:top w:val="single" w:sz="4" w:space="0" w:color="000000"/>
              <w:start w:val="single" w:sz="4" w:space="0" w:color="000000"/>
              <w:bottom w:val="single" w:sz="4" w:space="0" w:color="000000"/>
              <w:end w:val="single" w:sz="4" w:space="0" w:color="000000"/>
            </w:tcBorders>
          </w:tcPr>
          <w:p>
            <w:pPr>
              <w:pStyle w:val="Normal"/>
              <w:spacing w:before="0" w:after="160"/>
              <w:rPr>
                <w:sz w:val="20"/>
                <w:szCs w:val="20"/>
                <w:lang w:val="en-AU" w:eastAsia="en-AU"/>
              </w:rPr>
            </w:pPr>
            <w:r>
              <w:rPr>
                <w:sz w:val="20"/>
                <w:szCs w:val="20"/>
                <w:lang w:val="en-AU" w:eastAsia="en-AU"/>
              </w:rPr>
              <w:t>Impact</w:t>
            </w:r>
          </w:p>
        </w:tc>
        <w:tc>
          <w:tcPr>
            <w:tcW w:w="2793" w:type="dxa"/>
            <w:tcBorders>
              <w:top w:val="single" w:sz="4" w:space="0" w:color="000000"/>
              <w:start w:val="single" w:sz="4" w:space="0" w:color="000000"/>
              <w:bottom w:val="single" w:sz="4" w:space="0" w:color="000000"/>
              <w:end w:val="single" w:sz="4" w:space="0" w:color="000000"/>
            </w:tcBorders>
          </w:tcPr>
          <w:p>
            <w:pPr>
              <w:pStyle w:val="Normal"/>
              <w:spacing w:before="0" w:after="160"/>
              <w:rPr>
                <w:sz w:val="20"/>
                <w:szCs w:val="20"/>
                <w:lang w:val="en-AU" w:eastAsia="en-AU"/>
              </w:rPr>
            </w:pPr>
            <w:r>
              <w:rPr>
                <w:sz w:val="20"/>
                <w:szCs w:val="20"/>
                <w:lang w:val="en-AU" w:eastAsia="en-AU"/>
              </w:rPr>
              <w:t>{{domain_scores.TransparencyExplainability.Impact}}</w:t>
            </w:r>
          </w:p>
        </w:tc>
        <w:tc>
          <w:tcPr>
            <w:tcW w:w="4462" w:type="dxa"/>
            <w:tcBorders>
              <w:top w:val="single" w:sz="4" w:space="0" w:color="000000"/>
              <w:start w:val="single" w:sz="4" w:space="0" w:color="000000"/>
              <w:bottom w:val="single" w:sz="4" w:space="0" w:color="000000"/>
              <w:end w:val="single" w:sz="4" w:space="0" w:color="000000"/>
            </w:tcBorders>
          </w:tcPr>
          <w:p>
            <w:pPr>
              <w:pStyle w:val="Normal"/>
              <w:spacing w:before="0" w:after="160"/>
              <w:rPr>
                <w:sz w:val="20"/>
                <w:szCs w:val="20"/>
                <w:lang w:val="en-AU" w:eastAsia="en-AU"/>
              </w:rPr>
            </w:pPr>
            <w:r>
              <w:rPr>
                <w:sz w:val="20"/>
                <w:szCs w:val="20"/>
                <w:lang w:val="en-AU" w:eastAsia="en-AU"/>
              </w:rPr>
              <w:t>Severity of potential harm arising from insufficient transparency or explainability</w:t>
            </w:r>
          </w:p>
        </w:tc>
      </w:tr>
      <w:tr>
        <w:trPr/>
        <w:tc>
          <w:tcPr>
            <w:tcW w:w="1761" w:type="dxa"/>
            <w:tcBorders>
              <w:top w:val="single" w:sz="4" w:space="0" w:color="000000"/>
              <w:start w:val="single" w:sz="4" w:space="0" w:color="000000"/>
              <w:bottom w:val="single" w:sz="4" w:space="0" w:color="000000"/>
              <w:end w:val="single" w:sz="4" w:space="0" w:color="000000"/>
            </w:tcBorders>
          </w:tcPr>
          <w:p>
            <w:pPr>
              <w:pStyle w:val="Normal"/>
              <w:spacing w:before="0" w:after="160"/>
              <w:rPr>
                <w:sz w:val="20"/>
                <w:szCs w:val="20"/>
                <w:lang w:val="en-AU" w:eastAsia="en-AU"/>
              </w:rPr>
            </w:pPr>
            <w:r>
              <w:rPr>
                <w:sz w:val="20"/>
                <w:szCs w:val="20"/>
                <w:lang w:val="en-AU" w:eastAsia="en-AU"/>
              </w:rPr>
              <w:t>Likelihood</w:t>
            </w:r>
          </w:p>
        </w:tc>
        <w:tc>
          <w:tcPr>
            <w:tcW w:w="2793" w:type="dxa"/>
            <w:tcBorders>
              <w:top w:val="single" w:sz="4" w:space="0" w:color="000000"/>
              <w:start w:val="single" w:sz="4" w:space="0" w:color="000000"/>
              <w:bottom w:val="single" w:sz="4" w:space="0" w:color="000000"/>
              <w:end w:val="single" w:sz="4" w:space="0" w:color="000000"/>
            </w:tcBorders>
          </w:tcPr>
          <w:p>
            <w:pPr>
              <w:pStyle w:val="Normal"/>
              <w:spacing w:before="0" w:after="160"/>
              <w:rPr>
                <w:sz w:val="20"/>
                <w:szCs w:val="20"/>
                <w:lang w:val="en-AU" w:eastAsia="en-AU"/>
              </w:rPr>
            </w:pPr>
            <w:r>
              <w:rPr>
                <w:sz w:val="20"/>
                <w:szCs w:val="20"/>
                <w:lang w:val="en-AU" w:eastAsia="en-AU"/>
              </w:rPr>
              <w:t>{{domain_scores.TransparencyExplainability.Likelihood}}</w:t>
            </w:r>
          </w:p>
        </w:tc>
        <w:tc>
          <w:tcPr>
            <w:tcW w:w="4462" w:type="dxa"/>
            <w:tcBorders>
              <w:top w:val="single" w:sz="4" w:space="0" w:color="000000"/>
              <w:start w:val="single" w:sz="4" w:space="0" w:color="000000"/>
              <w:bottom w:val="single" w:sz="4" w:space="0" w:color="000000"/>
              <w:end w:val="single" w:sz="4" w:space="0" w:color="000000"/>
            </w:tcBorders>
          </w:tcPr>
          <w:p>
            <w:pPr>
              <w:pStyle w:val="Normal"/>
              <w:spacing w:before="0" w:after="160"/>
              <w:rPr>
                <w:sz w:val="20"/>
                <w:szCs w:val="20"/>
                <w:lang w:val="en-AU" w:eastAsia="en-AU"/>
              </w:rPr>
            </w:pPr>
            <w:r>
              <w:rPr>
                <w:sz w:val="20"/>
                <w:szCs w:val="20"/>
                <w:lang w:val="en-AU" w:eastAsia="en-AU"/>
              </w:rPr>
              <w:t>Probability that transparency-related issues may affect understanding or trust</w:t>
            </w:r>
          </w:p>
        </w:tc>
      </w:tr>
      <w:tr>
        <w:trPr/>
        <w:tc>
          <w:tcPr>
            <w:tcW w:w="1761" w:type="dxa"/>
            <w:tcBorders>
              <w:top w:val="single" w:sz="4" w:space="0" w:color="000000"/>
              <w:start w:val="single" w:sz="4" w:space="0" w:color="000000"/>
              <w:bottom w:val="single" w:sz="4" w:space="0" w:color="000000"/>
              <w:end w:val="single" w:sz="4" w:space="0" w:color="000000"/>
            </w:tcBorders>
          </w:tcPr>
          <w:p>
            <w:pPr>
              <w:pStyle w:val="Normal"/>
              <w:spacing w:before="0" w:after="160"/>
              <w:rPr>
                <w:sz w:val="20"/>
                <w:szCs w:val="20"/>
                <w:lang w:val="en-AU" w:eastAsia="en-AU"/>
              </w:rPr>
            </w:pPr>
            <w:r>
              <w:rPr>
                <w:sz w:val="20"/>
                <w:szCs w:val="20"/>
                <w:lang w:val="en-AU" w:eastAsia="en-AU"/>
              </w:rPr>
              <w:t>Baseline exposure (context only)</w:t>
            </w:r>
          </w:p>
        </w:tc>
        <w:tc>
          <w:tcPr>
            <w:tcW w:w="2793" w:type="dxa"/>
            <w:tcBorders>
              <w:top w:val="single" w:sz="4" w:space="0" w:color="000000"/>
              <w:start w:val="single" w:sz="4" w:space="0" w:color="000000"/>
              <w:bottom w:val="single" w:sz="4" w:space="0" w:color="000000"/>
              <w:end w:val="single" w:sz="4" w:space="0" w:color="000000"/>
            </w:tcBorders>
          </w:tcPr>
          <w:p>
            <w:pPr>
              <w:pStyle w:val="Normal"/>
              <w:spacing w:before="0" w:after="160"/>
              <w:rPr>
                <w:sz w:val="20"/>
                <w:szCs w:val="20"/>
                <w:lang w:val="en-AU" w:eastAsia="en-AU"/>
              </w:rPr>
            </w:pPr>
            <w:r>
              <w:rPr>
                <w:sz w:val="20"/>
                <w:szCs w:val="20"/>
                <w:lang w:val="en-AU" w:eastAsia="en-AU"/>
              </w:rPr>
              <w:t>{{domain_scores.TransparencyExplainability.Inherent_Risk}}</w:t>
            </w:r>
          </w:p>
        </w:tc>
        <w:tc>
          <w:tcPr>
            <w:tcW w:w="4462" w:type="dxa"/>
            <w:tcBorders>
              <w:top w:val="single" w:sz="4" w:space="0" w:color="000000"/>
              <w:start w:val="single" w:sz="4" w:space="0" w:color="000000"/>
              <w:bottom w:val="single" w:sz="4" w:space="0" w:color="000000"/>
              <w:end w:val="single" w:sz="4" w:space="0" w:color="000000"/>
            </w:tcBorders>
          </w:tcPr>
          <w:p>
            <w:pPr>
              <w:pStyle w:val="Normal"/>
              <w:spacing w:before="0" w:after="160"/>
              <w:rPr>
                <w:sz w:val="20"/>
                <w:szCs w:val="20"/>
                <w:lang w:val="en-AU" w:eastAsia="en-AU"/>
              </w:rPr>
            </w:pPr>
            <w:r>
              <w:rPr>
                <w:sz w:val="20"/>
                <w:szCs w:val="20"/>
                <w:lang w:val="en-AU" w:eastAsia="en-AU"/>
              </w:rPr>
              <w:t>Contextual reference only — not interpreted</w:t>
            </w:r>
          </w:p>
        </w:tc>
      </w:tr>
      <w:tr>
        <w:trPr/>
        <w:tc>
          <w:tcPr>
            <w:tcW w:w="1761" w:type="dxa"/>
            <w:tcBorders>
              <w:top w:val="single" w:sz="4" w:space="0" w:color="000000"/>
              <w:start w:val="single" w:sz="4" w:space="0" w:color="000000"/>
              <w:bottom w:val="single" w:sz="4" w:space="0" w:color="000000"/>
              <w:end w:val="single" w:sz="4" w:space="0" w:color="000000"/>
            </w:tcBorders>
          </w:tcPr>
          <w:p>
            <w:pPr>
              <w:pStyle w:val="Normal"/>
              <w:spacing w:before="0" w:after="160"/>
              <w:rPr>
                <w:sz w:val="20"/>
                <w:szCs w:val="20"/>
                <w:lang w:val="en-AU" w:eastAsia="en-AU"/>
              </w:rPr>
            </w:pPr>
            <w:r>
              <w:rPr>
                <w:sz w:val="20"/>
                <w:szCs w:val="20"/>
                <w:lang w:val="en-AU" w:eastAsia="en-AU"/>
              </w:rPr>
              <w:t>Control effectiveness</w:t>
            </w:r>
          </w:p>
        </w:tc>
        <w:tc>
          <w:tcPr>
            <w:tcW w:w="2793" w:type="dxa"/>
            <w:tcBorders>
              <w:top w:val="single" w:sz="4" w:space="0" w:color="000000"/>
              <w:start w:val="single" w:sz="4" w:space="0" w:color="000000"/>
              <w:bottom w:val="single" w:sz="4" w:space="0" w:color="000000"/>
              <w:end w:val="single" w:sz="4" w:space="0" w:color="000000"/>
            </w:tcBorders>
          </w:tcPr>
          <w:p>
            <w:pPr>
              <w:pStyle w:val="Normal"/>
              <w:spacing w:before="0" w:after="160"/>
              <w:rPr>
                <w:sz w:val="20"/>
                <w:szCs w:val="20"/>
                <w:lang w:val="en-AU" w:eastAsia="en-AU"/>
              </w:rPr>
            </w:pPr>
            <w:r>
              <w:rPr>
                <w:sz w:val="20"/>
                <w:szCs w:val="20"/>
                <w:lang w:val="en-AU" w:eastAsia="en-AU"/>
              </w:rPr>
              <w:t>{{domain_scores.TransparencyExplainability.Control_Effectiveness}}</w:t>
            </w:r>
          </w:p>
        </w:tc>
        <w:tc>
          <w:tcPr>
            <w:tcW w:w="4462" w:type="dxa"/>
            <w:tcBorders>
              <w:top w:val="single" w:sz="4" w:space="0" w:color="000000"/>
              <w:start w:val="single" w:sz="4" w:space="0" w:color="000000"/>
              <w:bottom w:val="single" w:sz="4" w:space="0" w:color="000000"/>
              <w:end w:val="single" w:sz="4" w:space="0" w:color="000000"/>
            </w:tcBorders>
          </w:tcPr>
          <w:p>
            <w:pPr>
              <w:pStyle w:val="Normal"/>
              <w:spacing w:before="0" w:after="160"/>
              <w:rPr>
                <w:sz w:val="20"/>
                <w:szCs w:val="20"/>
                <w:lang w:val="en-AU" w:eastAsia="en-AU"/>
              </w:rPr>
            </w:pPr>
            <w:r>
              <w:rPr>
                <w:sz w:val="20"/>
                <w:szCs w:val="20"/>
                <w:lang w:val="en-AU" w:eastAsia="en-AU"/>
              </w:rPr>
              <w:t>Strength of existing transparency and explainability mechanisms</w:t>
            </w:r>
          </w:p>
        </w:tc>
      </w:tr>
      <w:tr>
        <w:trPr/>
        <w:tc>
          <w:tcPr>
            <w:tcW w:w="1761" w:type="dxa"/>
            <w:tcBorders>
              <w:top w:val="single" w:sz="4" w:space="0" w:color="000000"/>
              <w:start w:val="single" w:sz="4" w:space="0" w:color="000000"/>
              <w:bottom w:val="single" w:sz="4" w:space="0" w:color="000000"/>
              <w:end w:val="single" w:sz="4" w:space="0" w:color="000000"/>
            </w:tcBorders>
          </w:tcPr>
          <w:p>
            <w:pPr>
              <w:pStyle w:val="Normal"/>
              <w:spacing w:before="0" w:after="160"/>
              <w:rPr>
                <w:sz w:val="20"/>
                <w:szCs w:val="20"/>
                <w:lang w:val="en-AU" w:eastAsia="en-AU"/>
              </w:rPr>
            </w:pPr>
            <w:r>
              <w:rPr>
                <w:b/>
                <w:bCs/>
                <w:sz w:val="20"/>
                <w:szCs w:val="20"/>
                <w:lang w:val="en-AU" w:eastAsia="en-AU"/>
              </w:rPr>
              <w:t>Residual risk</w:t>
            </w:r>
          </w:p>
        </w:tc>
        <w:tc>
          <w:tcPr>
            <w:tcW w:w="2793" w:type="dxa"/>
            <w:tcBorders>
              <w:top w:val="single" w:sz="4" w:space="0" w:color="000000"/>
              <w:start w:val="single" w:sz="4" w:space="0" w:color="000000"/>
              <w:bottom w:val="single" w:sz="4" w:space="0" w:color="000000"/>
              <w:end w:val="single" w:sz="4" w:space="0" w:color="000000"/>
            </w:tcBorders>
          </w:tcPr>
          <w:p>
            <w:pPr>
              <w:pStyle w:val="Normal"/>
              <w:spacing w:before="0" w:after="160"/>
              <w:rPr>
                <w:sz w:val="20"/>
                <w:szCs w:val="20"/>
                <w:lang w:val="en-AU" w:eastAsia="en-AU"/>
              </w:rPr>
            </w:pPr>
            <w:r>
              <w:rPr>
                <w:b/>
                <w:bCs/>
                <w:sz w:val="20"/>
                <w:szCs w:val="20"/>
                <w:lang w:val="en-AU" w:eastAsia="en-AU"/>
              </w:rPr>
              <w:t>{{domain_scores.TransparencyExplainability.Risk}}</w:t>
            </w:r>
          </w:p>
        </w:tc>
        <w:tc>
          <w:tcPr>
            <w:tcW w:w="4462" w:type="dxa"/>
            <w:tcBorders>
              <w:top w:val="single" w:sz="4" w:space="0" w:color="000000"/>
              <w:start w:val="single" w:sz="4" w:space="0" w:color="000000"/>
              <w:bottom w:val="single" w:sz="4" w:space="0" w:color="000000"/>
              <w:end w:val="single" w:sz="4" w:space="0" w:color="000000"/>
            </w:tcBorders>
          </w:tcPr>
          <w:p>
            <w:pPr>
              <w:pStyle w:val="Normal"/>
              <w:keepNext w:val="true"/>
              <w:spacing w:before="0" w:after="160"/>
              <w:rPr>
                <w:sz w:val="20"/>
                <w:szCs w:val="20"/>
                <w:lang w:val="en-AU" w:eastAsia="en-AU"/>
              </w:rPr>
            </w:pPr>
            <w:r>
              <w:rPr>
                <w:sz w:val="20"/>
                <w:szCs w:val="20"/>
                <w:lang w:val="en-AU" w:eastAsia="en-AU"/>
              </w:rPr>
              <w:t>Ongoing transparency-related risk requiring consideration</w:t>
            </w:r>
          </w:p>
        </w:tc>
      </w:tr>
    </w:tbl>
    <w:p>
      <w:pPr>
        <w:pStyle w:val="Caption"/>
        <w:rPr>
          <w:lang w:val="en-AU" w:eastAsia="en-AU"/>
        </w:rPr>
      </w:pPr>
      <w:bookmarkStart w:id="28" w:name="_Toc220351615"/>
      <w:r>
        <w:rPr/>
        <w:t xml:space="preserve">Table </w:t>
      </w:r>
      <w:r>
        <w:rPr/>
        <w:fldChar w:fldCharType="begin"/>
      </w:r>
      <w:r>
        <w:rPr/>
        <w:instrText xml:space="preserve"> SEQ Table \* ARABIC </w:instrText>
      </w:r>
      <w:r>
        <w:rPr/>
        <w:fldChar w:fldCharType="separate"/>
      </w:r>
      <w:r>
        <w:rPr/>
        <w:t>12</w:t>
      </w:r>
      <w:r>
        <w:rPr/>
        <w:fldChar w:fldCharType="end"/>
      </w:r>
      <w:r>
        <w:rPr/>
        <w:t xml:space="preserve"> - Transparency and Explainability FAIRA risk domain profile</w:t>
      </w:r>
      <w:bookmarkEnd w:id="28"/>
    </w:p>
    <w:p>
      <w:pPr>
        <w:pStyle w:val="Normal"/>
        <w:rPr>
          <w:b/>
          <w:bCs/>
          <w:lang w:val="en-AU" w:eastAsia="en-AU"/>
        </w:rPr>
      </w:pPr>
      <w:r>
        <w:rPr>
          <w:b/>
          <w:bCs/>
          <w:lang w:val="en-AU" w:eastAsia="en-AU"/>
        </w:rPr>
        <w:t>Disclosure of AI Use</w:t>
      </w:r>
    </w:p>
    <w:p>
      <w:pPr>
        <w:pStyle w:val="Normal"/>
        <w:rPr>
          <w:lang w:val="en-AU" w:eastAsia="en-AU"/>
        </w:rPr>
      </w:pPr>
      <w:r>
        <w:rPr>
          <w:lang w:val="en-AU" w:eastAsia="en-AU"/>
        </w:rPr>
        <w:t>The table below summarises the various aspects surrounding the disclosure of AI use:</w:t>
      </w:r>
    </w:p>
    <w:tbl>
      <w:tblPr>
        <w:tblW w:w="5000" w:type="pct"/>
        <w:jc w:val="start"/>
        <w:tblInd w:w="0" w:type="dxa"/>
        <w:tblLayout w:type="fixed"/>
        <w:tblCellMar>
          <w:top w:w="43" w:type="dxa"/>
          <w:start w:w="43" w:type="dxa"/>
          <w:bottom w:w="43" w:type="dxa"/>
          <w:end w:w="43" w:type="dxa"/>
        </w:tblCellMar>
        <w:tblLook w:firstRow="1" w:noVBand="1" w:lastRow="0" w:firstColumn="1" w:lastColumn="0" w:noHBand="0" w:val="04a0"/>
      </w:tblPr>
      <w:tblGrid>
        <w:gridCol w:w="2556"/>
        <w:gridCol w:w="6470"/>
      </w:tblGrid>
      <w:tr>
        <w:trPr>
          <w:tblHeader w:val="true"/>
        </w:trPr>
        <w:tc>
          <w:tcPr>
            <w:tcW w:w="2556" w:type="dxa"/>
            <w:tcBorders>
              <w:top w:val="single" w:sz="4" w:space="0" w:color="000000"/>
              <w:start w:val="single" w:sz="4" w:space="0" w:color="000000"/>
              <w:bottom w:val="single" w:sz="4" w:space="0" w:color="000000"/>
              <w:end w:val="single" w:sz="4" w:space="0" w:color="000000"/>
            </w:tcBorders>
            <w:shd w:color="auto" w:fill="D9D9D9" w:themeFill="background1" w:themeFillShade="d9" w:val="clear"/>
          </w:tcPr>
          <w:p>
            <w:pPr>
              <w:pStyle w:val="Normal"/>
              <w:spacing w:before="0" w:after="160"/>
              <w:rPr>
                <w:b/>
                <w:bCs/>
                <w:sz w:val="20"/>
                <w:szCs w:val="20"/>
                <w:lang w:val="en-AU" w:eastAsia="en-AU"/>
              </w:rPr>
            </w:pPr>
            <w:r>
              <w:rPr>
                <w:b/>
                <w:bCs/>
                <w:sz w:val="20"/>
                <w:szCs w:val="20"/>
                <w:lang w:val="en-AU" w:eastAsia="en-AU"/>
              </w:rPr>
              <w:t>Aspect</w:t>
            </w:r>
          </w:p>
        </w:tc>
        <w:tc>
          <w:tcPr>
            <w:tcW w:w="6470" w:type="dxa"/>
            <w:tcBorders>
              <w:top w:val="single" w:sz="4" w:space="0" w:color="000000"/>
              <w:start w:val="single" w:sz="4" w:space="0" w:color="000000"/>
              <w:bottom w:val="single" w:sz="4" w:space="0" w:color="000000"/>
              <w:end w:val="single" w:sz="4" w:space="0" w:color="000000"/>
            </w:tcBorders>
            <w:shd w:color="auto" w:fill="D9D9D9" w:themeFill="background1" w:themeFillShade="d9" w:val="clear"/>
          </w:tcPr>
          <w:p>
            <w:pPr>
              <w:pStyle w:val="Normal"/>
              <w:spacing w:before="0" w:after="160"/>
              <w:rPr>
                <w:b/>
                <w:bCs/>
                <w:sz w:val="20"/>
                <w:szCs w:val="20"/>
                <w:lang w:val="en-AU" w:eastAsia="en-AU"/>
              </w:rPr>
            </w:pPr>
            <w:r>
              <w:rPr>
                <w:b/>
                <w:bCs/>
                <w:sz w:val="20"/>
                <w:szCs w:val="20"/>
                <w:lang w:val="en-AU" w:eastAsia="en-AU"/>
              </w:rPr>
              <w:t>Description</w:t>
            </w:r>
          </w:p>
        </w:tc>
      </w:tr>
      <w:tr>
        <w:trPr/>
        <w:tc>
          <w:tcPr>
            <w:tcW w:w="2556" w:type="dxa"/>
            <w:tcBorders>
              <w:top w:val="single" w:sz="4" w:space="0" w:color="000000"/>
              <w:start w:val="single" w:sz="4" w:space="0" w:color="000000"/>
              <w:bottom w:val="single" w:sz="4" w:space="0" w:color="000000"/>
              <w:end w:val="single" w:sz="4" w:space="0" w:color="000000"/>
            </w:tcBorders>
          </w:tcPr>
          <w:p>
            <w:pPr>
              <w:pStyle w:val="Normal"/>
              <w:spacing w:before="0" w:after="160"/>
              <w:rPr>
                <w:sz w:val="20"/>
                <w:szCs w:val="20"/>
                <w:lang w:val="en-AU" w:eastAsia="en-AU"/>
              </w:rPr>
            </w:pPr>
            <w:r>
              <w:rPr>
                <w:sz w:val="20"/>
                <w:szCs w:val="20"/>
              </w:rPr>
              <w:t>AI use disclosed</w:t>
            </w:r>
          </w:p>
        </w:tc>
        <w:tc>
          <w:tcPr>
            <w:tcW w:w="6470" w:type="dxa"/>
            <w:tcBorders>
              <w:top w:val="single" w:sz="4" w:space="0" w:color="000000"/>
              <w:start w:val="single" w:sz="4" w:space="0" w:color="000000"/>
              <w:bottom w:val="single" w:sz="4" w:space="0" w:color="000000"/>
              <w:end w:val="single" w:sz="4" w:space="0" w:color="000000"/>
            </w:tcBorders>
          </w:tcPr>
          <w:p>
            <w:pPr>
              <w:pStyle w:val="Normal"/>
              <w:spacing w:before="0" w:after="160"/>
              <w:rPr>
                <w:sz w:val="20"/>
                <w:szCs w:val="20"/>
                <w:lang w:val="en-AU" w:eastAsia="en-AU"/>
              </w:rPr>
            </w:pPr>
            <w:r>
              <w:rPr>
                <w:sz w:val="20"/>
                <w:szCs w:val="20"/>
              </w:rPr>
              <w:t>{{ faira_form.B6_3 if faira_form.B6_3 else "Not specified" }}</w:t>
            </w:r>
          </w:p>
        </w:tc>
      </w:tr>
      <w:tr>
        <w:trPr/>
        <w:tc>
          <w:tcPr>
            <w:tcW w:w="2556" w:type="dxa"/>
            <w:tcBorders>
              <w:top w:val="single" w:sz="4" w:space="0" w:color="000000"/>
              <w:start w:val="single" w:sz="4" w:space="0" w:color="000000"/>
              <w:bottom w:val="single" w:sz="4" w:space="0" w:color="000000"/>
              <w:end w:val="single" w:sz="4" w:space="0" w:color="000000"/>
            </w:tcBorders>
          </w:tcPr>
          <w:p>
            <w:pPr>
              <w:pStyle w:val="Normal"/>
              <w:spacing w:before="0" w:after="160"/>
              <w:rPr>
                <w:sz w:val="20"/>
                <w:szCs w:val="20"/>
                <w:lang w:val="en-AU" w:eastAsia="en-AU"/>
              </w:rPr>
            </w:pPr>
            <w:r>
              <w:rPr>
                <w:sz w:val="20"/>
                <w:szCs w:val="20"/>
              </w:rPr>
              <w:t>Who is informed</w:t>
            </w:r>
          </w:p>
        </w:tc>
        <w:tc>
          <w:tcPr>
            <w:tcW w:w="6470" w:type="dxa"/>
            <w:tcBorders>
              <w:top w:val="single" w:sz="4" w:space="0" w:color="000000"/>
              <w:start w:val="single" w:sz="4" w:space="0" w:color="000000"/>
              <w:bottom w:val="single" w:sz="4" w:space="0" w:color="000000"/>
              <w:end w:val="single" w:sz="4" w:space="0" w:color="000000"/>
            </w:tcBorders>
          </w:tcPr>
          <w:p>
            <w:pPr>
              <w:pStyle w:val="Normal"/>
              <w:spacing w:before="0" w:after="160"/>
              <w:rPr>
                <w:sz w:val="20"/>
                <w:szCs w:val="20"/>
                <w:lang w:val="en-AU" w:eastAsia="en-AU"/>
              </w:rPr>
            </w:pPr>
            <w:r>
              <w:rPr>
                <w:sz w:val="20"/>
                <w:szCs w:val="20"/>
              </w:rPr>
              <w:t>{% if faira_form.B6_3 == "Yes" %}{{ faira_form.B6_3_audience | format_list if faira_form.B6_3_audience else "Not specified" }}{% else %}Not applicable{% endif %}</w:t>
            </w:r>
          </w:p>
        </w:tc>
      </w:tr>
      <w:tr>
        <w:trPr/>
        <w:tc>
          <w:tcPr>
            <w:tcW w:w="2556" w:type="dxa"/>
            <w:tcBorders>
              <w:top w:val="single" w:sz="4" w:space="0" w:color="000000"/>
              <w:start w:val="single" w:sz="4" w:space="0" w:color="000000"/>
              <w:bottom w:val="single" w:sz="4" w:space="0" w:color="000000"/>
              <w:end w:val="single" w:sz="4" w:space="0" w:color="000000"/>
            </w:tcBorders>
          </w:tcPr>
          <w:p>
            <w:pPr>
              <w:pStyle w:val="Normal"/>
              <w:spacing w:before="0" w:after="160"/>
              <w:rPr>
                <w:sz w:val="20"/>
                <w:szCs w:val="20"/>
                <w:lang w:val="en-AU" w:eastAsia="en-AU"/>
              </w:rPr>
            </w:pPr>
            <w:r>
              <w:rPr>
                <w:sz w:val="20"/>
                <w:szCs w:val="20"/>
              </w:rPr>
              <w:t>Disclosure method(s)</w:t>
            </w:r>
          </w:p>
        </w:tc>
        <w:tc>
          <w:tcPr>
            <w:tcW w:w="6470" w:type="dxa"/>
            <w:tcBorders>
              <w:top w:val="single" w:sz="4" w:space="0" w:color="000000"/>
              <w:start w:val="single" w:sz="4" w:space="0" w:color="000000"/>
              <w:bottom w:val="single" w:sz="4" w:space="0" w:color="000000"/>
              <w:end w:val="single" w:sz="4" w:space="0" w:color="000000"/>
            </w:tcBorders>
          </w:tcPr>
          <w:p>
            <w:pPr>
              <w:pStyle w:val="Normal"/>
              <w:spacing w:before="0" w:after="160"/>
              <w:rPr>
                <w:sz w:val="20"/>
                <w:szCs w:val="20"/>
                <w:lang w:val="en-AU" w:eastAsia="en-AU"/>
              </w:rPr>
            </w:pPr>
            <w:r>
              <w:rPr>
                <w:sz w:val="20"/>
                <w:szCs w:val="20"/>
              </w:rPr>
              <w:t>{% if faira_form.B6_3 == "Yes" %}{{ faira_form.B6_3_methods | format_list if faira_form.B6_3_methods else "Not specified" }}{% else %}Not applicable{% endif %}</w:t>
            </w:r>
          </w:p>
        </w:tc>
      </w:tr>
      <w:tr>
        <w:trPr/>
        <w:tc>
          <w:tcPr>
            <w:tcW w:w="2556" w:type="dxa"/>
            <w:tcBorders>
              <w:top w:val="single" w:sz="4" w:space="0" w:color="000000"/>
              <w:start w:val="single" w:sz="4" w:space="0" w:color="000000"/>
              <w:bottom w:val="single" w:sz="4" w:space="0" w:color="000000"/>
              <w:end w:val="single" w:sz="4" w:space="0" w:color="000000"/>
            </w:tcBorders>
          </w:tcPr>
          <w:p>
            <w:pPr>
              <w:pStyle w:val="Normal"/>
              <w:spacing w:before="0" w:after="160"/>
              <w:rPr>
                <w:sz w:val="20"/>
                <w:szCs w:val="20"/>
                <w:lang w:val="en-AU" w:eastAsia="en-AU"/>
              </w:rPr>
            </w:pPr>
            <w:r>
              <w:rPr>
                <w:sz w:val="20"/>
                <w:szCs w:val="20"/>
              </w:rPr>
              <w:t>Timing of disclosure</w:t>
            </w:r>
          </w:p>
        </w:tc>
        <w:tc>
          <w:tcPr>
            <w:tcW w:w="6470" w:type="dxa"/>
            <w:tcBorders>
              <w:top w:val="single" w:sz="4" w:space="0" w:color="000000"/>
              <w:start w:val="single" w:sz="4" w:space="0" w:color="000000"/>
              <w:bottom w:val="single" w:sz="4" w:space="0" w:color="000000"/>
              <w:end w:val="single" w:sz="4" w:space="0" w:color="000000"/>
            </w:tcBorders>
          </w:tcPr>
          <w:p>
            <w:pPr>
              <w:pStyle w:val="Normal"/>
              <w:spacing w:before="0" w:after="160"/>
              <w:rPr>
                <w:sz w:val="20"/>
                <w:szCs w:val="20"/>
                <w:lang w:val="en-AU" w:eastAsia="en-AU"/>
              </w:rPr>
            </w:pPr>
            <w:r>
              <w:rPr>
                <w:sz w:val="20"/>
                <w:szCs w:val="20"/>
              </w:rPr>
              <w:t>{% if faira_form.B6_3 == "Yes" %}{{ faira_form.B6_3_timing if faira_form.B6_3_timing else "Not specified" }}{% else %}Not applicable{% endif %}</w:t>
            </w:r>
          </w:p>
        </w:tc>
      </w:tr>
      <w:tr>
        <w:trPr/>
        <w:tc>
          <w:tcPr>
            <w:tcW w:w="2556" w:type="dxa"/>
            <w:tcBorders>
              <w:top w:val="single" w:sz="4" w:space="0" w:color="000000"/>
              <w:start w:val="single" w:sz="4" w:space="0" w:color="000000"/>
              <w:bottom w:val="single" w:sz="4" w:space="0" w:color="000000"/>
              <w:end w:val="single" w:sz="4" w:space="0" w:color="000000"/>
            </w:tcBorders>
          </w:tcPr>
          <w:p>
            <w:pPr>
              <w:pStyle w:val="Normal"/>
              <w:spacing w:before="0" w:after="160"/>
              <w:rPr>
                <w:sz w:val="20"/>
                <w:szCs w:val="20"/>
                <w:lang w:val="en-AU" w:eastAsia="en-AU"/>
              </w:rPr>
            </w:pPr>
            <w:r>
              <w:rPr>
                <w:sz w:val="20"/>
                <w:szCs w:val="20"/>
              </w:rPr>
              <w:t>Information provided</w:t>
            </w:r>
          </w:p>
        </w:tc>
        <w:tc>
          <w:tcPr>
            <w:tcW w:w="6470" w:type="dxa"/>
            <w:tcBorders>
              <w:top w:val="single" w:sz="4" w:space="0" w:color="000000"/>
              <w:start w:val="single" w:sz="4" w:space="0" w:color="000000"/>
              <w:bottom w:val="single" w:sz="4" w:space="0" w:color="000000"/>
              <w:end w:val="single" w:sz="4" w:space="0" w:color="000000"/>
            </w:tcBorders>
          </w:tcPr>
          <w:p>
            <w:pPr>
              <w:pStyle w:val="Normal"/>
              <w:keepNext w:val="true"/>
              <w:spacing w:before="0" w:after="160"/>
              <w:rPr>
                <w:sz w:val="20"/>
                <w:szCs w:val="20"/>
                <w:lang w:val="en-AU" w:eastAsia="en-AU"/>
              </w:rPr>
            </w:pPr>
            <w:r>
              <w:rPr>
                <w:sz w:val="20"/>
                <w:szCs w:val="20"/>
              </w:rPr>
              <w:t>{% if faira_form.B6_3 == "Yes" %}{{ faira_form.B6_3_information_provided | format_list if faira_form.B6_3_information_provided else "Not specified" }}{% else %}Not applicable{% endif %}</w:t>
            </w:r>
          </w:p>
        </w:tc>
      </w:tr>
      <w:tr>
        <w:trPr/>
        <w:tc>
          <w:tcPr>
            <w:tcW w:w="2556" w:type="dxa"/>
            <w:tcBorders>
              <w:top w:val="single" w:sz="4" w:space="0" w:color="000000"/>
              <w:start w:val="single" w:sz="4" w:space="0" w:color="000000"/>
              <w:bottom w:val="single" w:sz="4" w:space="0" w:color="000000"/>
              <w:end w:val="single" w:sz="4" w:space="0" w:color="000000"/>
            </w:tcBorders>
          </w:tcPr>
          <w:p>
            <w:pPr>
              <w:pStyle w:val="Normal"/>
              <w:spacing w:before="0" w:after="160"/>
              <w:rPr>
                <w:sz w:val="20"/>
                <w:szCs w:val="20"/>
              </w:rPr>
            </w:pPr>
            <w:r>
              <w:rPr>
                <w:sz w:val="20"/>
                <w:szCs w:val="20"/>
              </w:rPr>
              <w:t>Notes</w:t>
            </w:r>
          </w:p>
        </w:tc>
        <w:tc>
          <w:tcPr>
            <w:tcW w:w="6470" w:type="dxa"/>
            <w:tcBorders>
              <w:top w:val="single" w:sz="4" w:space="0" w:color="000000"/>
              <w:start w:val="single" w:sz="4" w:space="0" w:color="000000"/>
              <w:bottom w:val="single" w:sz="4" w:space="0" w:color="000000"/>
              <w:end w:val="single" w:sz="4" w:space="0" w:color="000000"/>
            </w:tcBorders>
          </w:tcPr>
          <w:p>
            <w:pPr>
              <w:pStyle w:val="Normal"/>
              <w:keepNext w:val="true"/>
              <w:spacing w:before="0" w:after="160"/>
              <w:rPr>
                <w:sz w:val="20"/>
                <w:szCs w:val="20"/>
              </w:rPr>
            </w:pPr>
            <w:r>
              <w:rPr>
                <w:sz w:val="20"/>
                <w:szCs w:val="20"/>
              </w:rPr>
              <w:t>{% if faira_form.B6_3 == "Yes" and faira_form.B6_3_notes %}{{ faira_form.B6_3_notes }}{% else %}—{% endif %}</w:t>
            </w:r>
          </w:p>
        </w:tc>
      </w:tr>
    </w:tbl>
    <w:p>
      <w:pPr>
        <w:pStyle w:val="Caption"/>
        <w:rPr>
          <w:b/>
          <w:bCs/>
          <w:lang w:val="en-AU" w:eastAsia="en-AU"/>
        </w:rPr>
      </w:pPr>
      <w:r>
        <w:rPr/>
        <w:t xml:space="preserve">Table </w:t>
      </w:r>
      <w:r>
        <w:rPr/>
        <w:fldChar w:fldCharType="begin"/>
      </w:r>
      <w:r>
        <w:rPr/>
        <w:instrText xml:space="preserve"> SEQ Table \* ARABIC </w:instrText>
      </w:r>
      <w:r>
        <w:rPr/>
        <w:fldChar w:fldCharType="separate"/>
      </w:r>
      <w:r>
        <w:rPr/>
        <w:t>13</w:t>
      </w:r>
      <w:r>
        <w:rPr/>
        <w:fldChar w:fldCharType="end"/>
      </w:r>
      <w:r>
        <w:rPr/>
        <w:t xml:space="preserve"> - Disclosure of AI Use summary</w:t>
      </w:r>
    </w:p>
    <w:p>
      <w:pPr>
        <w:pStyle w:val="Normal"/>
        <w:rPr>
          <w:b/>
          <w:bCs/>
          <w:lang w:val="en-AU" w:eastAsia="en-AU"/>
        </w:rPr>
      </w:pPr>
      <w:r>
        <w:rPr>
          <w:b/>
          <w:bCs/>
          <w:lang w:val="en-AU" w:eastAsia="en-AU"/>
        </w:rPr>
        <w:t>Explainability of Outcomes</w:t>
      </w:r>
    </w:p>
    <w:p>
      <w:pPr>
        <w:pStyle w:val="Normal"/>
        <w:rPr>
          <w:lang w:val="en-AU" w:eastAsia="en-AU"/>
        </w:rPr>
      </w:pPr>
      <w:r>
        <w:rPr>
          <w:lang w:val="en-AU" w:eastAsia="en-AU"/>
        </w:rPr>
        <w:t>The table below summarises the various aspects surrounding the explainability of outcomes:</w:t>
      </w:r>
    </w:p>
    <w:tbl>
      <w:tblPr>
        <w:tblW w:w="5000" w:type="pct"/>
        <w:jc w:val="start"/>
        <w:tblInd w:w="0" w:type="dxa"/>
        <w:tblLayout w:type="fixed"/>
        <w:tblCellMar>
          <w:top w:w="43" w:type="dxa"/>
          <w:start w:w="43" w:type="dxa"/>
          <w:bottom w:w="43" w:type="dxa"/>
          <w:end w:w="43" w:type="dxa"/>
        </w:tblCellMar>
        <w:tblLook w:firstRow="1" w:noVBand="1" w:lastRow="0" w:firstColumn="1" w:lastColumn="0" w:noHBand="0" w:val="04a0"/>
      </w:tblPr>
      <w:tblGrid>
        <w:gridCol w:w="2556"/>
        <w:gridCol w:w="6470"/>
      </w:tblGrid>
      <w:tr>
        <w:trPr>
          <w:tblHeader w:val="true"/>
        </w:trPr>
        <w:tc>
          <w:tcPr>
            <w:tcW w:w="2556" w:type="dxa"/>
            <w:tcBorders>
              <w:top w:val="single" w:sz="4" w:space="0" w:color="000000"/>
              <w:start w:val="single" w:sz="4" w:space="0" w:color="000000"/>
              <w:bottom w:val="single" w:sz="4" w:space="0" w:color="000000"/>
              <w:end w:val="single" w:sz="4" w:space="0" w:color="000000"/>
            </w:tcBorders>
            <w:shd w:color="auto" w:fill="D9D9D9" w:themeFill="background1" w:themeFillShade="d9" w:val="clear"/>
          </w:tcPr>
          <w:p>
            <w:pPr>
              <w:pStyle w:val="Normal"/>
              <w:spacing w:before="0" w:after="160"/>
              <w:rPr>
                <w:b/>
                <w:bCs/>
                <w:sz w:val="20"/>
                <w:szCs w:val="20"/>
                <w:lang w:val="en-AU" w:eastAsia="en-AU"/>
              </w:rPr>
            </w:pPr>
            <w:r>
              <w:rPr>
                <w:b/>
                <w:bCs/>
                <w:sz w:val="20"/>
                <w:szCs w:val="20"/>
                <w:lang w:val="en-AU" w:eastAsia="en-AU"/>
              </w:rPr>
              <w:t>Aspect</w:t>
            </w:r>
          </w:p>
        </w:tc>
        <w:tc>
          <w:tcPr>
            <w:tcW w:w="6470" w:type="dxa"/>
            <w:tcBorders>
              <w:top w:val="single" w:sz="4" w:space="0" w:color="000000"/>
              <w:start w:val="single" w:sz="4" w:space="0" w:color="000000"/>
              <w:bottom w:val="single" w:sz="4" w:space="0" w:color="000000"/>
              <w:end w:val="single" w:sz="4" w:space="0" w:color="000000"/>
            </w:tcBorders>
            <w:shd w:color="auto" w:fill="D9D9D9" w:themeFill="background1" w:themeFillShade="d9" w:val="clear"/>
          </w:tcPr>
          <w:p>
            <w:pPr>
              <w:pStyle w:val="Normal"/>
              <w:spacing w:before="0" w:after="160"/>
              <w:rPr>
                <w:b/>
                <w:bCs/>
                <w:sz w:val="20"/>
                <w:szCs w:val="20"/>
                <w:lang w:val="en-AU" w:eastAsia="en-AU"/>
              </w:rPr>
            </w:pPr>
            <w:r>
              <w:rPr>
                <w:b/>
                <w:bCs/>
                <w:sz w:val="20"/>
                <w:szCs w:val="20"/>
                <w:lang w:val="en-AU" w:eastAsia="en-AU"/>
              </w:rPr>
              <w:t>Description</w:t>
            </w:r>
          </w:p>
        </w:tc>
      </w:tr>
      <w:tr>
        <w:trPr/>
        <w:tc>
          <w:tcPr>
            <w:tcW w:w="2556" w:type="dxa"/>
            <w:tcBorders>
              <w:top w:val="single" w:sz="4" w:space="0" w:color="000000"/>
              <w:start w:val="single" w:sz="4" w:space="0" w:color="000000"/>
              <w:bottom w:val="single" w:sz="4" w:space="0" w:color="000000"/>
              <w:end w:val="single" w:sz="4" w:space="0" w:color="000000"/>
            </w:tcBorders>
          </w:tcPr>
          <w:p>
            <w:pPr>
              <w:pStyle w:val="Normal"/>
              <w:spacing w:before="0" w:after="160"/>
              <w:rPr>
                <w:sz w:val="20"/>
                <w:szCs w:val="20"/>
                <w:lang w:val="en-AU" w:eastAsia="en-AU"/>
              </w:rPr>
            </w:pPr>
            <w:r>
              <w:rPr>
                <w:sz w:val="20"/>
                <w:szCs w:val="20"/>
              </w:rPr>
              <w:t>Explainability of AI-supported outcomes (B6.4)</w:t>
            </w:r>
          </w:p>
        </w:tc>
        <w:tc>
          <w:tcPr>
            <w:tcW w:w="6470" w:type="dxa"/>
            <w:tcBorders>
              <w:top w:val="single" w:sz="4" w:space="0" w:color="000000"/>
              <w:start w:val="single" w:sz="4" w:space="0" w:color="000000"/>
              <w:bottom w:val="single" w:sz="4" w:space="0" w:color="000000"/>
              <w:end w:val="single" w:sz="4" w:space="0" w:color="000000"/>
            </w:tcBorders>
          </w:tcPr>
          <w:p>
            <w:pPr>
              <w:pStyle w:val="Normal"/>
              <w:rPr>
                <w:sz w:val="20"/>
                <w:szCs w:val="20"/>
              </w:rPr>
            </w:pPr>
            <w:r>
              <w:rPr>
                <w:sz w:val="20"/>
                <w:szCs w:val="20"/>
              </w:rPr>
              <w:t>{%p if faira_form.B6_4 == "Yes" %}</w:t>
            </w:r>
          </w:p>
          <w:p>
            <w:pPr>
              <w:pStyle w:val="ListParagraph"/>
              <w:numPr>
                <w:ilvl w:val="0"/>
                <w:numId w:val="14"/>
              </w:numPr>
              <w:spacing w:before="60" w:after="60"/>
              <w:contextualSpacing w:val="false"/>
              <w:rPr>
                <w:sz w:val="20"/>
                <w:szCs w:val="20"/>
              </w:rPr>
            </w:pPr>
            <w:r>
              <w:rPr>
                <w:sz w:val="20"/>
                <w:szCs w:val="20"/>
              </w:rPr>
              <w:t>Audience: {{ faira_form.B6_4_audience | format_list if faira_form.B6_4_audience else "not specified" }}</w:t>
            </w:r>
          </w:p>
          <w:p>
            <w:pPr>
              <w:pStyle w:val="ListParagraph"/>
              <w:numPr>
                <w:ilvl w:val="0"/>
                <w:numId w:val="14"/>
              </w:numPr>
              <w:spacing w:before="60" w:after="60"/>
              <w:contextualSpacing w:val="false"/>
              <w:rPr>
                <w:sz w:val="20"/>
                <w:szCs w:val="20"/>
              </w:rPr>
            </w:pPr>
            <w:r>
              <w:rPr>
                <w:sz w:val="20"/>
                <w:szCs w:val="20"/>
              </w:rPr>
              <w:t>Methods: {{ faira_form.B6_4_explanation_methods | format_list if faira_form.B6_4_explanation_methods else "not specified" }}</w:t>
            </w:r>
          </w:p>
          <w:p>
            <w:pPr>
              <w:pStyle w:val="ListParagraph"/>
              <w:numPr>
                <w:ilvl w:val="0"/>
                <w:numId w:val="14"/>
              </w:numPr>
              <w:spacing w:before="60" w:after="60"/>
              <w:contextualSpacing w:val="false"/>
              <w:rPr>
                <w:sz w:val="20"/>
                <w:szCs w:val="20"/>
              </w:rPr>
            </w:pPr>
            <w:r>
              <w:rPr>
                <w:sz w:val="20"/>
                <w:szCs w:val="20"/>
              </w:rPr>
              <w:t>Timing: {{ faira_form.B6_4_timing if faira_form.B6_4_timing else "not specified" }}; Content: {{ faira_form.B6_4_explanation_content | format_list if faira_form.B6_4_explanation_content else "not specified" }}</w:t>
            </w:r>
          </w:p>
          <w:p>
            <w:pPr>
              <w:pStyle w:val="ListParagraph"/>
              <w:numPr>
                <w:ilvl w:val="0"/>
                <w:numId w:val="14"/>
              </w:numPr>
              <w:spacing w:before="60" w:after="60"/>
              <w:contextualSpacing w:val="false"/>
              <w:rPr>
                <w:sz w:val="20"/>
                <w:szCs w:val="20"/>
              </w:rPr>
            </w:pPr>
            <w:r>
              <w:rPr>
                <w:sz w:val="20"/>
                <w:szCs w:val="20"/>
              </w:rPr>
              <w:t>Accessibility: {{ faira_form.B6_4_accessibility if faira_form.B6_4_accessibility else "not specified" }}</w:t>
            </w:r>
          </w:p>
          <w:p>
            <w:pPr>
              <w:pStyle w:val="ListParagraph"/>
              <w:numPr>
                <w:ilvl w:val="0"/>
                <w:numId w:val="14"/>
              </w:numPr>
              <w:spacing w:before="60" w:after="60"/>
              <w:contextualSpacing w:val="false"/>
              <w:rPr>
                <w:sz w:val="20"/>
                <w:szCs w:val="20"/>
              </w:rPr>
            </w:pPr>
            <w:r>
              <w:rPr>
                <w:sz w:val="20"/>
                <w:szCs w:val="20"/>
              </w:rPr>
              <w:t>Limitations disclosed: {{ faira_form.B6_4_limitations_disclosed if faira_form.B6_4_limitations_disclosed else "not specified" }}{% if faira_form.B6_4_notes %}</w:t>
            </w:r>
          </w:p>
          <w:p>
            <w:pPr>
              <w:pStyle w:val="ListParagraph"/>
              <w:keepNext w:val="true"/>
              <w:numPr>
                <w:ilvl w:val="0"/>
                <w:numId w:val="14"/>
              </w:numPr>
              <w:spacing w:before="60" w:after="60"/>
              <w:contextualSpacing w:val="false"/>
              <w:rPr>
                <w:sz w:val="20"/>
                <w:szCs w:val="20"/>
                <w:lang w:val="en-AU" w:eastAsia="en-AU"/>
              </w:rPr>
            </w:pPr>
            <w:r>
              <w:rPr>
                <w:sz w:val="20"/>
                <w:szCs w:val="20"/>
              </w:rPr>
              <w:t>Notes: {{ faira_form.B6_4_notes }}{% endif %}{% elif faira_form.B6_4 == "No" %}No{%p else %}Not specified{%p endif %}</w:t>
            </w:r>
          </w:p>
        </w:tc>
      </w:tr>
    </w:tbl>
    <w:p>
      <w:pPr>
        <w:pStyle w:val="Caption"/>
        <w:rPr>
          <w:b/>
          <w:bCs/>
          <w:lang w:val="en-AU" w:eastAsia="en-AU"/>
        </w:rPr>
      </w:pPr>
      <w:r>
        <w:rPr/>
        <w:t xml:space="preserve">Table </w:t>
      </w:r>
      <w:r>
        <w:rPr/>
        <w:fldChar w:fldCharType="begin"/>
      </w:r>
      <w:r>
        <w:rPr/>
        <w:instrText xml:space="preserve"> SEQ Table \* ARABIC </w:instrText>
      </w:r>
      <w:r>
        <w:rPr/>
        <w:fldChar w:fldCharType="separate"/>
      </w:r>
      <w:r>
        <w:rPr/>
        <w:t>14</w:t>
      </w:r>
      <w:r>
        <w:rPr/>
        <w:fldChar w:fldCharType="end"/>
      </w:r>
      <w:r>
        <w:rPr/>
        <w:t xml:space="preserve"> - Explainability of Outcomes summary</w:t>
      </w:r>
    </w:p>
    <w:p>
      <w:pPr>
        <w:pStyle w:val="Normal"/>
        <w:rPr>
          <w:b/>
          <w:bCs/>
          <w:lang w:val="en-AU" w:eastAsia="en-AU"/>
        </w:rPr>
      </w:pPr>
      <w:r>
        <w:rPr>
          <w:b/>
          <w:bCs/>
          <w:lang w:val="en-AU" w:eastAsia="en-AU"/>
        </w:rPr>
        <w:t>Domain Interpretation</w:t>
      </w:r>
    </w:p>
    <w:p>
      <w:pPr>
        <w:pStyle w:val="Normal"/>
        <w:rPr>
          <w:lang w:val="en-AU" w:eastAsia="en-AU"/>
        </w:rPr>
      </w:pPr>
      <w:r>
        <w:rPr>
          <w:lang w:val="en-AU" w:eastAsia="en-AU"/>
        </w:rPr>
        <w:t>Transparency and explainability risks relate to the degree to which an AI system's behaviour, limitations, and decision logic can be meaningfully understood by those who rely on or are affected by its outputs. Limitations in transparency may reduce trust, hinder accountability, or restrict the ability of individuals to question or challenge outcomes, even where decisions are technically accurate.</w:t>
      </w:r>
    </w:p>
    <w:p>
      <w:pPr>
        <w:pStyle w:val="Normal"/>
        <w:rPr>
          <w:lang w:val="en-AU" w:eastAsia="en-AU"/>
        </w:rPr>
      </w:pPr>
      <w:r>
        <w:rPr>
          <w:lang w:val="en-AU" w:eastAsia="en-AU"/>
        </w:rPr>
        <w:t>This domain should be interpreted as an indicator of how accessible and meaningful system explanations are across different stakeholder groups, rather than as a measure of technical sophistication or completeness of documentation. Transparency and explainability needs may evolve as system use, user expectations, or regulatory requirements change, and should therefore be considered alongside contestability, accountability, and governance arrangements.</w:t>
      </w:r>
    </w:p>
    <w:p>
      <w:pPr>
        <w:pStyle w:val="Normal"/>
        <w:rPr>
          <w:b/>
          <w:bCs/>
          <w:lang w:eastAsia="en-AU"/>
        </w:rPr>
      </w:pPr>
      <w:r>
        <w:rPr>
          <w:b/>
          <w:bCs/>
          <w:lang w:eastAsia="en-AU"/>
        </w:rPr>
        <w:t>What would change this score?</w:t>
      </w:r>
    </w:p>
    <w:p>
      <w:pPr>
        <w:pStyle w:val="Normal"/>
        <w:rPr>
          <w:lang w:val="en-AU" w:eastAsia="en-AU"/>
        </w:rPr>
      </w:pPr>
      <w:r>
        <w:rPr>
          <w:lang w:eastAsia="en-AU"/>
        </w:rPr>
        <w:t>The factors below represent governance, operational, or design changes that are likely to materially influence the assessed risk level for this domain over time. These factors are illustrative and should be considered in the context of the system's operating environment and risk appetite.</w:t>
      </w:r>
    </w:p>
    <w:p>
      <w:pPr>
        <w:pStyle w:val="ListParagraph"/>
        <w:numPr>
          <w:ilvl w:val="0"/>
          <w:numId w:val="12"/>
        </w:numPr>
        <w:spacing w:before="60" w:after="60"/>
        <w:contextualSpacing w:val="false"/>
        <w:rPr>
          <w:lang w:val="en-AU" w:eastAsia="en-AU"/>
        </w:rPr>
      </w:pPr>
      <w:r>
        <w:rPr>
          <w:lang w:val="en-AU" w:eastAsia="en-AU"/>
        </w:rPr>
        <w:t>Clear disclosure to users or affected individuals that AI is being used in decision-making.</w:t>
      </w:r>
    </w:p>
    <w:p>
      <w:pPr>
        <w:pStyle w:val="ListParagraph"/>
        <w:numPr>
          <w:ilvl w:val="0"/>
          <w:numId w:val="12"/>
        </w:numPr>
        <w:spacing w:before="60" w:after="60"/>
        <w:contextualSpacing w:val="false"/>
        <w:rPr>
          <w:lang w:val="en-AU" w:eastAsia="en-AU"/>
        </w:rPr>
      </w:pPr>
      <w:r>
        <w:rPr>
          <w:lang w:val="en-AU" w:eastAsia="en-AU"/>
        </w:rPr>
        <w:t>Availability of meaningful explanations appropriate to different audiences (technical and non-technical).</w:t>
      </w:r>
    </w:p>
    <w:p>
      <w:pPr>
        <w:pStyle w:val="ListParagraph"/>
        <w:numPr>
          <w:ilvl w:val="0"/>
          <w:numId w:val="12"/>
        </w:numPr>
        <w:spacing w:before="60" w:after="60"/>
        <w:contextualSpacing w:val="false"/>
        <w:rPr>
          <w:lang w:val="en-AU" w:eastAsia="en-AU"/>
        </w:rPr>
      </w:pPr>
      <w:r>
        <w:rPr>
          <w:lang w:val="en-AU" w:eastAsia="en-AU"/>
        </w:rPr>
        <w:t>Documentation of system limitations, uncertainty, and assumptions.</w:t>
      </w:r>
    </w:p>
    <w:p>
      <w:pPr>
        <w:pStyle w:val="ListParagraph"/>
        <w:numPr>
          <w:ilvl w:val="0"/>
          <w:numId w:val="12"/>
        </w:numPr>
        <w:spacing w:before="60" w:after="60"/>
        <w:contextualSpacing w:val="false"/>
        <w:rPr>
          <w:lang w:val="en-AU" w:eastAsia="en-AU"/>
        </w:rPr>
      </w:pPr>
      <w:r>
        <w:rPr>
          <w:lang w:val="en-AU" w:eastAsia="en-AU"/>
        </w:rPr>
        <w:t>Timely access to explanations when decisions materially affect individuals or groups.</w:t>
      </w:r>
    </w:p>
    <w:p>
      <w:pPr>
        <w:pStyle w:val="ListParagraph"/>
        <w:numPr>
          <w:ilvl w:val="0"/>
          <w:numId w:val="12"/>
        </w:numPr>
        <w:spacing w:before="60" w:after="60"/>
        <w:contextualSpacing w:val="false"/>
        <w:rPr>
          <w:lang w:val="en-AU" w:eastAsia="en-AU"/>
        </w:rPr>
      </w:pPr>
      <w:r>
        <w:rPr>
          <w:lang w:val="en-AU" w:eastAsia="en-AU"/>
        </w:rPr>
        <w:t>Governance processes ensuring transparency practices are maintained as the system changes.</w:t>
      </w:r>
    </w:p>
    <w:p>
      <w:pPr>
        <w:pStyle w:val="Normal"/>
        <w:rPr>
          <w:lang w:val="en-AU" w:eastAsia="en-AU"/>
        </w:rPr>
      </w:pPr>
      <w:r>
        <w:rPr>
          <w:lang w:val="en-AU" w:eastAsia="en-AU"/>
        </w:rPr>
      </w:r>
    </w:p>
    <w:p>
      <w:pPr>
        <w:pStyle w:val="Heading01"/>
        <w:numPr>
          <w:ilvl w:val="0"/>
          <w:numId w:val="1"/>
        </w:numPr>
        <w:rPr>
          <w:lang w:val="en-AU" w:eastAsia="en-AU"/>
        </w:rPr>
      </w:pPr>
      <w:bookmarkStart w:id="29" w:name="_Toc220351616"/>
      <w:r>
        <w:rPr>
          <w:lang w:val="en-AU" w:eastAsia="en-AU"/>
        </w:rPr>
        <w:t>Top Risk Areas</w:t>
      </w:r>
      <w:bookmarkEnd w:id="29"/>
    </w:p>
    <w:p>
      <w:pPr>
        <w:pStyle w:val="Normal"/>
        <w:rPr>
          <w:lang w:eastAsia="en-AU"/>
        </w:rPr>
      </w:pPr>
      <w:r>
        <w:rPr>
          <w:lang w:eastAsia="en-AU"/>
        </w:rPr>
        <w:t>This section highlights the AI ethics domains that present the highest levels of residual risk based on the FAIRA assessment results. The identification of top risk areas is intended to support prioritisation and decision-making by drawing attention to domains where potential impacts, likelihood, and control effectiveness combine to create elevated risk exposure. The inclusion of a domain in this section does not imply non-compliance or unacceptable risk, but rather indicates areas that may warrant closer consideration.</w:t>
      </w:r>
    </w:p>
    <w:p>
      <w:pPr>
        <w:pStyle w:val="Normal"/>
        <w:rPr>
          <w:lang w:eastAsia="en-AU"/>
        </w:rPr>
      </w:pPr>
      <w:r>
        <w:rPr>
          <w:lang w:eastAsia="en-AU"/>
        </w:rPr>
        <w:t xml:space="preserve">The top risk areas for </w:t>
      </w:r>
      <w:r>
        <w:rPr>
          <w:b/>
          <w:bCs/>
          <w:lang w:eastAsia="en-AU"/>
        </w:rPr>
        <w:t>{{system_name}}</w:t>
      </w:r>
      <w:r>
        <w:rPr>
          <w:lang w:eastAsia="en-AU"/>
        </w:rPr>
        <w:t xml:space="preserve"> were identified by ranking FAIRA ethics domains according to their residual risk scores. This approach considers the combined effect of assessed impact, likelihood, and control effectiveness for each domain. The domains listed below represent those with the highest relative residual risk at the time of assessment and provide a focused view of where AI-related risks are most concentrated.</w:t>
      </w:r>
    </w:p>
    <w:p>
      <w:pPr>
        <w:pStyle w:val="Normal"/>
        <w:rPr>
          <w:lang w:eastAsia="en-AU"/>
        </w:rPr>
      </w:pPr>
      <w:r>
        <w:rPr>
          <w:lang w:eastAsia="en-AU"/>
        </w:rPr>
        <w:t>These results are based on normalised scores to support comparison across domains.</w:t>
      </w:r>
    </w:p>
    <w:p>
      <w:pPr>
        <w:pStyle w:val="Normal"/>
        <w:rPr>
          <w:b/>
          <w:bCs/>
          <w:lang w:eastAsia="en-AU"/>
        </w:rPr>
      </w:pPr>
      <w:r>
        <w:rPr>
          <w:b/>
          <w:bCs/>
          <w:lang w:eastAsia="en-AU"/>
        </w:rPr>
        <w:t>Top FAIRA Risk Areas (by Residual Risk)</w:t>
      </w:r>
    </w:p>
    <w:tbl>
      <w:tblPr>
        <w:tblW w:w="5000" w:type="pct"/>
        <w:jc w:val="start"/>
        <w:tblInd w:w="0" w:type="dxa"/>
        <w:tblLayout w:type="fixed"/>
        <w:tblCellMar>
          <w:top w:w="43" w:type="dxa"/>
          <w:start w:w="43" w:type="dxa"/>
          <w:bottom w:w="43" w:type="dxa"/>
          <w:end w:w="43" w:type="dxa"/>
        </w:tblCellMar>
        <w:tblLook w:firstRow="1" w:noVBand="1" w:lastRow="0" w:firstColumn="1" w:lastColumn="0" w:noHBand="0" w:val="04a0"/>
      </w:tblPr>
      <w:tblGrid>
        <w:gridCol w:w="975"/>
        <w:gridCol w:w="4205"/>
        <w:gridCol w:w="3846"/>
      </w:tblGrid>
      <w:tr>
        <w:trPr>
          <w:tblHeader w:val="true"/>
        </w:trPr>
        <w:tc>
          <w:tcPr>
            <w:tcW w:w="975" w:type="dxa"/>
            <w:tcBorders>
              <w:top w:val="single" w:sz="4" w:space="0" w:color="000000"/>
              <w:start w:val="single" w:sz="4" w:space="0" w:color="000000"/>
              <w:bottom w:val="single" w:sz="4" w:space="0" w:color="000000"/>
              <w:end w:val="single" w:sz="4" w:space="0" w:color="000000"/>
            </w:tcBorders>
            <w:shd w:color="auto" w:fill="D9D9D9" w:themeFill="background1" w:themeFillShade="d9" w:val="clear"/>
            <w:vAlign w:val="center"/>
          </w:tcPr>
          <w:p>
            <w:pPr>
              <w:pStyle w:val="Normal"/>
              <w:spacing w:before="0" w:after="160"/>
              <w:rPr>
                <w:b/>
                <w:bCs/>
                <w:sz w:val="20"/>
                <w:szCs w:val="20"/>
                <w:lang w:val="en-AU" w:eastAsia="en-AU"/>
              </w:rPr>
            </w:pPr>
            <w:r>
              <w:rPr>
                <w:b/>
                <w:bCs/>
                <w:sz w:val="20"/>
                <w:szCs w:val="20"/>
                <w:lang w:val="en-AU" w:eastAsia="en-AU"/>
              </w:rPr>
              <w:t>Rank</w:t>
            </w:r>
          </w:p>
        </w:tc>
        <w:tc>
          <w:tcPr>
            <w:tcW w:w="4205" w:type="dxa"/>
            <w:tcBorders>
              <w:top w:val="single" w:sz="4" w:space="0" w:color="000000"/>
              <w:start w:val="single" w:sz="4" w:space="0" w:color="000000"/>
              <w:bottom w:val="single" w:sz="4" w:space="0" w:color="000000"/>
              <w:end w:val="single" w:sz="4" w:space="0" w:color="000000"/>
            </w:tcBorders>
            <w:shd w:color="auto" w:fill="D9D9D9" w:themeFill="background1" w:themeFillShade="d9" w:val="clear"/>
            <w:vAlign w:val="center"/>
          </w:tcPr>
          <w:p>
            <w:pPr>
              <w:pStyle w:val="Normal"/>
              <w:spacing w:before="0" w:after="160"/>
              <w:rPr>
                <w:b/>
                <w:bCs/>
                <w:sz w:val="20"/>
                <w:szCs w:val="20"/>
                <w:lang w:val="en-AU" w:eastAsia="en-AU"/>
              </w:rPr>
            </w:pPr>
            <w:r>
              <w:rPr>
                <w:b/>
                <w:bCs/>
                <w:sz w:val="20"/>
                <w:szCs w:val="20"/>
                <w:lang w:val="en-AU" w:eastAsia="en-AU"/>
              </w:rPr>
              <w:t>Domain</w:t>
            </w:r>
          </w:p>
        </w:tc>
        <w:tc>
          <w:tcPr>
            <w:tcW w:w="3846" w:type="dxa"/>
            <w:tcBorders>
              <w:top w:val="single" w:sz="4" w:space="0" w:color="000000"/>
              <w:start w:val="single" w:sz="4" w:space="0" w:color="000000"/>
              <w:bottom w:val="single" w:sz="4" w:space="0" w:color="000000"/>
              <w:end w:val="single" w:sz="4" w:space="0" w:color="000000"/>
            </w:tcBorders>
            <w:shd w:color="auto" w:fill="D9D9D9" w:themeFill="background1" w:themeFillShade="d9" w:val="clear"/>
            <w:vAlign w:val="center"/>
          </w:tcPr>
          <w:p>
            <w:pPr>
              <w:pStyle w:val="Normal"/>
              <w:spacing w:before="0" w:after="160"/>
              <w:rPr>
                <w:b/>
                <w:bCs/>
                <w:sz w:val="20"/>
                <w:szCs w:val="20"/>
                <w:lang w:val="en-AU" w:eastAsia="en-AU"/>
              </w:rPr>
            </w:pPr>
            <w:r>
              <w:rPr>
                <w:b/>
                <w:bCs/>
                <w:sz w:val="20"/>
                <w:szCs w:val="20"/>
                <w:lang w:val="en-AU" w:eastAsia="en-AU"/>
              </w:rPr>
              <w:t>Residual Risk</w:t>
            </w:r>
          </w:p>
        </w:tc>
      </w:tr>
      <w:tr>
        <w:trPr/>
        <w:tc>
          <w:tcPr>
            <w:tcW w:w="975"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sz w:val="20"/>
                <w:szCs w:val="20"/>
                <w:lang w:val="en-AU" w:eastAsia="en-AU"/>
              </w:rPr>
            </w:pPr>
            <w:r>
              <w:rPr>
                <w:sz w:val="20"/>
                <w:szCs w:val="20"/>
                <w:lang w:val="en-AU" w:eastAsia="en-AU"/>
              </w:rPr>
              <w:t>1</w:t>
            </w:r>
          </w:p>
        </w:tc>
        <w:tc>
          <w:tcPr>
            <w:tcW w:w="4205"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sz w:val="20"/>
                <w:szCs w:val="20"/>
                <w:lang w:val="en-AU" w:eastAsia="en-AU"/>
              </w:rPr>
            </w:pPr>
            <w:r>
              <w:rPr>
                <w:sz w:val="20"/>
                <w:szCs w:val="20"/>
                <w:lang w:val="en-AU" w:eastAsia="en-AU"/>
              </w:rPr>
              <w:t>{{top_domains[0].name}}</w:t>
            </w:r>
          </w:p>
        </w:tc>
        <w:tc>
          <w:tcPr>
            <w:tcW w:w="3846"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sz w:val="20"/>
                <w:szCs w:val="20"/>
                <w:lang w:val="en-AU" w:eastAsia="en-AU"/>
              </w:rPr>
            </w:pPr>
            <w:r>
              <w:rPr>
                <w:sz w:val="20"/>
                <w:szCs w:val="20"/>
                <w:lang w:val="en-AU" w:eastAsia="en-AU"/>
              </w:rPr>
              <w:t>{{top_domains[0].risk}}</w:t>
            </w:r>
          </w:p>
        </w:tc>
      </w:tr>
      <w:tr>
        <w:trPr/>
        <w:tc>
          <w:tcPr>
            <w:tcW w:w="975"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sz w:val="20"/>
                <w:szCs w:val="20"/>
                <w:lang w:val="en-AU" w:eastAsia="en-AU"/>
              </w:rPr>
            </w:pPr>
            <w:r>
              <w:rPr>
                <w:sz w:val="20"/>
                <w:szCs w:val="20"/>
                <w:lang w:val="en-AU" w:eastAsia="en-AU"/>
              </w:rPr>
              <w:t>2</w:t>
            </w:r>
          </w:p>
        </w:tc>
        <w:tc>
          <w:tcPr>
            <w:tcW w:w="4205"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sz w:val="20"/>
                <w:szCs w:val="20"/>
                <w:lang w:val="en-AU" w:eastAsia="en-AU"/>
              </w:rPr>
            </w:pPr>
            <w:r>
              <w:rPr>
                <w:sz w:val="20"/>
                <w:szCs w:val="20"/>
                <w:lang w:val="en-AU" w:eastAsia="en-AU"/>
              </w:rPr>
              <w:t>{{top_domains[1].name}}</w:t>
            </w:r>
          </w:p>
        </w:tc>
        <w:tc>
          <w:tcPr>
            <w:tcW w:w="3846"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sz w:val="20"/>
                <w:szCs w:val="20"/>
                <w:lang w:val="en-AU" w:eastAsia="en-AU"/>
              </w:rPr>
            </w:pPr>
            <w:r>
              <w:rPr>
                <w:sz w:val="20"/>
                <w:szCs w:val="20"/>
                <w:lang w:val="en-AU" w:eastAsia="en-AU"/>
              </w:rPr>
              <w:t>{{top_domains[1].risk}}</w:t>
            </w:r>
          </w:p>
        </w:tc>
      </w:tr>
      <w:tr>
        <w:trPr/>
        <w:tc>
          <w:tcPr>
            <w:tcW w:w="975"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sz w:val="20"/>
                <w:szCs w:val="20"/>
                <w:lang w:val="en-AU" w:eastAsia="en-AU"/>
              </w:rPr>
            </w:pPr>
            <w:r>
              <w:rPr>
                <w:sz w:val="20"/>
                <w:szCs w:val="20"/>
                <w:lang w:val="en-AU" w:eastAsia="en-AU"/>
              </w:rPr>
              <w:t>3</w:t>
            </w:r>
          </w:p>
        </w:tc>
        <w:tc>
          <w:tcPr>
            <w:tcW w:w="4205"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sz w:val="20"/>
                <w:szCs w:val="20"/>
                <w:lang w:val="en-AU" w:eastAsia="en-AU"/>
              </w:rPr>
            </w:pPr>
            <w:r>
              <w:rPr>
                <w:sz w:val="20"/>
                <w:szCs w:val="20"/>
                <w:lang w:val="en-AU" w:eastAsia="en-AU"/>
              </w:rPr>
              <w:t>{{top_domains[2].name}}</w:t>
            </w:r>
          </w:p>
        </w:tc>
        <w:tc>
          <w:tcPr>
            <w:tcW w:w="3846"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sz w:val="20"/>
                <w:szCs w:val="20"/>
                <w:lang w:val="en-AU" w:eastAsia="en-AU"/>
              </w:rPr>
            </w:pPr>
            <w:r>
              <w:rPr>
                <w:sz w:val="20"/>
                <w:szCs w:val="20"/>
                <w:lang w:val="en-AU" w:eastAsia="en-AU"/>
              </w:rPr>
              <w:t>{{top_domains[2].risk}}</w:t>
            </w:r>
          </w:p>
        </w:tc>
      </w:tr>
    </w:tbl>
    <w:p>
      <w:pPr>
        <w:pStyle w:val="Normal"/>
        <w:rPr>
          <w:lang w:val="en-AU" w:eastAsia="en-AU"/>
        </w:rPr>
      </w:pPr>
      <w:r>
        <w:rPr>
          <w:lang w:val="en-AU" w:eastAsia="en-AU"/>
        </w:rPr>
      </w:r>
    </w:p>
    <w:p>
      <w:pPr>
        <w:pStyle w:val="Normal"/>
        <w:rPr>
          <w:lang w:eastAsia="en-AU"/>
        </w:rPr>
      </w:pPr>
      <w:r>
        <w:rPr>
          <w:lang w:eastAsia="en-AU"/>
        </w:rPr>
        <w:t>Concentration of risk in specific domains may reflect assessed factors such as system context, data sensitivity, user interaction patterns, or governance maturity.</w:t>
      </w:r>
    </w:p>
    <w:p>
      <w:pPr>
        <w:pStyle w:val="Normal"/>
        <w:rPr>
          <w:lang w:val="en-AU" w:eastAsia="en-AU"/>
        </w:rPr>
      </w:pPr>
      <w:r>
        <w:rPr>
          <w:lang w:val="en-AU" w:eastAsia="en-AU"/>
        </w:rPr>
        <w:t xml:space="preserve">{{ai.f_top_risk_areas_analysis}} </w:t>
      </w:r>
    </w:p>
    <w:p>
      <w:pPr>
        <w:pStyle w:val="Heading01"/>
        <w:numPr>
          <w:ilvl w:val="0"/>
          <w:numId w:val="1"/>
        </w:numPr>
        <w:rPr>
          <w:lang w:val="en-AU" w:eastAsia="en-AU"/>
        </w:rPr>
      </w:pPr>
      <w:bookmarkStart w:id="30" w:name="_Toc220351617"/>
      <w:r>
        <w:rPr>
          <w:lang w:val="en-AU" w:eastAsia="en-AU"/>
        </w:rPr>
        <w:t>Part C – Controls and Mitigations</w:t>
      </w:r>
      <w:bookmarkEnd w:id="30"/>
    </w:p>
    <w:p>
      <w:pPr>
        <w:pStyle w:val="Normal"/>
        <w:rPr>
          <w:lang w:eastAsia="en-AU"/>
        </w:rPr>
      </w:pPr>
      <w:r>
        <w:rPr>
          <w:lang w:eastAsia="en-AU"/>
        </w:rPr>
        <w:t>Part C of the FAIRA assessment focuses on identifying and prioritising controls and mitigation measures to address the risks identified in earlier sections of the report. This section examines existing and recommended controls in relation to the assessed AI ethics domains and supports proportionate risk treatment aligned with the organisation's risk appetite and operational context. The controls presented in this section are intended to inform decision-making and do not constitute mandatory requirements.</w:t>
      </w:r>
    </w:p>
    <w:p>
      <w:pPr>
        <w:pStyle w:val="Normal"/>
        <w:rPr>
          <w:lang w:eastAsia="en-AU"/>
        </w:rPr>
      </w:pPr>
      <w:r>
        <w:rPr>
          <w:lang w:eastAsia="en-AU"/>
        </w:rPr>
        <w:t>Controls and mitigations presented in this section are informed by the assessed risk profile for {{system_name}}, with particular emphasis on domains identified as top risk areas. Control recommendations are prioritised based on their relevance to identified risks, potential impact reduction, and feasibility of implementation within the system's operating context.</w:t>
      </w:r>
    </w:p>
    <w:p>
      <w:pPr>
        <w:pStyle w:val="Normal"/>
        <w:rPr>
          <w:lang w:eastAsia="en-AU"/>
        </w:rPr>
      </w:pPr>
      <w:r>
        <w:rPr>
          <w:lang w:eastAsia="en-AU"/>
        </w:rPr>
        <w:t>This approach supports targeted and proportionate risk treatment rather than uniform application of controls.</w:t>
      </w:r>
    </w:p>
    <w:p>
      <w:pPr>
        <w:pStyle w:val="Normal"/>
        <w:rPr>
          <w:lang w:val="en-AU" w:eastAsia="en-AU"/>
        </w:rPr>
      </w:pPr>
      <w:r>
        <w:rPr>
          <w:lang w:val="en-AU" w:eastAsia="en-AU"/>
        </w:rPr>
        <w:t xml:space="preserve">{{ai.f_controls_overview}} </w:t>
      </w:r>
    </w:p>
    <w:p>
      <w:pPr>
        <w:pStyle w:val="Heading02"/>
        <w:numPr>
          <w:ilvl w:val="1"/>
          <w:numId w:val="1"/>
        </w:numPr>
        <w:ind w:hanging="432" w:start="432"/>
        <w:rPr>
          <w:lang w:val="en-AU" w:eastAsia="en-AU"/>
        </w:rPr>
      </w:pPr>
      <w:bookmarkStart w:id="31" w:name="_Toc220351618"/>
      <w:r>
        <w:rPr>
          <w:lang w:val="en-AU" w:eastAsia="en-AU"/>
        </w:rPr>
        <w:t>C1 — Control Prioritisation and Approach</w:t>
      </w:r>
      <w:bookmarkEnd w:id="31"/>
    </w:p>
    <w:p>
      <w:pPr>
        <w:pStyle w:val="Normal"/>
        <w:rPr>
          <w:lang w:eastAsia="en-AU"/>
        </w:rPr>
      </w:pPr>
      <w:r>
        <w:rPr>
          <w:lang w:eastAsia="en-AU"/>
        </w:rPr>
        <w:t>This section outlines the approach used to prioritise controls and mitigation measures in response to the risks identified through the FAIRA assessment. Control prioritisation is based on a risk-informed methodology that considers the relative severity of identified risks, the effectiveness of existing controls, and the potential for proposed measures to reduce residual risk. The intent of this approach is to support proportionate and practical risk treatment rather than the uniform application of controls across all domains.</w:t>
      </w:r>
    </w:p>
    <w:p>
      <w:pPr>
        <w:pStyle w:val="Normal"/>
        <w:rPr>
          <w:lang w:eastAsia="en-AU"/>
        </w:rPr>
      </w:pPr>
      <w:r>
        <w:rPr>
          <w:lang w:eastAsia="en-AU"/>
        </w:rPr>
        <w:t xml:space="preserve">Control prioritisation for </w:t>
      </w:r>
      <w:r>
        <w:rPr>
          <w:b/>
          <w:bCs/>
          <w:lang w:eastAsia="en-AU"/>
        </w:rPr>
        <w:t>{{system_name}}</w:t>
      </w:r>
      <w:r>
        <w:rPr>
          <w:lang w:eastAsia="en-AU"/>
        </w:rPr>
        <w:t xml:space="preserve"> has been informed by the overall AI risk profile and the domains identified as top risk areas. Priority has been given to controls that address domains with higher residual risk, particularly where inherent risk remains elevated or where existing control effectiveness is comparatively lower. Consideration has also been given to the feasibility of implementation within the system's operating context, recognising dependencies on organisational maturity, system complexity, and deployment environment.</w:t>
      </w:r>
    </w:p>
    <w:p>
      <w:pPr>
        <w:pStyle w:val="Normal"/>
        <w:rPr>
          <w:lang w:eastAsia="en-AU"/>
        </w:rPr>
      </w:pPr>
      <w:r>
        <w:rPr>
          <w:lang w:eastAsia="en-AU"/>
        </w:rPr>
        <w:t>This prioritisation approach supports targeted risk reduction while maintaining alignment with organisational capabilities and constraints.</w:t>
      </w:r>
    </w:p>
    <w:p>
      <w:pPr>
        <w:pStyle w:val="Normal"/>
        <w:rPr>
          <w:lang w:val="en-AU" w:eastAsia="en-AU"/>
        </w:rPr>
      </w:pPr>
      <w:r>
        <w:rPr>
          <w:highlight w:val="yellow"/>
          <w:lang w:val="en-AU" w:eastAsia="en-AU"/>
        </w:rPr>
        <w:t>{{ai.f_control_prioritisation_rationale}}</w:t>
      </w:r>
    </w:p>
    <w:p>
      <w:pPr>
        <w:pStyle w:val="Heading02"/>
        <w:numPr>
          <w:ilvl w:val="1"/>
          <w:numId w:val="1"/>
        </w:numPr>
        <w:ind w:hanging="432" w:start="432"/>
        <w:rPr>
          <w:lang w:val="en-AU" w:eastAsia="en-AU"/>
        </w:rPr>
      </w:pPr>
      <w:bookmarkStart w:id="32" w:name="_Toc220351619"/>
      <w:r>
        <w:rPr>
          <w:lang w:val="en-AU" w:eastAsia="en-AU"/>
        </w:rPr>
        <w:t>C2 — Recommended Controls by Domain</w:t>
      </w:r>
      <w:bookmarkEnd w:id="32"/>
    </w:p>
    <w:p>
      <w:pPr>
        <w:pStyle w:val="Normal"/>
        <w:rPr>
          <w:lang w:eastAsia="en-AU"/>
        </w:rPr>
      </w:pPr>
      <w:r>
        <w:rPr>
          <w:lang w:eastAsia="en-AU"/>
        </w:rPr>
        <w:t>This section presents recommended controls and mitigation measures aligned to each FAIRA ethics domain. The recommendations are intended to address areas of elevated residual risk identified through the assessment and to strengthen existing governance, operational, and technical arrangements where appropriate. The controls described in this section are not mandatory requirements but represent proportionate measures that may be considered to reduce AI-related risk in the context of the assessed system.</w:t>
      </w:r>
    </w:p>
    <w:p>
      <w:pPr>
        <w:pStyle w:val="Normal"/>
        <w:rPr>
          <w:lang w:eastAsia="en-AU"/>
        </w:rPr>
      </w:pPr>
      <w:r>
        <w:rPr>
          <w:lang w:eastAsia="en-AU"/>
        </w:rPr>
        <w:t xml:space="preserve">Control recommendations for </w:t>
      </w:r>
      <w:r>
        <w:rPr>
          <w:b/>
          <w:bCs/>
          <w:lang w:eastAsia="en-AU"/>
        </w:rPr>
        <w:t>{{system_name}}</w:t>
      </w:r>
      <w:r>
        <w:rPr>
          <w:lang w:eastAsia="en-AU"/>
        </w:rPr>
        <w:t xml:space="preserve"> have been structured by FAIRA ethics domain to maintain a clear line of sight between identified risks and potential mitigation measures. Domains with higher residual risk have been prioritised in this section, with recommended controls selected based on their relevance to the system's operating context and their potential to reduce risk. Where existing controls are already in place, recommendations may focus on strengthening or formalising those arrangements rather than introducing new measures.</w:t>
      </w:r>
    </w:p>
    <w:p>
      <w:pPr>
        <w:pStyle w:val="Normal"/>
        <w:rPr>
          <w:lang w:eastAsia="en-AU"/>
        </w:rPr>
      </w:pPr>
      <w:r>
        <w:rPr>
          <w:lang w:eastAsia="en-AU"/>
        </w:rPr>
        <w:t>This approach supports targeted risk treatment and avoids unnecessary control duplication.</w:t>
      </w:r>
    </w:p>
    <w:p>
      <w:pPr>
        <w:pStyle w:val="Normal"/>
        <w:rPr>
          <w:b/>
          <w:bCs/>
          <w:i/>
          <w:iCs/>
          <w:lang w:eastAsia="en-AU"/>
        </w:rPr>
      </w:pPr>
      <w:r>
        <w:rPr>
          <w:b/>
          <w:bCs/>
          <w:lang w:eastAsia="en-AU"/>
        </w:rPr>
        <w:t>C2.1 — Accountability</w:t>
      </w:r>
    </w:p>
    <w:p>
      <w:pPr>
        <w:pStyle w:val="Normal"/>
        <w:rPr>
          <w:lang w:eastAsia="en-AU"/>
        </w:rPr>
      </w:pPr>
      <w:r>
        <w:rPr>
          <w:lang w:eastAsia="en-AU"/>
        </w:rPr>
        <w:t>The following recommended controls are intended to address risks identified within the Accountability domain.</w:t>
      </w:r>
    </w:p>
    <w:p>
      <w:pPr>
        <w:pStyle w:val="Normal"/>
        <w:rPr>
          <w:b/>
          <w:bCs/>
          <w:i/>
          <w:iCs/>
          <w:lang w:eastAsia="en-AU"/>
        </w:rPr>
      </w:pPr>
      <w:r>
        <w:rPr>
          <w:b/>
          <w:bCs/>
          <w:lang w:eastAsia="en-AU"/>
        </w:rPr>
        <w:t>Recommended Controls — Accountability</w:t>
      </w:r>
    </w:p>
    <w:tbl>
      <w:tblPr>
        <w:tblW w:w="5000" w:type="pct"/>
        <w:jc w:val="start"/>
        <w:tblInd w:w="0" w:type="dxa"/>
        <w:tblLayout w:type="fixed"/>
        <w:tblCellMar>
          <w:top w:w="43" w:type="dxa"/>
          <w:start w:w="43" w:type="dxa"/>
          <w:bottom w:w="43" w:type="dxa"/>
          <w:end w:w="43" w:type="dxa"/>
        </w:tblCellMar>
        <w:tblLook w:firstRow="1" w:noVBand="1" w:lastRow="0" w:firstColumn="1" w:lastColumn="0" w:noHBand="0" w:val="04a0"/>
      </w:tblPr>
      <w:tblGrid>
        <w:gridCol w:w="1513"/>
        <w:gridCol w:w="1114"/>
        <w:gridCol w:w="2052"/>
        <w:gridCol w:w="1441"/>
        <w:gridCol w:w="1443"/>
        <w:gridCol w:w="1463"/>
      </w:tblGrid>
      <w:tr>
        <w:trPr>
          <w:tblHeader w:val="true"/>
        </w:trPr>
        <w:tc>
          <w:tcPr>
            <w:tcW w:w="1513" w:type="dxa"/>
            <w:tcBorders>
              <w:top w:val="single" w:sz="4" w:space="0" w:color="000000"/>
              <w:start w:val="single" w:sz="4" w:space="0" w:color="000000"/>
              <w:bottom w:val="single" w:sz="4" w:space="0" w:color="000000"/>
              <w:end w:val="single" w:sz="4" w:space="0" w:color="000000"/>
            </w:tcBorders>
            <w:shd w:color="auto" w:fill="D9D9D9" w:themeFill="background1" w:themeFillShade="d9" w:val="clear"/>
          </w:tcPr>
          <w:p>
            <w:pPr>
              <w:pStyle w:val="Normal"/>
              <w:spacing w:before="0" w:after="160"/>
              <w:rPr>
                <w:b/>
                <w:bCs/>
                <w:sz w:val="18"/>
                <w:szCs w:val="18"/>
                <w:lang w:val="en-AU" w:eastAsia="en-AU"/>
              </w:rPr>
            </w:pPr>
            <w:r>
              <w:rPr>
                <w:b/>
                <w:bCs/>
                <w:sz w:val="18"/>
                <w:szCs w:val="18"/>
                <w:lang w:val="en-AU" w:eastAsia="en-AU"/>
              </w:rPr>
              <w:t>Control ID</w:t>
            </w:r>
          </w:p>
        </w:tc>
        <w:tc>
          <w:tcPr>
            <w:tcW w:w="1114" w:type="dxa"/>
            <w:tcBorders>
              <w:top w:val="single" w:sz="4" w:space="0" w:color="000000"/>
              <w:start w:val="single" w:sz="4" w:space="0" w:color="000000"/>
              <w:bottom w:val="single" w:sz="4" w:space="0" w:color="000000"/>
              <w:end w:val="single" w:sz="4" w:space="0" w:color="000000"/>
            </w:tcBorders>
            <w:shd w:color="auto" w:fill="D9D9D9" w:themeFill="background1" w:themeFillShade="d9" w:val="clear"/>
          </w:tcPr>
          <w:p>
            <w:pPr>
              <w:pStyle w:val="Normal"/>
              <w:spacing w:before="0" w:after="160"/>
              <w:rPr>
                <w:b/>
                <w:bCs/>
                <w:sz w:val="18"/>
                <w:szCs w:val="18"/>
                <w:lang w:val="en-AU" w:eastAsia="en-AU"/>
              </w:rPr>
            </w:pPr>
            <w:r>
              <w:rPr>
                <w:b/>
                <w:bCs/>
                <w:sz w:val="18"/>
                <w:szCs w:val="18"/>
                <w:lang w:val="en-AU" w:eastAsia="en-AU"/>
              </w:rPr>
              <w:t>Title</w:t>
            </w:r>
          </w:p>
        </w:tc>
        <w:tc>
          <w:tcPr>
            <w:tcW w:w="2052" w:type="dxa"/>
            <w:tcBorders>
              <w:top w:val="single" w:sz="4" w:space="0" w:color="000000"/>
              <w:start w:val="single" w:sz="4" w:space="0" w:color="000000"/>
              <w:bottom w:val="single" w:sz="4" w:space="0" w:color="000000"/>
              <w:end w:val="single" w:sz="4" w:space="0" w:color="000000"/>
            </w:tcBorders>
            <w:shd w:color="auto" w:fill="D9D9D9" w:themeFill="background1" w:themeFillShade="d9" w:val="clear"/>
          </w:tcPr>
          <w:p>
            <w:pPr>
              <w:pStyle w:val="Normal"/>
              <w:spacing w:before="0" w:after="160"/>
              <w:rPr>
                <w:b/>
                <w:bCs/>
                <w:sz w:val="18"/>
                <w:szCs w:val="18"/>
                <w:lang w:val="en-AU" w:eastAsia="en-AU"/>
              </w:rPr>
            </w:pPr>
            <w:r>
              <w:rPr>
                <w:b/>
                <w:bCs/>
                <w:sz w:val="18"/>
                <w:szCs w:val="18"/>
                <w:lang w:val="en-AU" w:eastAsia="en-AU"/>
              </w:rPr>
              <w:t>Details</w:t>
            </w:r>
          </w:p>
        </w:tc>
        <w:tc>
          <w:tcPr>
            <w:tcW w:w="1441" w:type="dxa"/>
            <w:tcBorders>
              <w:top w:val="single" w:sz="4" w:space="0" w:color="000000"/>
              <w:start w:val="single" w:sz="4" w:space="0" w:color="000000"/>
              <w:bottom w:val="single" w:sz="4" w:space="0" w:color="000000"/>
              <w:end w:val="single" w:sz="4" w:space="0" w:color="000000"/>
            </w:tcBorders>
            <w:shd w:color="auto" w:fill="D9D9D9" w:themeFill="background1" w:themeFillShade="d9" w:val="clear"/>
          </w:tcPr>
          <w:p>
            <w:pPr>
              <w:pStyle w:val="Normal"/>
              <w:spacing w:before="0" w:after="160"/>
              <w:rPr>
                <w:b/>
                <w:bCs/>
                <w:sz w:val="18"/>
                <w:szCs w:val="18"/>
                <w:lang w:val="en-AU" w:eastAsia="en-AU"/>
              </w:rPr>
            </w:pPr>
            <w:r>
              <w:rPr>
                <w:b/>
                <w:bCs/>
                <w:sz w:val="18"/>
                <w:szCs w:val="18"/>
                <w:lang w:val="en-AU" w:eastAsia="en-AU"/>
              </w:rPr>
              <w:t>Control Type</w:t>
            </w:r>
          </w:p>
        </w:tc>
        <w:tc>
          <w:tcPr>
            <w:tcW w:w="1443" w:type="dxa"/>
            <w:tcBorders>
              <w:top w:val="single" w:sz="4" w:space="0" w:color="000000"/>
              <w:start w:val="single" w:sz="4" w:space="0" w:color="000000"/>
              <w:bottom w:val="single" w:sz="4" w:space="0" w:color="000000"/>
              <w:end w:val="single" w:sz="4" w:space="0" w:color="000000"/>
            </w:tcBorders>
            <w:shd w:color="auto" w:fill="D9D9D9" w:themeFill="background1" w:themeFillShade="d9" w:val="clear"/>
          </w:tcPr>
          <w:p>
            <w:pPr>
              <w:pStyle w:val="Normal"/>
              <w:spacing w:before="0" w:after="160"/>
              <w:rPr>
                <w:b/>
                <w:bCs/>
                <w:sz w:val="18"/>
                <w:szCs w:val="18"/>
                <w:lang w:val="en-AU" w:eastAsia="en-AU"/>
              </w:rPr>
            </w:pPr>
            <w:r>
              <w:rPr>
                <w:b/>
                <w:bCs/>
                <w:sz w:val="18"/>
                <w:szCs w:val="18"/>
                <w:lang w:val="en-AU" w:eastAsia="en-AU"/>
              </w:rPr>
              <w:t>Implementation Effort</w:t>
            </w:r>
          </w:p>
        </w:tc>
        <w:tc>
          <w:tcPr>
            <w:tcW w:w="1463" w:type="dxa"/>
            <w:tcBorders>
              <w:top w:val="single" w:sz="4" w:space="0" w:color="000000"/>
              <w:start w:val="single" w:sz="4" w:space="0" w:color="000000"/>
              <w:bottom w:val="single" w:sz="4" w:space="0" w:color="000000"/>
              <w:end w:val="single" w:sz="4" w:space="0" w:color="000000"/>
            </w:tcBorders>
            <w:shd w:color="auto" w:fill="D9D9D9" w:themeFill="background1" w:themeFillShade="d9" w:val="clear"/>
          </w:tcPr>
          <w:p>
            <w:pPr>
              <w:pStyle w:val="Normal"/>
              <w:spacing w:before="0" w:after="160"/>
              <w:rPr>
                <w:b/>
                <w:bCs/>
                <w:sz w:val="18"/>
                <w:szCs w:val="18"/>
                <w:lang w:val="en-AU" w:eastAsia="en-AU"/>
              </w:rPr>
            </w:pPr>
            <w:r>
              <w:rPr>
                <w:b/>
                <w:bCs/>
                <w:sz w:val="18"/>
                <w:szCs w:val="18"/>
                <w:lang w:val="en-AU" w:eastAsia="en-AU"/>
              </w:rPr>
              <w:t>Implementation Horizon</w:t>
            </w:r>
          </w:p>
        </w:tc>
      </w:tr>
      <w:tr>
        <w:trPr/>
        <w:tc>
          <w:tcPr>
            <w:tcW w:w="1513" w:type="dxa"/>
            <w:tcBorders>
              <w:top w:val="single" w:sz="4" w:space="0" w:color="000000"/>
              <w:start w:val="single" w:sz="4" w:space="0" w:color="000000"/>
              <w:bottom w:val="single" w:sz="4" w:space="0" w:color="000000"/>
              <w:end w:val="single" w:sz="4" w:space="0" w:color="000000"/>
            </w:tcBorders>
          </w:tcPr>
          <w:p>
            <w:pPr>
              <w:pStyle w:val="Normal"/>
              <w:spacing w:before="0" w:after="160"/>
              <w:rPr>
                <w:sz w:val="16"/>
                <w:szCs w:val="16"/>
                <w:lang w:val="en-AU" w:eastAsia="en-AU"/>
              </w:rPr>
            </w:pPr>
            <w:r>
              <w:rPr>
                <w:sz w:val="16"/>
                <w:szCs w:val="16"/>
                <w:lang w:val="en-AU" w:eastAsia="en-AU"/>
              </w:rPr>
              <w:t>{%tr for control in recommended_controls_top3.Accountability %}</w:t>
            </w:r>
          </w:p>
        </w:tc>
        <w:tc>
          <w:tcPr>
            <w:tcW w:w="1114" w:type="dxa"/>
            <w:tcBorders>
              <w:top w:val="single" w:sz="4" w:space="0" w:color="000000"/>
              <w:start w:val="single" w:sz="4" w:space="0" w:color="000000"/>
              <w:bottom w:val="single" w:sz="4" w:space="0" w:color="000000"/>
              <w:end w:val="single" w:sz="4" w:space="0" w:color="000000"/>
            </w:tcBorders>
          </w:tcPr>
          <w:p>
            <w:pPr>
              <w:pStyle w:val="Normal"/>
              <w:spacing w:before="0" w:after="160"/>
              <w:rPr>
                <w:sz w:val="16"/>
                <w:szCs w:val="16"/>
                <w:lang w:val="en-AU" w:eastAsia="en-AU"/>
              </w:rPr>
            </w:pPr>
            <w:r>
              <w:rPr>
                <w:sz w:val="16"/>
                <w:szCs w:val="16"/>
                <w:lang w:val="en-AU" w:eastAsia="en-AU"/>
              </w:rPr>
            </w:r>
          </w:p>
        </w:tc>
        <w:tc>
          <w:tcPr>
            <w:tcW w:w="2052" w:type="dxa"/>
            <w:tcBorders>
              <w:top w:val="single" w:sz="4" w:space="0" w:color="000000"/>
              <w:start w:val="single" w:sz="4" w:space="0" w:color="000000"/>
              <w:bottom w:val="single" w:sz="4" w:space="0" w:color="000000"/>
              <w:end w:val="single" w:sz="4" w:space="0" w:color="000000"/>
            </w:tcBorders>
          </w:tcPr>
          <w:p>
            <w:pPr>
              <w:pStyle w:val="Normal"/>
              <w:spacing w:before="0" w:after="160"/>
              <w:rPr>
                <w:sz w:val="16"/>
                <w:szCs w:val="16"/>
                <w:lang w:val="en-AU" w:eastAsia="en-AU"/>
              </w:rPr>
            </w:pPr>
            <w:r>
              <w:rPr>
                <w:sz w:val="16"/>
                <w:szCs w:val="16"/>
                <w:lang w:val="en-AU" w:eastAsia="en-AU"/>
              </w:rPr>
            </w:r>
          </w:p>
        </w:tc>
        <w:tc>
          <w:tcPr>
            <w:tcW w:w="1441" w:type="dxa"/>
            <w:tcBorders>
              <w:top w:val="single" w:sz="4" w:space="0" w:color="000000"/>
              <w:start w:val="single" w:sz="4" w:space="0" w:color="000000"/>
              <w:bottom w:val="single" w:sz="4" w:space="0" w:color="000000"/>
              <w:end w:val="single" w:sz="4" w:space="0" w:color="000000"/>
            </w:tcBorders>
          </w:tcPr>
          <w:p>
            <w:pPr>
              <w:pStyle w:val="Normal"/>
              <w:spacing w:before="0" w:after="160"/>
              <w:rPr>
                <w:sz w:val="16"/>
                <w:szCs w:val="16"/>
                <w:lang w:val="en-AU" w:eastAsia="en-AU"/>
              </w:rPr>
            </w:pPr>
            <w:r>
              <w:rPr>
                <w:sz w:val="16"/>
                <w:szCs w:val="16"/>
                <w:lang w:val="en-AU" w:eastAsia="en-AU"/>
              </w:rPr>
            </w:r>
          </w:p>
        </w:tc>
        <w:tc>
          <w:tcPr>
            <w:tcW w:w="1443" w:type="dxa"/>
            <w:tcBorders>
              <w:top w:val="single" w:sz="4" w:space="0" w:color="000000"/>
              <w:start w:val="single" w:sz="4" w:space="0" w:color="000000"/>
              <w:bottom w:val="single" w:sz="4" w:space="0" w:color="000000"/>
              <w:end w:val="single" w:sz="4" w:space="0" w:color="000000"/>
            </w:tcBorders>
          </w:tcPr>
          <w:p>
            <w:pPr>
              <w:pStyle w:val="Normal"/>
              <w:spacing w:before="0" w:after="160"/>
              <w:rPr>
                <w:sz w:val="16"/>
                <w:szCs w:val="16"/>
                <w:lang w:val="en-AU" w:eastAsia="en-AU"/>
              </w:rPr>
            </w:pPr>
            <w:r>
              <w:rPr>
                <w:sz w:val="16"/>
                <w:szCs w:val="16"/>
                <w:lang w:val="en-AU" w:eastAsia="en-AU"/>
              </w:rPr>
            </w:r>
          </w:p>
        </w:tc>
        <w:tc>
          <w:tcPr>
            <w:tcW w:w="1463" w:type="dxa"/>
            <w:tcBorders>
              <w:top w:val="single" w:sz="4" w:space="0" w:color="000000"/>
              <w:start w:val="single" w:sz="4" w:space="0" w:color="000000"/>
              <w:bottom w:val="single" w:sz="4" w:space="0" w:color="000000"/>
              <w:end w:val="single" w:sz="4" w:space="0" w:color="000000"/>
            </w:tcBorders>
          </w:tcPr>
          <w:p>
            <w:pPr>
              <w:pStyle w:val="Normal"/>
              <w:spacing w:before="0" w:after="160"/>
              <w:rPr>
                <w:sz w:val="16"/>
                <w:szCs w:val="16"/>
                <w:lang w:val="en-AU" w:eastAsia="en-AU"/>
              </w:rPr>
            </w:pPr>
            <w:r>
              <w:rPr>
                <w:sz w:val="16"/>
                <w:szCs w:val="16"/>
                <w:lang w:val="en-AU" w:eastAsia="en-AU"/>
              </w:rPr>
            </w:r>
          </w:p>
        </w:tc>
      </w:tr>
      <w:tr>
        <w:trPr/>
        <w:tc>
          <w:tcPr>
            <w:tcW w:w="1513" w:type="dxa"/>
            <w:tcBorders>
              <w:top w:val="single" w:sz="4" w:space="0" w:color="000000"/>
              <w:start w:val="single" w:sz="4" w:space="0" w:color="000000"/>
              <w:bottom w:val="single" w:sz="4" w:space="0" w:color="000000"/>
              <w:end w:val="single" w:sz="4" w:space="0" w:color="000000"/>
            </w:tcBorders>
          </w:tcPr>
          <w:p>
            <w:pPr>
              <w:pStyle w:val="Normal"/>
              <w:spacing w:before="0" w:after="160"/>
              <w:rPr>
                <w:sz w:val="16"/>
                <w:szCs w:val="16"/>
                <w:lang w:val="en-AU" w:eastAsia="en-AU"/>
              </w:rPr>
            </w:pPr>
            <w:r>
              <w:rPr>
                <w:sz w:val="16"/>
                <w:szCs w:val="16"/>
                <w:lang w:val="en-AU" w:eastAsia="en-AU"/>
              </w:rPr>
              <w:t>{{control.control_id}}</w:t>
            </w:r>
          </w:p>
        </w:tc>
        <w:tc>
          <w:tcPr>
            <w:tcW w:w="1114" w:type="dxa"/>
            <w:tcBorders>
              <w:top w:val="single" w:sz="4" w:space="0" w:color="000000"/>
              <w:start w:val="single" w:sz="4" w:space="0" w:color="000000"/>
              <w:bottom w:val="single" w:sz="4" w:space="0" w:color="000000"/>
              <w:end w:val="single" w:sz="4" w:space="0" w:color="000000"/>
            </w:tcBorders>
          </w:tcPr>
          <w:p>
            <w:pPr>
              <w:pStyle w:val="Normal"/>
              <w:spacing w:before="0" w:after="160"/>
              <w:rPr>
                <w:sz w:val="16"/>
                <w:szCs w:val="16"/>
                <w:lang w:val="en-AU" w:eastAsia="en-AU"/>
              </w:rPr>
            </w:pPr>
            <w:r>
              <w:rPr>
                <w:sz w:val="16"/>
                <w:szCs w:val="16"/>
                <w:lang w:val="en-AU" w:eastAsia="en-AU"/>
              </w:rPr>
              <w:t>{{control.title}}</w:t>
            </w:r>
          </w:p>
        </w:tc>
        <w:tc>
          <w:tcPr>
            <w:tcW w:w="2052" w:type="dxa"/>
            <w:tcBorders>
              <w:top w:val="single" w:sz="4" w:space="0" w:color="000000"/>
              <w:start w:val="single" w:sz="4" w:space="0" w:color="000000"/>
              <w:bottom w:val="single" w:sz="4" w:space="0" w:color="000000"/>
              <w:end w:val="single" w:sz="4" w:space="0" w:color="000000"/>
            </w:tcBorders>
          </w:tcPr>
          <w:p>
            <w:pPr>
              <w:pStyle w:val="Normal"/>
              <w:spacing w:before="0" w:after="160"/>
              <w:rPr>
                <w:sz w:val="16"/>
                <w:szCs w:val="16"/>
                <w:lang w:val="en-AU" w:eastAsia="en-AU"/>
              </w:rPr>
            </w:pPr>
            <w:r>
              <w:rPr>
                <w:sz w:val="16"/>
                <w:szCs w:val="16"/>
                <w:lang w:eastAsia="en-AU"/>
              </w:rPr>
              <w:t>{{control.detailed_description}}</w:t>
            </w:r>
          </w:p>
        </w:tc>
        <w:tc>
          <w:tcPr>
            <w:tcW w:w="1441" w:type="dxa"/>
            <w:tcBorders>
              <w:top w:val="single" w:sz="4" w:space="0" w:color="000000"/>
              <w:start w:val="single" w:sz="4" w:space="0" w:color="000000"/>
              <w:bottom w:val="single" w:sz="4" w:space="0" w:color="000000"/>
              <w:end w:val="single" w:sz="4" w:space="0" w:color="000000"/>
            </w:tcBorders>
          </w:tcPr>
          <w:p>
            <w:pPr>
              <w:pStyle w:val="Normal"/>
              <w:spacing w:before="0" w:after="160"/>
              <w:rPr>
                <w:sz w:val="16"/>
                <w:szCs w:val="16"/>
                <w:lang w:val="en-AU" w:eastAsia="en-AU"/>
              </w:rPr>
            </w:pPr>
            <w:r>
              <w:rPr>
                <w:sz w:val="16"/>
                <w:szCs w:val="16"/>
                <w:lang w:val="en-AU" w:eastAsia="en-AU"/>
              </w:rPr>
              <w:t>{{control.control_type}}</w:t>
            </w:r>
          </w:p>
        </w:tc>
        <w:tc>
          <w:tcPr>
            <w:tcW w:w="1443" w:type="dxa"/>
            <w:tcBorders>
              <w:top w:val="single" w:sz="4" w:space="0" w:color="000000"/>
              <w:start w:val="single" w:sz="4" w:space="0" w:color="000000"/>
              <w:bottom w:val="single" w:sz="4" w:space="0" w:color="000000"/>
              <w:end w:val="single" w:sz="4" w:space="0" w:color="000000"/>
            </w:tcBorders>
          </w:tcPr>
          <w:p>
            <w:pPr>
              <w:pStyle w:val="Normal"/>
              <w:spacing w:before="0" w:after="160"/>
              <w:rPr>
                <w:sz w:val="16"/>
                <w:szCs w:val="16"/>
                <w:lang w:val="en-AU" w:eastAsia="en-AU"/>
              </w:rPr>
            </w:pPr>
            <w:r>
              <w:rPr>
                <w:sz w:val="16"/>
                <w:szCs w:val="16"/>
                <w:lang w:val="en-AU" w:eastAsia="en-AU"/>
              </w:rPr>
              <w:t>{{control.implementation_effort}}</w:t>
            </w:r>
          </w:p>
        </w:tc>
        <w:tc>
          <w:tcPr>
            <w:tcW w:w="1463" w:type="dxa"/>
            <w:tcBorders>
              <w:top w:val="single" w:sz="4" w:space="0" w:color="000000"/>
              <w:start w:val="single" w:sz="4" w:space="0" w:color="000000"/>
              <w:bottom w:val="single" w:sz="4" w:space="0" w:color="000000"/>
              <w:end w:val="single" w:sz="4" w:space="0" w:color="000000"/>
            </w:tcBorders>
          </w:tcPr>
          <w:p>
            <w:pPr>
              <w:pStyle w:val="Normal"/>
              <w:spacing w:before="0" w:after="160"/>
              <w:rPr>
                <w:sz w:val="16"/>
                <w:szCs w:val="16"/>
                <w:lang w:val="en-AU" w:eastAsia="en-AU"/>
              </w:rPr>
            </w:pPr>
            <w:r>
              <w:rPr>
                <w:sz w:val="16"/>
                <w:szCs w:val="16"/>
                <w:lang w:val="en-AU" w:eastAsia="en-AU"/>
              </w:rPr>
              <w:t>{{control.implementation_horizon}}</w:t>
            </w:r>
          </w:p>
        </w:tc>
      </w:tr>
      <w:tr>
        <w:trPr/>
        <w:tc>
          <w:tcPr>
            <w:tcW w:w="1513" w:type="dxa"/>
            <w:tcBorders>
              <w:top w:val="single" w:sz="4" w:space="0" w:color="000000"/>
              <w:start w:val="single" w:sz="4" w:space="0" w:color="000000"/>
              <w:bottom w:val="single" w:sz="4" w:space="0" w:color="000000"/>
              <w:end w:val="single" w:sz="4" w:space="0" w:color="000000"/>
            </w:tcBorders>
          </w:tcPr>
          <w:p>
            <w:pPr>
              <w:pStyle w:val="Normal"/>
              <w:spacing w:before="0" w:after="160"/>
              <w:rPr>
                <w:sz w:val="16"/>
                <w:szCs w:val="16"/>
                <w:lang w:val="en-AU" w:eastAsia="en-AU"/>
              </w:rPr>
            </w:pPr>
            <w:r>
              <w:rPr>
                <w:sz w:val="16"/>
                <w:szCs w:val="16"/>
                <w:lang w:val="en-AU" w:eastAsia="en-AU"/>
              </w:rPr>
              <w:t>{%tr endfor %}</w:t>
            </w:r>
          </w:p>
        </w:tc>
        <w:tc>
          <w:tcPr>
            <w:tcW w:w="1114" w:type="dxa"/>
            <w:tcBorders>
              <w:top w:val="single" w:sz="4" w:space="0" w:color="000000"/>
              <w:start w:val="single" w:sz="4" w:space="0" w:color="000000"/>
              <w:bottom w:val="single" w:sz="4" w:space="0" w:color="000000"/>
              <w:end w:val="single" w:sz="4" w:space="0" w:color="000000"/>
            </w:tcBorders>
          </w:tcPr>
          <w:p>
            <w:pPr>
              <w:pStyle w:val="Normal"/>
              <w:spacing w:before="0" w:after="160"/>
              <w:rPr>
                <w:sz w:val="16"/>
                <w:szCs w:val="16"/>
                <w:lang w:val="en-AU" w:eastAsia="en-AU"/>
              </w:rPr>
            </w:pPr>
            <w:r>
              <w:rPr>
                <w:sz w:val="16"/>
                <w:szCs w:val="16"/>
                <w:lang w:val="en-AU" w:eastAsia="en-AU"/>
              </w:rPr>
            </w:r>
          </w:p>
        </w:tc>
        <w:tc>
          <w:tcPr>
            <w:tcW w:w="2052" w:type="dxa"/>
            <w:tcBorders>
              <w:top w:val="single" w:sz="4" w:space="0" w:color="000000"/>
              <w:start w:val="single" w:sz="4" w:space="0" w:color="000000"/>
              <w:bottom w:val="single" w:sz="4" w:space="0" w:color="000000"/>
              <w:end w:val="single" w:sz="4" w:space="0" w:color="000000"/>
            </w:tcBorders>
          </w:tcPr>
          <w:p>
            <w:pPr>
              <w:pStyle w:val="Normal"/>
              <w:spacing w:before="0" w:after="160"/>
              <w:rPr>
                <w:sz w:val="16"/>
                <w:szCs w:val="16"/>
                <w:lang w:val="en-AU" w:eastAsia="en-AU"/>
              </w:rPr>
            </w:pPr>
            <w:r>
              <w:rPr>
                <w:sz w:val="16"/>
                <w:szCs w:val="16"/>
                <w:lang w:val="en-AU" w:eastAsia="en-AU"/>
              </w:rPr>
            </w:r>
          </w:p>
        </w:tc>
        <w:tc>
          <w:tcPr>
            <w:tcW w:w="1441" w:type="dxa"/>
            <w:tcBorders>
              <w:top w:val="single" w:sz="4" w:space="0" w:color="000000"/>
              <w:start w:val="single" w:sz="4" w:space="0" w:color="000000"/>
              <w:bottom w:val="single" w:sz="4" w:space="0" w:color="000000"/>
              <w:end w:val="single" w:sz="4" w:space="0" w:color="000000"/>
            </w:tcBorders>
          </w:tcPr>
          <w:p>
            <w:pPr>
              <w:pStyle w:val="Normal"/>
              <w:spacing w:before="0" w:after="160"/>
              <w:rPr>
                <w:sz w:val="16"/>
                <w:szCs w:val="16"/>
                <w:lang w:val="en-AU" w:eastAsia="en-AU"/>
              </w:rPr>
            </w:pPr>
            <w:r>
              <w:rPr>
                <w:sz w:val="16"/>
                <w:szCs w:val="16"/>
                <w:lang w:val="en-AU" w:eastAsia="en-AU"/>
              </w:rPr>
            </w:r>
          </w:p>
        </w:tc>
        <w:tc>
          <w:tcPr>
            <w:tcW w:w="1443" w:type="dxa"/>
            <w:tcBorders>
              <w:top w:val="single" w:sz="4" w:space="0" w:color="000000"/>
              <w:start w:val="single" w:sz="4" w:space="0" w:color="000000"/>
              <w:bottom w:val="single" w:sz="4" w:space="0" w:color="000000"/>
              <w:end w:val="single" w:sz="4" w:space="0" w:color="000000"/>
            </w:tcBorders>
          </w:tcPr>
          <w:p>
            <w:pPr>
              <w:pStyle w:val="Normal"/>
              <w:spacing w:before="0" w:after="160"/>
              <w:rPr>
                <w:sz w:val="16"/>
                <w:szCs w:val="16"/>
                <w:lang w:val="en-AU" w:eastAsia="en-AU"/>
              </w:rPr>
            </w:pPr>
            <w:r>
              <w:rPr>
                <w:sz w:val="16"/>
                <w:szCs w:val="16"/>
                <w:lang w:val="en-AU" w:eastAsia="en-AU"/>
              </w:rPr>
            </w:r>
          </w:p>
        </w:tc>
        <w:tc>
          <w:tcPr>
            <w:tcW w:w="1463" w:type="dxa"/>
            <w:tcBorders>
              <w:top w:val="single" w:sz="4" w:space="0" w:color="000000"/>
              <w:start w:val="single" w:sz="4" w:space="0" w:color="000000"/>
              <w:bottom w:val="single" w:sz="4" w:space="0" w:color="000000"/>
              <w:end w:val="single" w:sz="4" w:space="0" w:color="000000"/>
            </w:tcBorders>
          </w:tcPr>
          <w:p>
            <w:pPr>
              <w:pStyle w:val="Normal"/>
              <w:spacing w:before="0" w:after="160"/>
              <w:rPr>
                <w:sz w:val="16"/>
                <w:szCs w:val="16"/>
                <w:lang w:val="en-AU" w:eastAsia="en-AU"/>
              </w:rPr>
            </w:pPr>
            <w:r>
              <w:rPr>
                <w:sz w:val="16"/>
                <w:szCs w:val="16"/>
                <w:lang w:val="en-AU" w:eastAsia="en-AU"/>
              </w:rPr>
            </w:r>
          </w:p>
        </w:tc>
      </w:tr>
    </w:tbl>
    <w:p>
      <w:pPr>
        <w:pStyle w:val="Normal"/>
        <w:rPr>
          <w:lang w:val="en-AU" w:eastAsia="en-AU"/>
        </w:rPr>
      </w:pPr>
      <w:r>
        <w:rPr>
          <w:lang w:val="en-AU" w:eastAsia="en-AU"/>
        </w:rPr>
      </w:r>
    </w:p>
    <w:p>
      <w:pPr>
        <w:pStyle w:val="Normal"/>
        <w:rPr>
          <w:b/>
          <w:bCs/>
          <w:lang w:eastAsia="en-AU"/>
        </w:rPr>
      </w:pPr>
      <w:r>
        <w:rPr>
          <w:b/>
          <w:bCs/>
          <w:lang w:eastAsia="en-AU"/>
        </w:rPr>
        <w:t>Domain Control Rationale</w:t>
      </w:r>
    </w:p>
    <w:p>
      <w:pPr>
        <w:pStyle w:val="Normal"/>
        <w:rPr>
          <w:lang w:val="en-AU" w:eastAsia="en-AU"/>
        </w:rPr>
      </w:pPr>
      <w:r>
        <w:rPr>
          <w:lang w:val="en-AU" w:eastAsia="en-AU"/>
        </w:rPr>
        <w:t>{{ai.f_domain_b1_controls_rationale}}</w:t>
      </w:r>
    </w:p>
    <w:p>
      <w:pPr>
        <w:pStyle w:val="Normal"/>
        <w:rPr>
          <w:lang w:val="en-AU" w:eastAsia="en-AU"/>
        </w:rPr>
      </w:pPr>
      <w:r>
        <w:rPr>
          <w:lang w:val="en-AU" w:eastAsia="en-AU"/>
        </w:rPr>
      </w:r>
    </w:p>
    <w:p>
      <w:pPr>
        <w:pStyle w:val="Normal"/>
        <w:rPr>
          <w:b/>
          <w:bCs/>
          <w:i/>
          <w:iCs/>
          <w:lang w:eastAsia="en-AU"/>
        </w:rPr>
      </w:pPr>
      <w:r>
        <w:rPr>
          <w:b/>
          <w:bCs/>
          <w:lang w:eastAsia="en-AU"/>
        </w:rPr>
        <w:t>C2.2 — Contestability</w:t>
      </w:r>
    </w:p>
    <w:p>
      <w:pPr>
        <w:pStyle w:val="Normal"/>
        <w:rPr>
          <w:lang w:eastAsia="en-AU"/>
        </w:rPr>
      </w:pPr>
      <w:r>
        <w:rPr>
          <w:lang w:eastAsia="en-AU"/>
        </w:rPr>
        <w:t>The following recommended controls are intended to address risks identified within the Contestability domain.</w:t>
      </w:r>
    </w:p>
    <w:p>
      <w:pPr>
        <w:pStyle w:val="Normal"/>
        <w:rPr>
          <w:b/>
          <w:bCs/>
          <w:i/>
          <w:iCs/>
          <w:lang w:eastAsia="en-AU"/>
        </w:rPr>
      </w:pPr>
      <w:r>
        <w:rPr>
          <w:b/>
          <w:bCs/>
          <w:lang w:eastAsia="en-AU"/>
        </w:rPr>
        <w:t>Recommended Controls — Contestability</w:t>
      </w:r>
    </w:p>
    <w:tbl>
      <w:tblPr>
        <w:tblW w:w="5000" w:type="pct"/>
        <w:jc w:val="start"/>
        <w:tblInd w:w="0" w:type="dxa"/>
        <w:tblLayout w:type="fixed"/>
        <w:tblCellMar>
          <w:top w:w="43" w:type="dxa"/>
          <w:start w:w="43" w:type="dxa"/>
          <w:bottom w:w="43" w:type="dxa"/>
          <w:end w:w="43" w:type="dxa"/>
        </w:tblCellMar>
        <w:tblLook w:firstRow="1" w:noVBand="1" w:lastRow="0" w:firstColumn="1" w:lastColumn="0" w:noHBand="0" w:val="04a0"/>
      </w:tblPr>
      <w:tblGrid>
        <w:gridCol w:w="1513"/>
        <w:gridCol w:w="1114"/>
        <w:gridCol w:w="2052"/>
        <w:gridCol w:w="1441"/>
        <w:gridCol w:w="1443"/>
        <w:gridCol w:w="1463"/>
      </w:tblGrid>
      <w:tr>
        <w:trPr>
          <w:tblHeader w:val="true"/>
        </w:trPr>
        <w:tc>
          <w:tcPr>
            <w:tcW w:w="1513" w:type="dxa"/>
            <w:tcBorders>
              <w:top w:val="single" w:sz="4" w:space="0" w:color="000000"/>
              <w:start w:val="single" w:sz="4" w:space="0" w:color="000000"/>
              <w:bottom w:val="single" w:sz="4" w:space="0" w:color="000000"/>
              <w:end w:val="single" w:sz="4" w:space="0" w:color="000000"/>
            </w:tcBorders>
            <w:shd w:color="auto" w:fill="D9D9D9" w:themeFill="background1" w:themeFillShade="d9" w:val="clear"/>
          </w:tcPr>
          <w:p>
            <w:pPr>
              <w:pStyle w:val="Normal"/>
              <w:spacing w:before="0" w:after="160"/>
              <w:rPr>
                <w:b/>
                <w:bCs/>
                <w:sz w:val="18"/>
                <w:szCs w:val="18"/>
                <w:lang w:val="en-AU" w:eastAsia="en-AU"/>
              </w:rPr>
            </w:pPr>
            <w:r>
              <w:rPr>
                <w:b/>
                <w:bCs/>
                <w:sz w:val="18"/>
                <w:szCs w:val="18"/>
                <w:lang w:val="en-AU" w:eastAsia="en-AU"/>
              </w:rPr>
              <w:t>Control ID</w:t>
            </w:r>
          </w:p>
        </w:tc>
        <w:tc>
          <w:tcPr>
            <w:tcW w:w="1114" w:type="dxa"/>
            <w:tcBorders>
              <w:top w:val="single" w:sz="4" w:space="0" w:color="000000"/>
              <w:start w:val="single" w:sz="4" w:space="0" w:color="000000"/>
              <w:bottom w:val="single" w:sz="4" w:space="0" w:color="000000"/>
              <w:end w:val="single" w:sz="4" w:space="0" w:color="000000"/>
            </w:tcBorders>
            <w:shd w:color="auto" w:fill="D9D9D9" w:themeFill="background1" w:themeFillShade="d9" w:val="clear"/>
          </w:tcPr>
          <w:p>
            <w:pPr>
              <w:pStyle w:val="Normal"/>
              <w:spacing w:before="0" w:after="160"/>
              <w:rPr>
                <w:b/>
                <w:bCs/>
                <w:sz w:val="18"/>
                <w:szCs w:val="18"/>
                <w:lang w:val="en-AU" w:eastAsia="en-AU"/>
              </w:rPr>
            </w:pPr>
            <w:r>
              <w:rPr>
                <w:b/>
                <w:bCs/>
                <w:sz w:val="18"/>
                <w:szCs w:val="18"/>
                <w:lang w:val="en-AU" w:eastAsia="en-AU"/>
              </w:rPr>
              <w:t>Title</w:t>
            </w:r>
          </w:p>
        </w:tc>
        <w:tc>
          <w:tcPr>
            <w:tcW w:w="2052" w:type="dxa"/>
            <w:tcBorders>
              <w:top w:val="single" w:sz="4" w:space="0" w:color="000000"/>
              <w:start w:val="single" w:sz="4" w:space="0" w:color="000000"/>
              <w:bottom w:val="single" w:sz="4" w:space="0" w:color="000000"/>
              <w:end w:val="single" w:sz="4" w:space="0" w:color="000000"/>
            </w:tcBorders>
            <w:shd w:color="auto" w:fill="D9D9D9" w:themeFill="background1" w:themeFillShade="d9" w:val="clear"/>
          </w:tcPr>
          <w:p>
            <w:pPr>
              <w:pStyle w:val="Normal"/>
              <w:spacing w:before="0" w:after="160"/>
              <w:rPr>
                <w:b/>
                <w:bCs/>
                <w:sz w:val="18"/>
                <w:szCs w:val="18"/>
                <w:lang w:val="en-AU" w:eastAsia="en-AU"/>
              </w:rPr>
            </w:pPr>
            <w:r>
              <w:rPr>
                <w:b/>
                <w:bCs/>
                <w:sz w:val="18"/>
                <w:szCs w:val="18"/>
                <w:lang w:val="en-AU" w:eastAsia="en-AU"/>
              </w:rPr>
              <w:t>Details</w:t>
            </w:r>
          </w:p>
        </w:tc>
        <w:tc>
          <w:tcPr>
            <w:tcW w:w="1441" w:type="dxa"/>
            <w:tcBorders>
              <w:top w:val="single" w:sz="4" w:space="0" w:color="000000"/>
              <w:start w:val="single" w:sz="4" w:space="0" w:color="000000"/>
              <w:bottom w:val="single" w:sz="4" w:space="0" w:color="000000"/>
              <w:end w:val="single" w:sz="4" w:space="0" w:color="000000"/>
            </w:tcBorders>
            <w:shd w:color="auto" w:fill="D9D9D9" w:themeFill="background1" w:themeFillShade="d9" w:val="clear"/>
          </w:tcPr>
          <w:p>
            <w:pPr>
              <w:pStyle w:val="Normal"/>
              <w:spacing w:before="0" w:after="160"/>
              <w:rPr>
                <w:b/>
                <w:bCs/>
                <w:sz w:val="18"/>
                <w:szCs w:val="18"/>
                <w:lang w:val="en-AU" w:eastAsia="en-AU"/>
              </w:rPr>
            </w:pPr>
            <w:r>
              <w:rPr>
                <w:b/>
                <w:bCs/>
                <w:sz w:val="18"/>
                <w:szCs w:val="18"/>
                <w:lang w:val="en-AU" w:eastAsia="en-AU"/>
              </w:rPr>
              <w:t>Control Type</w:t>
            </w:r>
          </w:p>
        </w:tc>
        <w:tc>
          <w:tcPr>
            <w:tcW w:w="1443" w:type="dxa"/>
            <w:tcBorders>
              <w:top w:val="single" w:sz="4" w:space="0" w:color="000000"/>
              <w:start w:val="single" w:sz="4" w:space="0" w:color="000000"/>
              <w:bottom w:val="single" w:sz="4" w:space="0" w:color="000000"/>
              <w:end w:val="single" w:sz="4" w:space="0" w:color="000000"/>
            </w:tcBorders>
            <w:shd w:color="auto" w:fill="D9D9D9" w:themeFill="background1" w:themeFillShade="d9" w:val="clear"/>
          </w:tcPr>
          <w:p>
            <w:pPr>
              <w:pStyle w:val="Normal"/>
              <w:spacing w:before="0" w:after="160"/>
              <w:rPr>
                <w:b/>
                <w:bCs/>
                <w:sz w:val="18"/>
                <w:szCs w:val="18"/>
                <w:lang w:val="en-AU" w:eastAsia="en-AU"/>
              </w:rPr>
            </w:pPr>
            <w:r>
              <w:rPr>
                <w:b/>
                <w:bCs/>
                <w:sz w:val="18"/>
                <w:szCs w:val="18"/>
                <w:lang w:val="en-AU" w:eastAsia="en-AU"/>
              </w:rPr>
              <w:t>Implementation Effort</w:t>
            </w:r>
          </w:p>
        </w:tc>
        <w:tc>
          <w:tcPr>
            <w:tcW w:w="1463" w:type="dxa"/>
            <w:tcBorders>
              <w:top w:val="single" w:sz="4" w:space="0" w:color="000000"/>
              <w:start w:val="single" w:sz="4" w:space="0" w:color="000000"/>
              <w:bottom w:val="single" w:sz="4" w:space="0" w:color="000000"/>
              <w:end w:val="single" w:sz="4" w:space="0" w:color="000000"/>
            </w:tcBorders>
            <w:shd w:color="auto" w:fill="D9D9D9" w:themeFill="background1" w:themeFillShade="d9" w:val="clear"/>
          </w:tcPr>
          <w:p>
            <w:pPr>
              <w:pStyle w:val="Normal"/>
              <w:spacing w:before="0" w:after="160"/>
              <w:rPr>
                <w:b/>
                <w:bCs/>
                <w:sz w:val="18"/>
                <w:szCs w:val="18"/>
                <w:lang w:val="en-AU" w:eastAsia="en-AU"/>
              </w:rPr>
            </w:pPr>
            <w:r>
              <w:rPr>
                <w:b/>
                <w:bCs/>
                <w:sz w:val="18"/>
                <w:szCs w:val="18"/>
                <w:lang w:val="en-AU" w:eastAsia="en-AU"/>
              </w:rPr>
              <w:t>Implementation Horizon</w:t>
            </w:r>
          </w:p>
        </w:tc>
      </w:tr>
      <w:tr>
        <w:trPr/>
        <w:tc>
          <w:tcPr>
            <w:tcW w:w="1513" w:type="dxa"/>
            <w:tcBorders>
              <w:top w:val="single" w:sz="4" w:space="0" w:color="000000"/>
              <w:start w:val="single" w:sz="4" w:space="0" w:color="000000"/>
              <w:bottom w:val="single" w:sz="4" w:space="0" w:color="000000"/>
              <w:end w:val="single" w:sz="4" w:space="0" w:color="000000"/>
            </w:tcBorders>
          </w:tcPr>
          <w:p>
            <w:pPr>
              <w:pStyle w:val="Normal"/>
              <w:spacing w:before="0" w:after="160"/>
              <w:rPr>
                <w:sz w:val="16"/>
                <w:szCs w:val="16"/>
                <w:lang w:val="en-AU" w:eastAsia="en-AU"/>
              </w:rPr>
            </w:pPr>
            <w:r>
              <w:rPr>
                <w:sz w:val="16"/>
                <w:szCs w:val="16"/>
                <w:lang w:val="en-AU" w:eastAsia="en-AU"/>
              </w:rPr>
              <w:t>{%tr for control in recommended_controls_top3.Contestability %}</w:t>
            </w:r>
          </w:p>
        </w:tc>
        <w:tc>
          <w:tcPr>
            <w:tcW w:w="1114" w:type="dxa"/>
            <w:tcBorders>
              <w:top w:val="single" w:sz="4" w:space="0" w:color="000000"/>
              <w:start w:val="single" w:sz="4" w:space="0" w:color="000000"/>
              <w:bottom w:val="single" w:sz="4" w:space="0" w:color="000000"/>
              <w:end w:val="single" w:sz="4" w:space="0" w:color="000000"/>
            </w:tcBorders>
          </w:tcPr>
          <w:p>
            <w:pPr>
              <w:pStyle w:val="Normal"/>
              <w:spacing w:before="0" w:after="160"/>
              <w:rPr>
                <w:sz w:val="16"/>
                <w:szCs w:val="16"/>
                <w:lang w:val="en-AU" w:eastAsia="en-AU"/>
              </w:rPr>
            </w:pPr>
            <w:r>
              <w:rPr>
                <w:sz w:val="16"/>
                <w:szCs w:val="16"/>
                <w:lang w:val="en-AU" w:eastAsia="en-AU"/>
              </w:rPr>
            </w:r>
          </w:p>
        </w:tc>
        <w:tc>
          <w:tcPr>
            <w:tcW w:w="2052" w:type="dxa"/>
            <w:tcBorders>
              <w:top w:val="single" w:sz="4" w:space="0" w:color="000000"/>
              <w:start w:val="single" w:sz="4" w:space="0" w:color="000000"/>
              <w:bottom w:val="single" w:sz="4" w:space="0" w:color="000000"/>
              <w:end w:val="single" w:sz="4" w:space="0" w:color="000000"/>
            </w:tcBorders>
          </w:tcPr>
          <w:p>
            <w:pPr>
              <w:pStyle w:val="Normal"/>
              <w:spacing w:before="0" w:after="160"/>
              <w:rPr>
                <w:sz w:val="16"/>
                <w:szCs w:val="16"/>
                <w:lang w:val="en-AU" w:eastAsia="en-AU"/>
              </w:rPr>
            </w:pPr>
            <w:r>
              <w:rPr>
                <w:sz w:val="16"/>
                <w:szCs w:val="16"/>
                <w:lang w:val="en-AU" w:eastAsia="en-AU"/>
              </w:rPr>
            </w:r>
          </w:p>
        </w:tc>
        <w:tc>
          <w:tcPr>
            <w:tcW w:w="1441" w:type="dxa"/>
            <w:tcBorders>
              <w:top w:val="single" w:sz="4" w:space="0" w:color="000000"/>
              <w:start w:val="single" w:sz="4" w:space="0" w:color="000000"/>
              <w:bottom w:val="single" w:sz="4" w:space="0" w:color="000000"/>
              <w:end w:val="single" w:sz="4" w:space="0" w:color="000000"/>
            </w:tcBorders>
          </w:tcPr>
          <w:p>
            <w:pPr>
              <w:pStyle w:val="Normal"/>
              <w:spacing w:before="0" w:after="160"/>
              <w:rPr>
                <w:sz w:val="16"/>
                <w:szCs w:val="16"/>
                <w:lang w:val="en-AU" w:eastAsia="en-AU"/>
              </w:rPr>
            </w:pPr>
            <w:r>
              <w:rPr>
                <w:sz w:val="16"/>
                <w:szCs w:val="16"/>
                <w:lang w:val="en-AU" w:eastAsia="en-AU"/>
              </w:rPr>
            </w:r>
          </w:p>
        </w:tc>
        <w:tc>
          <w:tcPr>
            <w:tcW w:w="1443" w:type="dxa"/>
            <w:tcBorders>
              <w:top w:val="single" w:sz="4" w:space="0" w:color="000000"/>
              <w:start w:val="single" w:sz="4" w:space="0" w:color="000000"/>
              <w:bottom w:val="single" w:sz="4" w:space="0" w:color="000000"/>
              <w:end w:val="single" w:sz="4" w:space="0" w:color="000000"/>
            </w:tcBorders>
          </w:tcPr>
          <w:p>
            <w:pPr>
              <w:pStyle w:val="Normal"/>
              <w:spacing w:before="0" w:after="160"/>
              <w:rPr>
                <w:sz w:val="16"/>
                <w:szCs w:val="16"/>
                <w:lang w:val="en-AU" w:eastAsia="en-AU"/>
              </w:rPr>
            </w:pPr>
            <w:r>
              <w:rPr>
                <w:sz w:val="16"/>
                <w:szCs w:val="16"/>
                <w:lang w:val="en-AU" w:eastAsia="en-AU"/>
              </w:rPr>
            </w:r>
          </w:p>
        </w:tc>
        <w:tc>
          <w:tcPr>
            <w:tcW w:w="1463" w:type="dxa"/>
            <w:tcBorders>
              <w:top w:val="single" w:sz="4" w:space="0" w:color="000000"/>
              <w:start w:val="single" w:sz="4" w:space="0" w:color="000000"/>
              <w:bottom w:val="single" w:sz="4" w:space="0" w:color="000000"/>
              <w:end w:val="single" w:sz="4" w:space="0" w:color="000000"/>
            </w:tcBorders>
          </w:tcPr>
          <w:p>
            <w:pPr>
              <w:pStyle w:val="Normal"/>
              <w:spacing w:before="0" w:after="160"/>
              <w:rPr>
                <w:sz w:val="16"/>
                <w:szCs w:val="16"/>
                <w:lang w:val="en-AU" w:eastAsia="en-AU"/>
              </w:rPr>
            </w:pPr>
            <w:r>
              <w:rPr>
                <w:sz w:val="16"/>
                <w:szCs w:val="16"/>
                <w:lang w:val="en-AU" w:eastAsia="en-AU"/>
              </w:rPr>
            </w:r>
          </w:p>
        </w:tc>
      </w:tr>
      <w:tr>
        <w:trPr/>
        <w:tc>
          <w:tcPr>
            <w:tcW w:w="1513" w:type="dxa"/>
            <w:tcBorders>
              <w:top w:val="single" w:sz="4" w:space="0" w:color="000000"/>
              <w:start w:val="single" w:sz="4" w:space="0" w:color="000000"/>
              <w:bottom w:val="single" w:sz="4" w:space="0" w:color="000000"/>
              <w:end w:val="single" w:sz="4" w:space="0" w:color="000000"/>
            </w:tcBorders>
          </w:tcPr>
          <w:p>
            <w:pPr>
              <w:pStyle w:val="Normal"/>
              <w:spacing w:before="0" w:after="160"/>
              <w:rPr>
                <w:sz w:val="16"/>
                <w:szCs w:val="16"/>
                <w:lang w:val="en-AU" w:eastAsia="en-AU"/>
              </w:rPr>
            </w:pPr>
            <w:r>
              <w:rPr>
                <w:sz w:val="16"/>
                <w:szCs w:val="16"/>
                <w:lang w:val="en-AU" w:eastAsia="en-AU"/>
              </w:rPr>
              <w:t>{{control.control_id}}</w:t>
            </w:r>
          </w:p>
        </w:tc>
        <w:tc>
          <w:tcPr>
            <w:tcW w:w="1114" w:type="dxa"/>
            <w:tcBorders>
              <w:top w:val="single" w:sz="4" w:space="0" w:color="000000"/>
              <w:start w:val="single" w:sz="4" w:space="0" w:color="000000"/>
              <w:bottom w:val="single" w:sz="4" w:space="0" w:color="000000"/>
              <w:end w:val="single" w:sz="4" w:space="0" w:color="000000"/>
            </w:tcBorders>
          </w:tcPr>
          <w:p>
            <w:pPr>
              <w:pStyle w:val="Normal"/>
              <w:spacing w:before="0" w:after="160"/>
              <w:rPr>
                <w:sz w:val="16"/>
                <w:szCs w:val="16"/>
                <w:lang w:val="en-AU" w:eastAsia="en-AU"/>
              </w:rPr>
            </w:pPr>
            <w:r>
              <w:rPr>
                <w:sz w:val="16"/>
                <w:szCs w:val="16"/>
                <w:lang w:val="en-AU" w:eastAsia="en-AU"/>
              </w:rPr>
              <w:t>{{control.title}}</w:t>
            </w:r>
          </w:p>
        </w:tc>
        <w:tc>
          <w:tcPr>
            <w:tcW w:w="2052" w:type="dxa"/>
            <w:tcBorders>
              <w:top w:val="single" w:sz="4" w:space="0" w:color="000000"/>
              <w:start w:val="single" w:sz="4" w:space="0" w:color="000000"/>
              <w:bottom w:val="single" w:sz="4" w:space="0" w:color="000000"/>
              <w:end w:val="single" w:sz="4" w:space="0" w:color="000000"/>
            </w:tcBorders>
          </w:tcPr>
          <w:p>
            <w:pPr>
              <w:pStyle w:val="Normal"/>
              <w:spacing w:before="0" w:after="160"/>
              <w:rPr>
                <w:sz w:val="16"/>
                <w:szCs w:val="16"/>
                <w:lang w:val="en-AU" w:eastAsia="en-AU"/>
              </w:rPr>
            </w:pPr>
            <w:r>
              <w:rPr>
                <w:sz w:val="16"/>
                <w:szCs w:val="16"/>
                <w:lang w:eastAsia="en-AU"/>
              </w:rPr>
              <w:t>{{control.detailed_description}}</w:t>
            </w:r>
          </w:p>
        </w:tc>
        <w:tc>
          <w:tcPr>
            <w:tcW w:w="1441" w:type="dxa"/>
            <w:tcBorders>
              <w:top w:val="single" w:sz="4" w:space="0" w:color="000000"/>
              <w:start w:val="single" w:sz="4" w:space="0" w:color="000000"/>
              <w:bottom w:val="single" w:sz="4" w:space="0" w:color="000000"/>
              <w:end w:val="single" w:sz="4" w:space="0" w:color="000000"/>
            </w:tcBorders>
          </w:tcPr>
          <w:p>
            <w:pPr>
              <w:pStyle w:val="Normal"/>
              <w:spacing w:before="0" w:after="160"/>
              <w:rPr>
                <w:sz w:val="16"/>
                <w:szCs w:val="16"/>
                <w:lang w:val="en-AU" w:eastAsia="en-AU"/>
              </w:rPr>
            </w:pPr>
            <w:r>
              <w:rPr>
                <w:sz w:val="16"/>
                <w:szCs w:val="16"/>
                <w:lang w:val="en-AU" w:eastAsia="en-AU"/>
              </w:rPr>
              <w:t>{{control.control_type}}</w:t>
            </w:r>
          </w:p>
        </w:tc>
        <w:tc>
          <w:tcPr>
            <w:tcW w:w="1443" w:type="dxa"/>
            <w:tcBorders>
              <w:top w:val="single" w:sz="4" w:space="0" w:color="000000"/>
              <w:start w:val="single" w:sz="4" w:space="0" w:color="000000"/>
              <w:bottom w:val="single" w:sz="4" w:space="0" w:color="000000"/>
              <w:end w:val="single" w:sz="4" w:space="0" w:color="000000"/>
            </w:tcBorders>
          </w:tcPr>
          <w:p>
            <w:pPr>
              <w:pStyle w:val="Normal"/>
              <w:spacing w:before="0" w:after="160"/>
              <w:rPr>
                <w:sz w:val="16"/>
                <w:szCs w:val="16"/>
                <w:lang w:val="en-AU" w:eastAsia="en-AU"/>
              </w:rPr>
            </w:pPr>
            <w:r>
              <w:rPr>
                <w:sz w:val="16"/>
                <w:szCs w:val="16"/>
                <w:lang w:val="en-AU" w:eastAsia="en-AU"/>
              </w:rPr>
              <w:t>{{control.implementation_effort}}</w:t>
            </w:r>
          </w:p>
        </w:tc>
        <w:tc>
          <w:tcPr>
            <w:tcW w:w="1463" w:type="dxa"/>
            <w:tcBorders>
              <w:top w:val="single" w:sz="4" w:space="0" w:color="000000"/>
              <w:start w:val="single" w:sz="4" w:space="0" w:color="000000"/>
              <w:bottom w:val="single" w:sz="4" w:space="0" w:color="000000"/>
              <w:end w:val="single" w:sz="4" w:space="0" w:color="000000"/>
            </w:tcBorders>
          </w:tcPr>
          <w:p>
            <w:pPr>
              <w:pStyle w:val="Normal"/>
              <w:spacing w:before="0" w:after="160"/>
              <w:rPr>
                <w:sz w:val="16"/>
                <w:szCs w:val="16"/>
                <w:lang w:val="en-AU" w:eastAsia="en-AU"/>
              </w:rPr>
            </w:pPr>
            <w:r>
              <w:rPr>
                <w:sz w:val="16"/>
                <w:szCs w:val="16"/>
                <w:lang w:val="en-AU" w:eastAsia="en-AU"/>
              </w:rPr>
              <w:t>{{control.implementation_horizon}}</w:t>
            </w:r>
          </w:p>
        </w:tc>
      </w:tr>
      <w:tr>
        <w:trPr/>
        <w:tc>
          <w:tcPr>
            <w:tcW w:w="1513" w:type="dxa"/>
            <w:tcBorders>
              <w:top w:val="single" w:sz="4" w:space="0" w:color="000000"/>
              <w:start w:val="single" w:sz="4" w:space="0" w:color="000000"/>
              <w:bottom w:val="single" w:sz="4" w:space="0" w:color="000000"/>
              <w:end w:val="single" w:sz="4" w:space="0" w:color="000000"/>
            </w:tcBorders>
          </w:tcPr>
          <w:p>
            <w:pPr>
              <w:pStyle w:val="Normal"/>
              <w:spacing w:before="0" w:after="160"/>
              <w:rPr>
                <w:sz w:val="16"/>
                <w:szCs w:val="16"/>
                <w:lang w:val="en-AU" w:eastAsia="en-AU"/>
              </w:rPr>
            </w:pPr>
            <w:r>
              <w:rPr>
                <w:sz w:val="16"/>
                <w:szCs w:val="16"/>
                <w:lang w:val="en-AU" w:eastAsia="en-AU"/>
              </w:rPr>
              <w:t>{%tr endfor %}</w:t>
            </w:r>
          </w:p>
        </w:tc>
        <w:tc>
          <w:tcPr>
            <w:tcW w:w="1114" w:type="dxa"/>
            <w:tcBorders>
              <w:top w:val="single" w:sz="4" w:space="0" w:color="000000"/>
              <w:start w:val="single" w:sz="4" w:space="0" w:color="000000"/>
              <w:bottom w:val="single" w:sz="4" w:space="0" w:color="000000"/>
              <w:end w:val="single" w:sz="4" w:space="0" w:color="000000"/>
            </w:tcBorders>
          </w:tcPr>
          <w:p>
            <w:pPr>
              <w:pStyle w:val="Normal"/>
              <w:spacing w:before="0" w:after="160"/>
              <w:rPr>
                <w:sz w:val="16"/>
                <w:szCs w:val="16"/>
                <w:lang w:val="en-AU" w:eastAsia="en-AU"/>
              </w:rPr>
            </w:pPr>
            <w:r>
              <w:rPr>
                <w:sz w:val="16"/>
                <w:szCs w:val="16"/>
                <w:lang w:val="en-AU" w:eastAsia="en-AU"/>
              </w:rPr>
            </w:r>
          </w:p>
        </w:tc>
        <w:tc>
          <w:tcPr>
            <w:tcW w:w="2052" w:type="dxa"/>
            <w:tcBorders>
              <w:top w:val="single" w:sz="4" w:space="0" w:color="000000"/>
              <w:start w:val="single" w:sz="4" w:space="0" w:color="000000"/>
              <w:bottom w:val="single" w:sz="4" w:space="0" w:color="000000"/>
              <w:end w:val="single" w:sz="4" w:space="0" w:color="000000"/>
            </w:tcBorders>
          </w:tcPr>
          <w:p>
            <w:pPr>
              <w:pStyle w:val="Normal"/>
              <w:spacing w:before="0" w:after="160"/>
              <w:rPr>
                <w:sz w:val="16"/>
                <w:szCs w:val="16"/>
                <w:lang w:val="en-AU" w:eastAsia="en-AU"/>
              </w:rPr>
            </w:pPr>
            <w:r>
              <w:rPr>
                <w:sz w:val="16"/>
                <w:szCs w:val="16"/>
                <w:lang w:val="en-AU" w:eastAsia="en-AU"/>
              </w:rPr>
            </w:r>
          </w:p>
        </w:tc>
        <w:tc>
          <w:tcPr>
            <w:tcW w:w="1441" w:type="dxa"/>
            <w:tcBorders>
              <w:top w:val="single" w:sz="4" w:space="0" w:color="000000"/>
              <w:start w:val="single" w:sz="4" w:space="0" w:color="000000"/>
              <w:bottom w:val="single" w:sz="4" w:space="0" w:color="000000"/>
              <w:end w:val="single" w:sz="4" w:space="0" w:color="000000"/>
            </w:tcBorders>
          </w:tcPr>
          <w:p>
            <w:pPr>
              <w:pStyle w:val="Normal"/>
              <w:spacing w:before="0" w:after="160"/>
              <w:rPr>
                <w:sz w:val="16"/>
                <w:szCs w:val="16"/>
                <w:lang w:val="en-AU" w:eastAsia="en-AU"/>
              </w:rPr>
            </w:pPr>
            <w:r>
              <w:rPr>
                <w:sz w:val="16"/>
                <w:szCs w:val="16"/>
                <w:lang w:val="en-AU" w:eastAsia="en-AU"/>
              </w:rPr>
            </w:r>
          </w:p>
        </w:tc>
        <w:tc>
          <w:tcPr>
            <w:tcW w:w="1443" w:type="dxa"/>
            <w:tcBorders>
              <w:top w:val="single" w:sz="4" w:space="0" w:color="000000"/>
              <w:start w:val="single" w:sz="4" w:space="0" w:color="000000"/>
              <w:bottom w:val="single" w:sz="4" w:space="0" w:color="000000"/>
              <w:end w:val="single" w:sz="4" w:space="0" w:color="000000"/>
            </w:tcBorders>
          </w:tcPr>
          <w:p>
            <w:pPr>
              <w:pStyle w:val="Normal"/>
              <w:spacing w:before="0" w:after="160"/>
              <w:rPr>
                <w:sz w:val="16"/>
                <w:szCs w:val="16"/>
                <w:lang w:val="en-AU" w:eastAsia="en-AU"/>
              </w:rPr>
            </w:pPr>
            <w:r>
              <w:rPr>
                <w:sz w:val="16"/>
                <w:szCs w:val="16"/>
                <w:lang w:val="en-AU" w:eastAsia="en-AU"/>
              </w:rPr>
            </w:r>
          </w:p>
        </w:tc>
        <w:tc>
          <w:tcPr>
            <w:tcW w:w="1463" w:type="dxa"/>
            <w:tcBorders>
              <w:top w:val="single" w:sz="4" w:space="0" w:color="000000"/>
              <w:start w:val="single" w:sz="4" w:space="0" w:color="000000"/>
              <w:bottom w:val="single" w:sz="4" w:space="0" w:color="000000"/>
              <w:end w:val="single" w:sz="4" w:space="0" w:color="000000"/>
            </w:tcBorders>
          </w:tcPr>
          <w:p>
            <w:pPr>
              <w:pStyle w:val="Normal"/>
              <w:spacing w:before="0" w:after="160"/>
              <w:rPr>
                <w:sz w:val="16"/>
                <w:szCs w:val="16"/>
                <w:lang w:val="en-AU" w:eastAsia="en-AU"/>
              </w:rPr>
            </w:pPr>
            <w:r>
              <w:rPr>
                <w:sz w:val="16"/>
                <w:szCs w:val="16"/>
                <w:lang w:val="en-AU" w:eastAsia="en-AU"/>
              </w:rPr>
            </w:r>
          </w:p>
        </w:tc>
      </w:tr>
    </w:tbl>
    <w:p>
      <w:pPr>
        <w:pStyle w:val="Normal"/>
        <w:rPr>
          <w:lang w:val="en-AU" w:eastAsia="en-AU"/>
        </w:rPr>
      </w:pPr>
      <w:r>
        <w:rPr>
          <w:lang w:val="en-AU" w:eastAsia="en-AU"/>
        </w:rPr>
      </w:r>
    </w:p>
    <w:p>
      <w:pPr>
        <w:pStyle w:val="Normal"/>
        <w:rPr>
          <w:b/>
          <w:bCs/>
          <w:lang w:eastAsia="en-AU"/>
        </w:rPr>
      </w:pPr>
      <w:r>
        <w:rPr>
          <w:b/>
          <w:bCs/>
          <w:lang w:eastAsia="en-AU"/>
        </w:rPr>
        <w:t>Domain Control Rationale</w:t>
      </w:r>
    </w:p>
    <w:p>
      <w:pPr>
        <w:pStyle w:val="Normal"/>
        <w:rPr>
          <w:lang w:val="en-AU" w:eastAsia="en-AU"/>
        </w:rPr>
      </w:pPr>
      <w:r>
        <w:rPr>
          <w:lang w:val="en-AU" w:eastAsia="en-AU"/>
        </w:rPr>
        <w:t>{{ai.f_domain_b2_controls_rationale}}</w:t>
      </w:r>
    </w:p>
    <w:p>
      <w:pPr>
        <w:pStyle w:val="Normal"/>
        <w:rPr>
          <w:lang w:val="en-AU" w:eastAsia="en-AU"/>
        </w:rPr>
      </w:pPr>
      <w:r>
        <w:rPr>
          <w:lang w:val="en-AU" w:eastAsia="en-AU"/>
        </w:rPr>
      </w:r>
    </w:p>
    <w:p>
      <w:pPr>
        <w:pStyle w:val="Normal"/>
        <w:rPr>
          <w:b/>
          <w:bCs/>
          <w:i/>
          <w:iCs/>
          <w:lang w:eastAsia="en-AU"/>
        </w:rPr>
      </w:pPr>
      <w:r>
        <w:rPr>
          <w:b/>
          <w:bCs/>
          <w:lang w:eastAsia="en-AU"/>
        </w:rPr>
        <w:t>C2.3 — Fairness</w:t>
      </w:r>
    </w:p>
    <w:p>
      <w:pPr>
        <w:pStyle w:val="Normal"/>
        <w:rPr>
          <w:lang w:eastAsia="en-AU"/>
        </w:rPr>
      </w:pPr>
      <w:r>
        <w:rPr>
          <w:lang w:eastAsia="en-AU"/>
        </w:rPr>
        <w:t>The following recommended controls are intended to address risks identified within the Fairness domain.</w:t>
      </w:r>
    </w:p>
    <w:p>
      <w:pPr>
        <w:pStyle w:val="Normal"/>
        <w:rPr>
          <w:b/>
          <w:bCs/>
          <w:i/>
          <w:iCs/>
          <w:lang w:eastAsia="en-AU"/>
        </w:rPr>
      </w:pPr>
      <w:r>
        <w:rPr>
          <w:b/>
          <w:bCs/>
          <w:lang w:eastAsia="en-AU"/>
        </w:rPr>
        <w:t>Recommended Controls — Fairness</w:t>
      </w:r>
    </w:p>
    <w:tbl>
      <w:tblPr>
        <w:tblW w:w="5000" w:type="pct"/>
        <w:jc w:val="start"/>
        <w:tblInd w:w="0" w:type="dxa"/>
        <w:tblLayout w:type="fixed"/>
        <w:tblCellMar>
          <w:top w:w="43" w:type="dxa"/>
          <w:start w:w="43" w:type="dxa"/>
          <w:bottom w:w="43" w:type="dxa"/>
          <w:end w:w="43" w:type="dxa"/>
        </w:tblCellMar>
        <w:tblLook w:firstRow="1" w:noVBand="1" w:lastRow="0" w:firstColumn="1" w:lastColumn="0" w:noHBand="0" w:val="04a0"/>
      </w:tblPr>
      <w:tblGrid>
        <w:gridCol w:w="1513"/>
        <w:gridCol w:w="1114"/>
        <w:gridCol w:w="2052"/>
        <w:gridCol w:w="1441"/>
        <w:gridCol w:w="1443"/>
        <w:gridCol w:w="1463"/>
      </w:tblGrid>
      <w:tr>
        <w:trPr>
          <w:tblHeader w:val="true"/>
        </w:trPr>
        <w:tc>
          <w:tcPr>
            <w:tcW w:w="1513" w:type="dxa"/>
            <w:tcBorders>
              <w:top w:val="single" w:sz="4" w:space="0" w:color="000000"/>
              <w:start w:val="single" w:sz="4" w:space="0" w:color="000000"/>
              <w:bottom w:val="single" w:sz="4" w:space="0" w:color="000000"/>
              <w:end w:val="single" w:sz="4" w:space="0" w:color="000000"/>
            </w:tcBorders>
            <w:shd w:color="auto" w:fill="D9D9D9" w:themeFill="background1" w:themeFillShade="d9" w:val="clear"/>
          </w:tcPr>
          <w:p>
            <w:pPr>
              <w:pStyle w:val="Normal"/>
              <w:spacing w:before="0" w:after="160"/>
              <w:rPr>
                <w:b/>
                <w:bCs/>
                <w:sz w:val="18"/>
                <w:szCs w:val="18"/>
                <w:lang w:val="en-AU" w:eastAsia="en-AU"/>
              </w:rPr>
            </w:pPr>
            <w:r>
              <w:rPr>
                <w:b/>
                <w:bCs/>
                <w:sz w:val="18"/>
                <w:szCs w:val="18"/>
                <w:lang w:val="en-AU" w:eastAsia="en-AU"/>
              </w:rPr>
              <w:t>Control ID</w:t>
            </w:r>
          </w:p>
        </w:tc>
        <w:tc>
          <w:tcPr>
            <w:tcW w:w="1114" w:type="dxa"/>
            <w:tcBorders>
              <w:top w:val="single" w:sz="4" w:space="0" w:color="000000"/>
              <w:start w:val="single" w:sz="4" w:space="0" w:color="000000"/>
              <w:bottom w:val="single" w:sz="4" w:space="0" w:color="000000"/>
              <w:end w:val="single" w:sz="4" w:space="0" w:color="000000"/>
            </w:tcBorders>
            <w:shd w:color="auto" w:fill="D9D9D9" w:themeFill="background1" w:themeFillShade="d9" w:val="clear"/>
          </w:tcPr>
          <w:p>
            <w:pPr>
              <w:pStyle w:val="Normal"/>
              <w:spacing w:before="0" w:after="160"/>
              <w:rPr>
                <w:b/>
                <w:bCs/>
                <w:sz w:val="18"/>
                <w:szCs w:val="18"/>
                <w:lang w:val="en-AU" w:eastAsia="en-AU"/>
              </w:rPr>
            </w:pPr>
            <w:r>
              <w:rPr>
                <w:b/>
                <w:bCs/>
                <w:sz w:val="18"/>
                <w:szCs w:val="18"/>
                <w:lang w:val="en-AU" w:eastAsia="en-AU"/>
              </w:rPr>
              <w:t>Title</w:t>
            </w:r>
          </w:p>
        </w:tc>
        <w:tc>
          <w:tcPr>
            <w:tcW w:w="2052" w:type="dxa"/>
            <w:tcBorders>
              <w:top w:val="single" w:sz="4" w:space="0" w:color="000000"/>
              <w:start w:val="single" w:sz="4" w:space="0" w:color="000000"/>
              <w:bottom w:val="single" w:sz="4" w:space="0" w:color="000000"/>
              <w:end w:val="single" w:sz="4" w:space="0" w:color="000000"/>
            </w:tcBorders>
            <w:shd w:color="auto" w:fill="D9D9D9" w:themeFill="background1" w:themeFillShade="d9" w:val="clear"/>
          </w:tcPr>
          <w:p>
            <w:pPr>
              <w:pStyle w:val="Normal"/>
              <w:spacing w:before="0" w:after="160"/>
              <w:rPr>
                <w:b/>
                <w:bCs/>
                <w:sz w:val="18"/>
                <w:szCs w:val="18"/>
                <w:lang w:val="en-AU" w:eastAsia="en-AU"/>
              </w:rPr>
            </w:pPr>
            <w:r>
              <w:rPr>
                <w:b/>
                <w:bCs/>
                <w:sz w:val="18"/>
                <w:szCs w:val="18"/>
                <w:lang w:val="en-AU" w:eastAsia="en-AU"/>
              </w:rPr>
              <w:t>Details</w:t>
            </w:r>
          </w:p>
        </w:tc>
        <w:tc>
          <w:tcPr>
            <w:tcW w:w="1441" w:type="dxa"/>
            <w:tcBorders>
              <w:top w:val="single" w:sz="4" w:space="0" w:color="000000"/>
              <w:start w:val="single" w:sz="4" w:space="0" w:color="000000"/>
              <w:bottom w:val="single" w:sz="4" w:space="0" w:color="000000"/>
              <w:end w:val="single" w:sz="4" w:space="0" w:color="000000"/>
            </w:tcBorders>
            <w:shd w:color="auto" w:fill="D9D9D9" w:themeFill="background1" w:themeFillShade="d9" w:val="clear"/>
          </w:tcPr>
          <w:p>
            <w:pPr>
              <w:pStyle w:val="Normal"/>
              <w:spacing w:before="0" w:after="160"/>
              <w:rPr>
                <w:b/>
                <w:bCs/>
                <w:sz w:val="18"/>
                <w:szCs w:val="18"/>
                <w:lang w:val="en-AU" w:eastAsia="en-AU"/>
              </w:rPr>
            </w:pPr>
            <w:r>
              <w:rPr>
                <w:b/>
                <w:bCs/>
                <w:sz w:val="18"/>
                <w:szCs w:val="18"/>
                <w:lang w:val="en-AU" w:eastAsia="en-AU"/>
              </w:rPr>
              <w:t>Control Type</w:t>
            </w:r>
          </w:p>
        </w:tc>
        <w:tc>
          <w:tcPr>
            <w:tcW w:w="1443" w:type="dxa"/>
            <w:tcBorders>
              <w:top w:val="single" w:sz="4" w:space="0" w:color="000000"/>
              <w:start w:val="single" w:sz="4" w:space="0" w:color="000000"/>
              <w:bottom w:val="single" w:sz="4" w:space="0" w:color="000000"/>
              <w:end w:val="single" w:sz="4" w:space="0" w:color="000000"/>
            </w:tcBorders>
            <w:shd w:color="auto" w:fill="D9D9D9" w:themeFill="background1" w:themeFillShade="d9" w:val="clear"/>
          </w:tcPr>
          <w:p>
            <w:pPr>
              <w:pStyle w:val="Normal"/>
              <w:spacing w:before="0" w:after="160"/>
              <w:rPr>
                <w:b/>
                <w:bCs/>
                <w:sz w:val="18"/>
                <w:szCs w:val="18"/>
                <w:lang w:val="en-AU" w:eastAsia="en-AU"/>
              </w:rPr>
            </w:pPr>
            <w:r>
              <w:rPr>
                <w:b/>
                <w:bCs/>
                <w:sz w:val="18"/>
                <w:szCs w:val="18"/>
                <w:lang w:val="en-AU" w:eastAsia="en-AU"/>
              </w:rPr>
              <w:t>Implementation Effort</w:t>
            </w:r>
          </w:p>
        </w:tc>
        <w:tc>
          <w:tcPr>
            <w:tcW w:w="1463" w:type="dxa"/>
            <w:tcBorders>
              <w:top w:val="single" w:sz="4" w:space="0" w:color="000000"/>
              <w:start w:val="single" w:sz="4" w:space="0" w:color="000000"/>
              <w:bottom w:val="single" w:sz="4" w:space="0" w:color="000000"/>
              <w:end w:val="single" w:sz="4" w:space="0" w:color="000000"/>
            </w:tcBorders>
            <w:shd w:color="auto" w:fill="D9D9D9" w:themeFill="background1" w:themeFillShade="d9" w:val="clear"/>
          </w:tcPr>
          <w:p>
            <w:pPr>
              <w:pStyle w:val="Normal"/>
              <w:spacing w:before="0" w:after="160"/>
              <w:rPr>
                <w:b/>
                <w:bCs/>
                <w:sz w:val="18"/>
                <w:szCs w:val="18"/>
                <w:lang w:val="en-AU" w:eastAsia="en-AU"/>
              </w:rPr>
            </w:pPr>
            <w:r>
              <w:rPr>
                <w:b/>
                <w:bCs/>
                <w:sz w:val="18"/>
                <w:szCs w:val="18"/>
                <w:lang w:val="en-AU" w:eastAsia="en-AU"/>
              </w:rPr>
              <w:t>Implementation Horizon</w:t>
            </w:r>
          </w:p>
        </w:tc>
      </w:tr>
      <w:tr>
        <w:trPr/>
        <w:tc>
          <w:tcPr>
            <w:tcW w:w="1513" w:type="dxa"/>
            <w:tcBorders>
              <w:top w:val="single" w:sz="4" w:space="0" w:color="000000"/>
              <w:start w:val="single" w:sz="4" w:space="0" w:color="000000"/>
              <w:bottom w:val="single" w:sz="4" w:space="0" w:color="000000"/>
              <w:end w:val="single" w:sz="4" w:space="0" w:color="000000"/>
            </w:tcBorders>
          </w:tcPr>
          <w:p>
            <w:pPr>
              <w:pStyle w:val="Normal"/>
              <w:spacing w:before="0" w:after="160"/>
              <w:rPr>
                <w:sz w:val="16"/>
                <w:szCs w:val="16"/>
                <w:lang w:val="en-AU" w:eastAsia="en-AU"/>
              </w:rPr>
            </w:pPr>
            <w:r>
              <w:rPr>
                <w:sz w:val="16"/>
                <w:szCs w:val="16"/>
                <w:lang w:val="en-AU" w:eastAsia="en-AU"/>
              </w:rPr>
              <w:t>{%tr for control in recommended_controls_top3.Fairness %}</w:t>
            </w:r>
          </w:p>
        </w:tc>
        <w:tc>
          <w:tcPr>
            <w:tcW w:w="1114" w:type="dxa"/>
            <w:tcBorders>
              <w:top w:val="single" w:sz="4" w:space="0" w:color="000000"/>
              <w:start w:val="single" w:sz="4" w:space="0" w:color="000000"/>
              <w:bottom w:val="single" w:sz="4" w:space="0" w:color="000000"/>
              <w:end w:val="single" w:sz="4" w:space="0" w:color="000000"/>
            </w:tcBorders>
          </w:tcPr>
          <w:p>
            <w:pPr>
              <w:pStyle w:val="Normal"/>
              <w:spacing w:before="0" w:after="160"/>
              <w:rPr>
                <w:sz w:val="16"/>
                <w:szCs w:val="16"/>
                <w:lang w:val="en-AU" w:eastAsia="en-AU"/>
              </w:rPr>
            </w:pPr>
            <w:r>
              <w:rPr>
                <w:sz w:val="16"/>
                <w:szCs w:val="16"/>
                <w:lang w:val="en-AU" w:eastAsia="en-AU"/>
              </w:rPr>
            </w:r>
          </w:p>
        </w:tc>
        <w:tc>
          <w:tcPr>
            <w:tcW w:w="2052" w:type="dxa"/>
            <w:tcBorders>
              <w:top w:val="single" w:sz="4" w:space="0" w:color="000000"/>
              <w:start w:val="single" w:sz="4" w:space="0" w:color="000000"/>
              <w:bottom w:val="single" w:sz="4" w:space="0" w:color="000000"/>
              <w:end w:val="single" w:sz="4" w:space="0" w:color="000000"/>
            </w:tcBorders>
          </w:tcPr>
          <w:p>
            <w:pPr>
              <w:pStyle w:val="Normal"/>
              <w:spacing w:before="0" w:after="160"/>
              <w:rPr>
                <w:sz w:val="16"/>
                <w:szCs w:val="16"/>
                <w:lang w:val="en-AU" w:eastAsia="en-AU"/>
              </w:rPr>
            </w:pPr>
            <w:r>
              <w:rPr>
                <w:sz w:val="16"/>
                <w:szCs w:val="16"/>
                <w:lang w:val="en-AU" w:eastAsia="en-AU"/>
              </w:rPr>
            </w:r>
          </w:p>
        </w:tc>
        <w:tc>
          <w:tcPr>
            <w:tcW w:w="1441" w:type="dxa"/>
            <w:tcBorders>
              <w:top w:val="single" w:sz="4" w:space="0" w:color="000000"/>
              <w:start w:val="single" w:sz="4" w:space="0" w:color="000000"/>
              <w:bottom w:val="single" w:sz="4" w:space="0" w:color="000000"/>
              <w:end w:val="single" w:sz="4" w:space="0" w:color="000000"/>
            </w:tcBorders>
          </w:tcPr>
          <w:p>
            <w:pPr>
              <w:pStyle w:val="Normal"/>
              <w:spacing w:before="0" w:after="160"/>
              <w:rPr>
                <w:sz w:val="16"/>
                <w:szCs w:val="16"/>
                <w:lang w:val="en-AU" w:eastAsia="en-AU"/>
              </w:rPr>
            </w:pPr>
            <w:r>
              <w:rPr>
                <w:sz w:val="16"/>
                <w:szCs w:val="16"/>
                <w:lang w:val="en-AU" w:eastAsia="en-AU"/>
              </w:rPr>
            </w:r>
          </w:p>
        </w:tc>
        <w:tc>
          <w:tcPr>
            <w:tcW w:w="1443" w:type="dxa"/>
            <w:tcBorders>
              <w:top w:val="single" w:sz="4" w:space="0" w:color="000000"/>
              <w:start w:val="single" w:sz="4" w:space="0" w:color="000000"/>
              <w:bottom w:val="single" w:sz="4" w:space="0" w:color="000000"/>
              <w:end w:val="single" w:sz="4" w:space="0" w:color="000000"/>
            </w:tcBorders>
          </w:tcPr>
          <w:p>
            <w:pPr>
              <w:pStyle w:val="Normal"/>
              <w:spacing w:before="0" w:after="160"/>
              <w:rPr>
                <w:sz w:val="16"/>
                <w:szCs w:val="16"/>
                <w:lang w:val="en-AU" w:eastAsia="en-AU"/>
              </w:rPr>
            </w:pPr>
            <w:r>
              <w:rPr>
                <w:sz w:val="16"/>
                <w:szCs w:val="16"/>
                <w:lang w:val="en-AU" w:eastAsia="en-AU"/>
              </w:rPr>
            </w:r>
          </w:p>
        </w:tc>
        <w:tc>
          <w:tcPr>
            <w:tcW w:w="1463" w:type="dxa"/>
            <w:tcBorders>
              <w:top w:val="single" w:sz="4" w:space="0" w:color="000000"/>
              <w:start w:val="single" w:sz="4" w:space="0" w:color="000000"/>
              <w:bottom w:val="single" w:sz="4" w:space="0" w:color="000000"/>
              <w:end w:val="single" w:sz="4" w:space="0" w:color="000000"/>
            </w:tcBorders>
          </w:tcPr>
          <w:p>
            <w:pPr>
              <w:pStyle w:val="Normal"/>
              <w:spacing w:before="0" w:after="160"/>
              <w:rPr>
                <w:sz w:val="16"/>
                <w:szCs w:val="16"/>
                <w:lang w:val="en-AU" w:eastAsia="en-AU"/>
              </w:rPr>
            </w:pPr>
            <w:r>
              <w:rPr>
                <w:sz w:val="16"/>
                <w:szCs w:val="16"/>
                <w:lang w:val="en-AU" w:eastAsia="en-AU"/>
              </w:rPr>
            </w:r>
          </w:p>
        </w:tc>
      </w:tr>
      <w:tr>
        <w:trPr/>
        <w:tc>
          <w:tcPr>
            <w:tcW w:w="1513" w:type="dxa"/>
            <w:tcBorders>
              <w:top w:val="single" w:sz="4" w:space="0" w:color="000000"/>
              <w:start w:val="single" w:sz="4" w:space="0" w:color="000000"/>
              <w:bottom w:val="single" w:sz="4" w:space="0" w:color="000000"/>
              <w:end w:val="single" w:sz="4" w:space="0" w:color="000000"/>
            </w:tcBorders>
          </w:tcPr>
          <w:p>
            <w:pPr>
              <w:pStyle w:val="Normal"/>
              <w:spacing w:before="0" w:after="160"/>
              <w:rPr>
                <w:sz w:val="16"/>
                <w:szCs w:val="16"/>
                <w:lang w:val="en-AU" w:eastAsia="en-AU"/>
              </w:rPr>
            </w:pPr>
            <w:r>
              <w:rPr>
                <w:sz w:val="16"/>
                <w:szCs w:val="16"/>
                <w:lang w:val="en-AU" w:eastAsia="en-AU"/>
              </w:rPr>
              <w:t>{{control.control_id}}</w:t>
            </w:r>
          </w:p>
        </w:tc>
        <w:tc>
          <w:tcPr>
            <w:tcW w:w="1114" w:type="dxa"/>
            <w:tcBorders>
              <w:top w:val="single" w:sz="4" w:space="0" w:color="000000"/>
              <w:start w:val="single" w:sz="4" w:space="0" w:color="000000"/>
              <w:bottom w:val="single" w:sz="4" w:space="0" w:color="000000"/>
              <w:end w:val="single" w:sz="4" w:space="0" w:color="000000"/>
            </w:tcBorders>
          </w:tcPr>
          <w:p>
            <w:pPr>
              <w:pStyle w:val="Normal"/>
              <w:spacing w:before="0" w:after="160"/>
              <w:rPr>
                <w:sz w:val="16"/>
                <w:szCs w:val="16"/>
                <w:lang w:val="en-AU" w:eastAsia="en-AU"/>
              </w:rPr>
            </w:pPr>
            <w:r>
              <w:rPr>
                <w:sz w:val="16"/>
                <w:szCs w:val="16"/>
                <w:lang w:val="en-AU" w:eastAsia="en-AU"/>
              </w:rPr>
              <w:t>{{control.title}}</w:t>
            </w:r>
          </w:p>
        </w:tc>
        <w:tc>
          <w:tcPr>
            <w:tcW w:w="2052" w:type="dxa"/>
            <w:tcBorders>
              <w:top w:val="single" w:sz="4" w:space="0" w:color="000000"/>
              <w:start w:val="single" w:sz="4" w:space="0" w:color="000000"/>
              <w:bottom w:val="single" w:sz="4" w:space="0" w:color="000000"/>
              <w:end w:val="single" w:sz="4" w:space="0" w:color="000000"/>
            </w:tcBorders>
          </w:tcPr>
          <w:p>
            <w:pPr>
              <w:pStyle w:val="Normal"/>
              <w:spacing w:before="0" w:after="160"/>
              <w:rPr>
                <w:sz w:val="16"/>
                <w:szCs w:val="16"/>
                <w:lang w:val="en-AU" w:eastAsia="en-AU"/>
              </w:rPr>
            </w:pPr>
            <w:r>
              <w:rPr>
                <w:sz w:val="16"/>
                <w:szCs w:val="16"/>
                <w:lang w:eastAsia="en-AU"/>
              </w:rPr>
              <w:t>{{control.detailed_description}}</w:t>
            </w:r>
          </w:p>
        </w:tc>
        <w:tc>
          <w:tcPr>
            <w:tcW w:w="1441" w:type="dxa"/>
            <w:tcBorders>
              <w:top w:val="single" w:sz="4" w:space="0" w:color="000000"/>
              <w:start w:val="single" w:sz="4" w:space="0" w:color="000000"/>
              <w:bottom w:val="single" w:sz="4" w:space="0" w:color="000000"/>
              <w:end w:val="single" w:sz="4" w:space="0" w:color="000000"/>
            </w:tcBorders>
          </w:tcPr>
          <w:p>
            <w:pPr>
              <w:pStyle w:val="Normal"/>
              <w:spacing w:before="0" w:after="160"/>
              <w:rPr>
                <w:sz w:val="16"/>
                <w:szCs w:val="16"/>
                <w:lang w:val="en-AU" w:eastAsia="en-AU"/>
              </w:rPr>
            </w:pPr>
            <w:r>
              <w:rPr>
                <w:sz w:val="16"/>
                <w:szCs w:val="16"/>
                <w:lang w:val="en-AU" w:eastAsia="en-AU"/>
              </w:rPr>
              <w:t>{{control.control_type}}</w:t>
            </w:r>
          </w:p>
        </w:tc>
        <w:tc>
          <w:tcPr>
            <w:tcW w:w="1443" w:type="dxa"/>
            <w:tcBorders>
              <w:top w:val="single" w:sz="4" w:space="0" w:color="000000"/>
              <w:start w:val="single" w:sz="4" w:space="0" w:color="000000"/>
              <w:bottom w:val="single" w:sz="4" w:space="0" w:color="000000"/>
              <w:end w:val="single" w:sz="4" w:space="0" w:color="000000"/>
            </w:tcBorders>
          </w:tcPr>
          <w:p>
            <w:pPr>
              <w:pStyle w:val="Normal"/>
              <w:spacing w:before="0" w:after="160"/>
              <w:rPr>
                <w:sz w:val="16"/>
                <w:szCs w:val="16"/>
                <w:lang w:val="en-AU" w:eastAsia="en-AU"/>
              </w:rPr>
            </w:pPr>
            <w:r>
              <w:rPr>
                <w:sz w:val="16"/>
                <w:szCs w:val="16"/>
                <w:lang w:val="en-AU" w:eastAsia="en-AU"/>
              </w:rPr>
              <w:t>{{control.implementation_effort}}</w:t>
            </w:r>
          </w:p>
        </w:tc>
        <w:tc>
          <w:tcPr>
            <w:tcW w:w="1463" w:type="dxa"/>
            <w:tcBorders>
              <w:top w:val="single" w:sz="4" w:space="0" w:color="000000"/>
              <w:start w:val="single" w:sz="4" w:space="0" w:color="000000"/>
              <w:bottom w:val="single" w:sz="4" w:space="0" w:color="000000"/>
              <w:end w:val="single" w:sz="4" w:space="0" w:color="000000"/>
            </w:tcBorders>
          </w:tcPr>
          <w:p>
            <w:pPr>
              <w:pStyle w:val="Normal"/>
              <w:spacing w:before="0" w:after="160"/>
              <w:rPr>
                <w:sz w:val="16"/>
                <w:szCs w:val="16"/>
                <w:lang w:val="en-AU" w:eastAsia="en-AU"/>
              </w:rPr>
            </w:pPr>
            <w:r>
              <w:rPr>
                <w:sz w:val="16"/>
                <w:szCs w:val="16"/>
                <w:lang w:val="en-AU" w:eastAsia="en-AU"/>
              </w:rPr>
              <w:t>{{control.implementation_horizon}}</w:t>
            </w:r>
          </w:p>
        </w:tc>
      </w:tr>
      <w:tr>
        <w:trPr/>
        <w:tc>
          <w:tcPr>
            <w:tcW w:w="1513" w:type="dxa"/>
            <w:tcBorders>
              <w:top w:val="single" w:sz="4" w:space="0" w:color="000000"/>
              <w:start w:val="single" w:sz="4" w:space="0" w:color="000000"/>
              <w:bottom w:val="single" w:sz="4" w:space="0" w:color="000000"/>
              <w:end w:val="single" w:sz="4" w:space="0" w:color="000000"/>
            </w:tcBorders>
          </w:tcPr>
          <w:p>
            <w:pPr>
              <w:pStyle w:val="Normal"/>
              <w:spacing w:before="0" w:after="160"/>
              <w:rPr>
                <w:sz w:val="16"/>
                <w:szCs w:val="16"/>
                <w:lang w:val="en-AU" w:eastAsia="en-AU"/>
              </w:rPr>
            </w:pPr>
            <w:r>
              <w:rPr>
                <w:sz w:val="16"/>
                <w:szCs w:val="16"/>
                <w:lang w:val="en-AU" w:eastAsia="en-AU"/>
              </w:rPr>
              <w:t>{%tr endfor %}</w:t>
            </w:r>
          </w:p>
        </w:tc>
        <w:tc>
          <w:tcPr>
            <w:tcW w:w="1114" w:type="dxa"/>
            <w:tcBorders>
              <w:top w:val="single" w:sz="4" w:space="0" w:color="000000"/>
              <w:start w:val="single" w:sz="4" w:space="0" w:color="000000"/>
              <w:bottom w:val="single" w:sz="4" w:space="0" w:color="000000"/>
              <w:end w:val="single" w:sz="4" w:space="0" w:color="000000"/>
            </w:tcBorders>
          </w:tcPr>
          <w:p>
            <w:pPr>
              <w:pStyle w:val="Normal"/>
              <w:spacing w:before="0" w:after="160"/>
              <w:rPr>
                <w:sz w:val="16"/>
                <w:szCs w:val="16"/>
                <w:lang w:val="en-AU" w:eastAsia="en-AU"/>
              </w:rPr>
            </w:pPr>
            <w:r>
              <w:rPr>
                <w:sz w:val="16"/>
                <w:szCs w:val="16"/>
                <w:lang w:val="en-AU" w:eastAsia="en-AU"/>
              </w:rPr>
            </w:r>
          </w:p>
        </w:tc>
        <w:tc>
          <w:tcPr>
            <w:tcW w:w="2052" w:type="dxa"/>
            <w:tcBorders>
              <w:top w:val="single" w:sz="4" w:space="0" w:color="000000"/>
              <w:start w:val="single" w:sz="4" w:space="0" w:color="000000"/>
              <w:bottom w:val="single" w:sz="4" w:space="0" w:color="000000"/>
              <w:end w:val="single" w:sz="4" w:space="0" w:color="000000"/>
            </w:tcBorders>
          </w:tcPr>
          <w:p>
            <w:pPr>
              <w:pStyle w:val="Normal"/>
              <w:spacing w:before="0" w:after="160"/>
              <w:rPr>
                <w:sz w:val="16"/>
                <w:szCs w:val="16"/>
                <w:lang w:val="en-AU" w:eastAsia="en-AU"/>
              </w:rPr>
            </w:pPr>
            <w:r>
              <w:rPr>
                <w:sz w:val="16"/>
                <w:szCs w:val="16"/>
                <w:lang w:val="en-AU" w:eastAsia="en-AU"/>
              </w:rPr>
            </w:r>
          </w:p>
        </w:tc>
        <w:tc>
          <w:tcPr>
            <w:tcW w:w="1441" w:type="dxa"/>
            <w:tcBorders>
              <w:top w:val="single" w:sz="4" w:space="0" w:color="000000"/>
              <w:start w:val="single" w:sz="4" w:space="0" w:color="000000"/>
              <w:bottom w:val="single" w:sz="4" w:space="0" w:color="000000"/>
              <w:end w:val="single" w:sz="4" w:space="0" w:color="000000"/>
            </w:tcBorders>
          </w:tcPr>
          <w:p>
            <w:pPr>
              <w:pStyle w:val="Normal"/>
              <w:spacing w:before="0" w:after="160"/>
              <w:rPr>
                <w:sz w:val="16"/>
                <w:szCs w:val="16"/>
                <w:lang w:val="en-AU" w:eastAsia="en-AU"/>
              </w:rPr>
            </w:pPr>
            <w:r>
              <w:rPr>
                <w:sz w:val="16"/>
                <w:szCs w:val="16"/>
                <w:lang w:val="en-AU" w:eastAsia="en-AU"/>
              </w:rPr>
            </w:r>
          </w:p>
        </w:tc>
        <w:tc>
          <w:tcPr>
            <w:tcW w:w="1443" w:type="dxa"/>
            <w:tcBorders>
              <w:top w:val="single" w:sz="4" w:space="0" w:color="000000"/>
              <w:start w:val="single" w:sz="4" w:space="0" w:color="000000"/>
              <w:bottom w:val="single" w:sz="4" w:space="0" w:color="000000"/>
              <w:end w:val="single" w:sz="4" w:space="0" w:color="000000"/>
            </w:tcBorders>
          </w:tcPr>
          <w:p>
            <w:pPr>
              <w:pStyle w:val="Normal"/>
              <w:spacing w:before="0" w:after="160"/>
              <w:rPr>
                <w:sz w:val="16"/>
                <w:szCs w:val="16"/>
                <w:lang w:val="en-AU" w:eastAsia="en-AU"/>
              </w:rPr>
            </w:pPr>
            <w:r>
              <w:rPr>
                <w:sz w:val="16"/>
                <w:szCs w:val="16"/>
                <w:lang w:val="en-AU" w:eastAsia="en-AU"/>
              </w:rPr>
            </w:r>
          </w:p>
        </w:tc>
        <w:tc>
          <w:tcPr>
            <w:tcW w:w="1463" w:type="dxa"/>
            <w:tcBorders>
              <w:top w:val="single" w:sz="4" w:space="0" w:color="000000"/>
              <w:start w:val="single" w:sz="4" w:space="0" w:color="000000"/>
              <w:bottom w:val="single" w:sz="4" w:space="0" w:color="000000"/>
              <w:end w:val="single" w:sz="4" w:space="0" w:color="000000"/>
            </w:tcBorders>
          </w:tcPr>
          <w:p>
            <w:pPr>
              <w:pStyle w:val="Normal"/>
              <w:spacing w:before="0" w:after="160"/>
              <w:rPr>
                <w:sz w:val="16"/>
                <w:szCs w:val="16"/>
                <w:lang w:val="en-AU" w:eastAsia="en-AU"/>
              </w:rPr>
            </w:pPr>
            <w:r>
              <w:rPr>
                <w:sz w:val="16"/>
                <w:szCs w:val="16"/>
                <w:lang w:val="en-AU" w:eastAsia="en-AU"/>
              </w:rPr>
            </w:r>
          </w:p>
        </w:tc>
      </w:tr>
    </w:tbl>
    <w:p>
      <w:pPr>
        <w:pStyle w:val="Normal"/>
        <w:rPr>
          <w:lang w:val="en-AU" w:eastAsia="en-AU"/>
        </w:rPr>
      </w:pPr>
      <w:r>
        <w:rPr>
          <w:lang w:val="en-AU" w:eastAsia="en-AU"/>
        </w:rPr>
      </w:r>
    </w:p>
    <w:p>
      <w:pPr>
        <w:pStyle w:val="Normal"/>
        <w:rPr>
          <w:b/>
          <w:bCs/>
          <w:lang w:eastAsia="en-AU"/>
        </w:rPr>
      </w:pPr>
      <w:r>
        <w:rPr>
          <w:b/>
          <w:bCs/>
          <w:lang w:eastAsia="en-AU"/>
        </w:rPr>
        <w:t>Domain Control Rationale</w:t>
      </w:r>
    </w:p>
    <w:p>
      <w:pPr>
        <w:pStyle w:val="Normal"/>
        <w:rPr>
          <w:lang w:val="en-AU" w:eastAsia="en-AU"/>
        </w:rPr>
      </w:pPr>
      <w:r>
        <w:rPr>
          <w:lang w:val="en-AU" w:eastAsia="en-AU"/>
        </w:rPr>
        <w:t>{{ai.f_domain_b3_controls_rationale}}</w:t>
      </w:r>
    </w:p>
    <w:p>
      <w:pPr>
        <w:pStyle w:val="Normal"/>
        <w:rPr>
          <w:lang w:val="en-AU" w:eastAsia="en-AU"/>
        </w:rPr>
      </w:pPr>
      <w:r>
        <w:rPr>
          <w:lang w:val="en-AU" w:eastAsia="en-AU"/>
        </w:rPr>
      </w:r>
    </w:p>
    <w:p>
      <w:pPr>
        <w:pStyle w:val="Normal"/>
        <w:rPr>
          <w:b/>
          <w:bCs/>
          <w:i/>
          <w:iCs/>
          <w:lang w:eastAsia="en-AU"/>
        </w:rPr>
      </w:pPr>
      <w:r>
        <w:rPr>
          <w:b/>
          <w:bCs/>
          <w:lang w:eastAsia="en-AU"/>
        </w:rPr>
        <w:t>C2.4 — Human, Societal and Environmental Wellbeing</w:t>
      </w:r>
    </w:p>
    <w:p>
      <w:pPr>
        <w:pStyle w:val="Normal"/>
        <w:rPr>
          <w:lang w:eastAsia="en-AU"/>
        </w:rPr>
      </w:pPr>
      <w:r>
        <w:rPr>
          <w:lang w:eastAsia="en-AU"/>
        </w:rPr>
        <w:t>The following recommended controls are intended to address risks identified within the Human, Societal and Environmental Wellbeing domain.</w:t>
      </w:r>
    </w:p>
    <w:p>
      <w:pPr>
        <w:pStyle w:val="Normal"/>
        <w:rPr>
          <w:b/>
          <w:bCs/>
          <w:i/>
          <w:iCs/>
          <w:lang w:eastAsia="en-AU"/>
        </w:rPr>
      </w:pPr>
      <w:r>
        <w:rPr>
          <w:b/>
          <w:bCs/>
          <w:lang w:eastAsia="en-AU"/>
        </w:rPr>
        <w:t>Recommended Controls — Human, Societal and Environmental Wellbeing</w:t>
      </w:r>
    </w:p>
    <w:tbl>
      <w:tblPr>
        <w:tblW w:w="5000" w:type="pct"/>
        <w:jc w:val="start"/>
        <w:tblInd w:w="0" w:type="dxa"/>
        <w:tblLayout w:type="fixed"/>
        <w:tblCellMar>
          <w:top w:w="43" w:type="dxa"/>
          <w:start w:w="43" w:type="dxa"/>
          <w:bottom w:w="43" w:type="dxa"/>
          <w:end w:w="43" w:type="dxa"/>
        </w:tblCellMar>
        <w:tblLook w:firstRow="1" w:noVBand="1" w:lastRow="0" w:firstColumn="1" w:lastColumn="0" w:noHBand="0" w:val="04a0"/>
      </w:tblPr>
      <w:tblGrid>
        <w:gridCol w:w="1513"/>
        <w:gridCol w:w="1114"/>
        <w:gridCol w:w="2052"/>
        <w:gridCol w:w="1441"/>
        <w:gridCol w:w="1443"/>
        <w:gridCol w:w="1463"/>
      </w:tblGrid>
      <w:tr>
        <w:trPr>
          <w:tblHeader w:val="true"/>
        </w:trPr>
        <w:tc>
          <w:tcPr>
            <w:tcW w:w="1513" w:type="dxa"/>
            <w:tcBorders>
              <w:top w:val="single" w:sz="4" w:space="0" w:color="000000"/>
              <w:start w:val="single" w:sz="4" w:space="0" w:color="000000"/>
              <w:bottom w:val="single" w:sz="4" w:space="0" w:color="000000"/>
              <w:end w:val="single" w:sz="4" w:space="0" w:color="000000"/>
            </w:tcBorders>
            <w:shd w:color="auto" w:fill="D9D9D9" w:themeFill="background1" w:themeFillShade="d9" w:val="clear"/>
          </w:tcPr>
          <w:p>
            <w:pPr>
              <w:pStyle w:val="Normal"/>
              <w:spacing w:before="0" w:after="160"/>
              <w:rPr>
                <w:b/>
                <w:bCs/>
                <w:sz w:val="18"/>
                <w:szCs w:val="18"/>
                <w:lang w:val="en-AU" w:eastAsia="en-AU"/>
              </w:rPr>
            </w:pPr>
            <w:r>
              <w:rPr>
                <w:b/>
                <w:bCs/>
                <w:sz w:val="18"/>
                <w:szCs w:val="18"/>
                <w:lang w:val="en-AU" w:eastAsia="en-AU"/>
              </w:rPr>
              <w:t>Control ID</w:t>
            </w:r>
          </w:p>
        </w:tc>
        <w:tc>
          <w:tcPr>
            <w:tcW w:w="1114" w:type="dxa"/>
            <w:tcBorders>
              <w:top w:val="single" w:sz="4" w:space="0" w:color="000000"/>
              <w:start w:val="single" w:sz="4" w:space="0" w:color="000000"/>
              <w:bottom w:val="single" w:sz="4" w:space="0" w:color="000000"/>
              <w:end w:val="single" w:sz="4" w:space="0" w:color="000000"/>
            </w:tcBorders>
            <w:shd w:color="auto" w:fill="D9D9D9" w:themeFill="background1" w:themeFillShade="d9" w:val="clear"/>
          </w:tcPr>
          <w:p>
            <w:pPr>
              <w:pStyle w:val="Normal"/>
              <w:spacing w:before="0" w:after="160"/>
              <w:rPr>
                <w:b/>
                <w:bCs/>
                <w:sz w:val="18"/>
                <w:szCs w:val="18"/>
                <w:lang w:val="en-AU" w:eastAsia="en-AU"/>
              </w:rPr>
            </w:pPr>
            <w:r>
              <w:rPr>
                <w:b/>
                <w:bCs/>
                <w:sz w:val="18"/>
                <w:szCs w:val="18"/>
                <w:lang w:val="en-AU" w:eastAsia="en-AU"/>
              </w:rPr>
              <w:t>Title</w:t>
            </w:r>
          </w:p>
        </w:tc>
        <w:tc>
          <w:tcPr>
            <w:tcW w:w="2052" w:type="dxa"/>
            <w:tcBorders>
              <w:top w:val="single" w:sz="4" w:space="0" w:color="000000"/>
              <w:start w:val="single" w:sz="4" w:space="0" w:color="000000"/>
              <w:bottom w:val="single" w:sz="4" w:space="0" w:color="000000"/>
              <w:end w:val="single" w:sz="4" w:space="0" w:color="000000"/>
            </w:tcBorders>
            <w:shd w:color="auto" w:fill="D9D9D9" w:themeFill="background1" w:themeFillShade="d9" w:val="clear"/>
          </w:tcPr>
          <w:p>
            <w:pPr>
              <w:pStyle w:val="Normal"/>
              <w:spacing w:before="0" w:after="160"/>
              <w:rPr>
                <w:b/>
                <w:bCs/>
                <w:sz w:val="18"/>
                <w:szCs w:val="18"/>
                <w:lang w:val="en-AU" w:eastAsia="en-AU"/>
              </w:rPr>
            </w:pPr>
            <w:r>
              <w:rPr>
                <w:b/>
                <w:bCs/>
                <w:sz w:val="18"/>
                <w:szCs w:val="18"/>
                <w:lang w:val="en-AU" w:eastAsia="en-AU"/>
              </w:rPr>
              <w:t>Details</w:t>
            </w:r>
          </w:p>
        </w:tc>
        <w:tc>
          <w:tcPr>
            <w:tcW w:w="1441" w:type="dxa"/>
            <w:tcBorders>
              <w:top w:val="single" w:sz="4" w:space="0" w:color="000000"/>
              <w:start w:val="single" w:sz="4" w:space="0" w:color="000000"/>
              <w:bottom w:val="single" w:sz="4" w:space="0" w:color="000000"/>
              <w:end w:val="single" w:sz="4" w:space="0" w:color="000000"/>
            </w:tcBorders>
            <w:shd w:color="auto" w:fill="D9D9D9" w:themeFill="background1" w:themeFillShade="d9" w:val="clear"/>
          </w:tcPr>
          <w:p>
            <w:pPr>
              <w:pStyle w:val="Normal"/>
              <w:spacing w:before="0" w:after="160"/>
              <w:rPr>
                <w:b/>
                <w:bCs/>
                <w:sz w:val="18"/>
                <w:szCs w:val="18"/>
                <w:lang w:val="en-AU" w:eastAsia="en-AU"/>
              </w:rPr>
            </w:pPr>
            <w:r>
              <w:rPr>
                <w:b/>
                <w:bCs/>
                <w:sz w:val="18"/>
                <w:szCs w:val="18"/>
                <w:lang w:val="en-AU" w:eastAsia="en-AU"/>
              </w:rPr>
              <w:t>Control Type</w:t>
            </w:r>
          </w:p>
        </w:tc>
        <w:tc>
          <w:tcPr>
            <w:tcW w:w="1443" w:type="dxa"/>
            <w:tcBorders>
              <w:top w:val="single" w:sz="4" w:space="0" w:color="000000"/>
              <w:start w:val="single" w:sz="4" w:space="0" w:color="000000"/>
              <w:bottom w:val="single" w:sz="4" w:space="0" w:color="000000"/>
              <w:end w:val="single" w:sz="4" w:space="0" w:color="000000"/>
            </w:tcBorders>
            <w:shd w:color="auto" w:fill="D9D9D9" w:themeFill="background1" w:themeFillShade="d9" w:val="clear"/>
          </w:tcPr>
          <w:p>
            <w:pPr>
              <w:pStyle w:val="Normal"/>
              <w:spacing w:before="0" w:after="160"/>
              <w:rPr>
                <w:b/>
                <w:bCs/>
                <w:sz w:val="18"/>
                <w:szCs w:val="18"/>
                <w:lang w:val="en-AU" w:eastAsia="en-AU"/>
              </w:rPr>
            </w:pPr>
            <w:r>
              <w:rPr>
                <w:b/>
                <w:bCs/>
                <w:sz w:val="18"/>
                <w:szCs w:val="18"/>
                <w:lang w:val="en-AU" w:eastAsia="en-AU"/>
              </w:rPr>
              <w:t>Implementation Effort</w:t>
            </w:r>
          </w:p>
        </w:tc>
        <w:tc>
          <w:tcPr>
            <w:tcW w:w="1463" w:type="dxa"/>
            <w:tcBorders>
              <w:top w:val="single" w:sz="4" w:space="0" w:color="000000"/>
              <w:start w:val="single" w:sz="4" w:space="0" w:color="000000"/>
              <w:bottom w:val="single" w:sz="4" w:space="0" w:color="000000"/>
              <w:end w:val="single" w:sz="4" w:space="0" w:color="000000"/>
            </w:tcBorders>
            <w:shd w:color="auto" w:fill="D9D9D9" w:themeFill="background1" w:themeFillShade="d9" w:val="clear"/>
          </w:tcPr>
          <w:p>
            <w:pPr>
              <w:pStyle w:val="Normal"/>
              <w:spacing w:before="0" w:after="160"/>
              <w:rPr>
                <w:b/>
                <w:bCs/>
                <w:sz w:val="18"/>
                <w:szCs w:val="18"/>
                <w:lang w:val="en-AU" w:eastAsia="en-AU"/>
              </w:rPr>
            </w:pPr>
            <w:r>
              <w:rPr>
                <w:b/>
                <w:bCs/>
                <w:sz w:val="18"/>
                <w:szCs w:val="18"/>
                <w:lang w:val="en-AU" w:eastAsia="en-AU"/>
              </w:rPr>
              <w:t>Implementation Horizon</w:t>
            </w:r>
          </w:p>
        </w:tc>
      </w:tr>
      <w:tr>
        <w:trPr/>
        <w:tc>
          <w:tcPr>
            <w:tcW w:w="1513" w:type="dxa"/>
            <w:tcBorders>
              <w:top w:val="single" w:sz="4" w:space="0" w:color="000000"/>
              <w:start w:val="single" w:sz="4" w:space="0" w:color="000000"/>
              <w:bottom w:val="single" w:sz="4" w:space="0" w:color="000000"/>
              <w:end w:val="single" w:sz="4" w:space="0" w:color="000000"/>
            </w:tcBorders>
          </w:tcPr>
          <w:p>
            <w:pPr>
              <w:pStyle w:val="Normal"/>
              <w:spacing w:before="0" w:after="160"/>
              <w:rPr>
                <w:sz w:val="16"/>
                <w:szCs w:val="16"/>
                <w:lang w:val="en-AU" w:eastAsia="en-AU"/>
              </w:rPr>
            </w:pPr>
            <w:r>
              <w:rPr>
                <w:sz w:val="16"/>
                <w:szCs w:val="16"/>
                <w:lang w:val="en-AU" w:eastAsia="en-AU"/>
              </w:rPr>
              <w:t>{%tr for control in recommended_controls_top3.Wellbeing %}</w:t>
            </w:r>
          </w:p>
        </w:tc>
        <w:tc>
          <w:tcPr>
            <w:tcW w:w="1114" w:type="dxa"/>
            <w:tcBorders>
              <w:top w:val="single" w:sz="4" w:space="0" w:color="000000"/>
              <w:start w:val="single" w:sz="4" w:space="0" w:color="000000"/>
              <w:bottom w:val="single" w:sz="4" w:space="0" w:color="000000"/>
              <w:end w:val="single" w:sz="4" w:space="0" w:color="000000"/>
            </w:tcBorders>
          </w:tcPr>
          <w:p>
            <w:pPr>
              <w:pStyle w:val="Normal"/>
              <w:spacing w:before="0" w:after="160"/>
              <w:rPr>
                <w:sz w:val="16"/>
                <w:szCs w:val="16"/>
                <w:lang w:val="en-AU" w:eastAsia="en-AU"/>
              </w:rPr>
            </w:pPr>
            <w:r>
              <w:rPr>
                <w:sz w:val="16"/>
                <w:szCs w:val="16"/>
                <w:lang w:val="en-AU" w:eastAsia="en-AU"/>
              </w:rPr>
            </w:r>
          </w:p>
        </w:tc>
        <w:tc>
          <w:tcPr>
            <w:tcW w:w="2052" w:type="dxa"/>
            <w:tcBorders>
              <w:top w:val="single" w:sz="4" w:space="0" w:color="000000"/>
              <w:start w:val="single" w:sz="4" w:space="0" w:color="000000"/>
              <w:bottom w:val="single" w:sz="4" w:space="0" w:color="000000"/>
              <w:end w:val="single" w:sz="4" w:space="0" w:color="000000"/>
            </w:tcBorders>
          </w:tcPr>
          <w:p>
            <w:pPr>
              <w:pStyle w:val="Normal"/>
              <w:spacing w:before="0" w:after="160"/>
              <w:rPr>
                <w:sz w:val="16"/>
                <w:szCs w:val="16"/>
                <w:lang w:val="en-AU" w:eastAsia="en-AU"/>
              </w:rPr>
            </w:pPr>
            <w:r>
              <w:rPr>
                <w:sz w:val="16"/>
                <w:szCs w:val="16"/>
                <w:lang w:val="en-AU" w:eastAsia="en-AU"/>
              </w:rPr>
            </w:r>
          </w:p>
        </w:tc>
        <w:tc>
          <w:tcPr>
            <w:tcW w:w="1441" w:type="dxa"/>
            <w:tcBorders>
              <w:top w:val="single" w:sz="4" w:space="0" w:color="000000"/>
              <w:start w:val="single" w:sz="4" w:space="0" w:color="000000"/>
              <w:bottom w:val="single" w:sz="4" w:space="0" w:color="000000"/>
              <w:end w:val="single" w:sz="4" w:space="0" w:color="000000"/>
            </w:tcBorders>
          </w:tcPr>
          <w:p>
            <w:pPr>
              <w:pStyle w:val="Normal"/>
              <w:spacing w:before="0" w:after="160"/>
              <w:rPr>
                <w:sz w:val="16"/>
                <w:szCs w:val="16"/>
                <w:lang w:val="en-AU" w:eastAsia="en-AU"/>
              </w:rPr>
            </w:pPr>
            <w:r>
              <w:rPr>
                <w:sz w:val="16"/>
                <w:szCs w:val="16"/>
                <w:lang w:val="en-AU" w:eastAsia="en-AU"/>
              </w:rPr>
            </w:r>
          </w:p>
        </w:tc>
        <w:tc>
          <w:tcPr>
            <w:tcW w:w="1443" w:type="dxa"/>
            <w:tcBorders>
              <w:top w:val="single" w:sz="4" w:space="0" w:color="000000"/>
              <w:start w:val="single" w:sz="4" w:space="0" w:color="000000"/>
              <w:bottom w:val="single" w:sz="4" w:space="0" w:color="000000"/>
              <w:end w:val="single" w:sz="4" w:space="0" w:color="000000"/>
            </w:tcBorders>
          </w:tcPr>
          <w:p>
            <w:pPr>
              <w:pStyle w:val="Normal"/>
              <w:spacing w:before="0" w:after="160"/>
              <w:rPr>
                <w:sz w:val="16"/>
                <w:szCs w:val="16"/>
                <w:lang w:val="en-AU" w:eastAsia="en-AU"/>
              </w:rPr>
            </w:pPr>
            <w:r>
              <w:rPr>
                <w:sz w:val="16"/>
                <w:szCs w:val="16"/>
                <w:lang w:val="en-AU" w:eastAsia="en-AU"/>
              </w:rPr>
            </w:r>
          </w:p>
        </w:tc>
        <w:tc>
          <w:tcPr>
            <w:tcW w:w="1463" w:type="dxa"/>
            <w:tcBorders>
              <w:top w:val="single" w:sz="4" w:space="0" w:color="000000"/>
              <w:start w:val="single" w:sz="4" w:space="0" w:color="000000"/>
              <w:bottom w:val="single" w:sz="4" w:space="0" w:color="000000"/>
              <w:end w:val="single" w:sz="4" w:space="0" w:color="000000"/>
            </w:tcBorders>
          </w:tcPr>
          <w:p>
            <w:pPr>
              <w:pStyle w:val="Normal"/>
              <w:spacing w:before="0" w:after="160"/>
              <w:rPr>
                <w:sz w:val="16"/>
                <w:szCs w:val="16"/>
                <w:lang w:val="en-AU" w:eastAsia="en-AU"/>
              </w:rPr>
            </w:pPr>
            <w:r>
              <w:rPr>
                <w:sz w:val="16"/>
                <w:szCs w:val="16"/>
                <w:lang w:val="en-AU" w:eastAsia="en-AU"/>
              </w:rPr>
            </w:r>
          </w:p>
        </w:tc>
      </w:tr>
      <w:tr>
        <w:trPr/>
        <w:tc>
          <w:tcPr>
            <w:tcW w:w="1513" w:type="dxa"/>
            <w:tcBorders>
              <w:top w:val="single" w:sz="4" w:space="0" w:color="000000"/>
              <w:start w:val="single" w:sz="4" w:space="0" w:color="000000"/>
              <w:bottom w:val="single" w:sz="4" w:space="0" w:color="000000"/>
              <w:end w:val="single" w:sz="4" w:space="0" w:color="000000"/>
            </w:tcBorders>
          </w:tcPr>
          <w:p>
            <w:pPr>
              <w:pStyle w:val="Normal"/>
              <w:spacing w:before="0" w:after="160"/>
              <w:rPr>
                <w:sz w:val="16"/>
                <w:szCs w:val="16"/>
                <w:lang w:val="en-AU" w:eastAsia="en-AU"/>
              </w:rPr>
            </w:pPr>
            <w:r>
              <w:rPr>
                <w:sz w:val="16"/>
                <w:szCs w:val="16"/>
                <w:lang w:val="en-AU" w:eastAsia="en-AU"/>
              </w:rPr>
              <w:t>{{control.control_id}}</w:t>
            </w:r>
          </w:p>
        </w:tc>
        <w:tc>
          <w:tcPr>
            <w:tcW w:w="1114" w:type="dxa"/>
            <w:tcBorders>
              <w:top w:val="single" w:sz="4" w:space="0" w:color="000000"/>
              <w:start w:val="single" w:sz="4" w:space="0" w:color="000000"/>
              <w:bottom w:val="single" w:sz="4" w:space="0" w:color="000000"/>
              <w:end w:val="single" w:sz="4" w:space="0" w:color="000000"/>
            </w:tcBorders>
          </w:tcPr>
          <w:p>
            <w:pPr>
              <w:pStyle w:val="Normal"/>
              <w:spacing w:before="0" w:after="160"/>
              <w:rPr>
                <w:sz w:val="16"/>
                <w:szCs w:val="16"/>
                <w:lang w:val="en-AU" w:eastAsia="en-AU"/>
              </w:rPr>
            </w:pPr>
            <w:r>
              <w:rPr>
                <w:sz w:val="16"/>
                <w:szCs w:val="16"/>
                <w:lang w:val="en-AU" w:eastAsia="en-AU"/>
              </w:rPr>
              <w:t>{{control.title}}</w:t>
            </w:r>
          </w:p>
        </w:tc>
        <w:tc>
          <w:tcPr>
            <w:tcW w:w="2052" w:type="dxa"/>
            <w:tcBorders>
              <w:top w:val="single" w:sz="4" w:space="0" w:color="000000"/>
              <w:start w:val="single" w:sz="4" w:space="0" w:color="000000"/>
              <w:bottom w:val="single" w:sz="4" w:space="0" w:color="000000"/>
              <w:end w:val="single" w:sz="4" w:space="0" w:color="000000"/>
            </w:tcBorders>
          </w:tcPr>
          <w:p>
            <w:pPr>
              <w:pStyle w:val="Normal"/>
              <w:spacing w:before="0" w:after="160"/>
              <w:rPr>
                <w:sz w:val="16"/>
                <w:szCs w:val="16"/>
                <w:lang w:val="en-AU" w:eastAsia="en-AU"/>
              </w:rPr>
            </w:pPr>
            <w:r>
              <w:rPr>
                <w:sz w:val="16"/>
                <w:szCs w:val="16"/>
                <w:lang w:eastAsia="en-AU"/>
              </w:rPr>
              <w:t>{{control.detailed_description}}</w:t>
            </w:r>
          </w:p>
        </w:tc>
        <w:tc>
          <w:tcPr>
            <w:tcW w:w="1441" w:type="dxa"/>
            <w:tcBorders>
              <w:top w:val="single" w:sz="4" w:space="0" w:color="000000"/>
              <w:start w:val="single" w:sz="4" w:space="0" w:color="000000"/>
              <w:bottom w:val="single" w:sz="4" w:space="0" w:color="000000"/>
              <w:end w:val="single" w:sz="4" w:space="0" w:color="000000"/>
            </w:tcBorders>
          </w:tcPr>
          <w:p>
            <w:pPr>
              <w:pStyle w:val="Normal"/>
              <w:spacing w:before="0" w:after="160"/>
              <w:rPr>
                <w:sz w:val="16"/>
                <w:szCs w:val="16"/>
                <w:lang w:val="en-AU" w:eastAsia="en-AU"/>
              </w:rPr>
            </w:pPr>
            <w:r>
              <w:rPr>
                <w:sz w:val="16"/>
                <w:szCs w:val="16"/>
                <w:lang w:val="en-AU" w:eastAsia="en-AU"/>
              </w:rPr>
              <w:t>{{control.control_type}}</w:t>
            </w:r>
          </w:p>
        </w:tc>
        <w:tc>
          <w:tcPr>
            <w:tcW w:w="1443" w:type="dxa"/>
            <w:tcBorders>
              <w:top w:val="single" w:sz="4" w:space="0" w:color="000000"/>
              <w:start w:val="single" w:sz="4" w:space="0" w:color="000000"/>
              <w:bottom w:val="single" w:sz="4" w:space="0" w:color="000000"/>
              <w:end w:val="single" w:sz="4" w:space="0" w:color="000000"/>
            </w:tcBorders>
          </w:tcPr>
          <w:p>
            <w:pPr>
              <w:pStyle w:val="Normal"/>
              <w:spacing w:before="0" w:after="160"/>
              <w:rPr>
                <w:sz w:val="16"/>
                <w:szCs w:val="16"/>
                <w:lang w:val="en-AU" w:eastAsia="en-AU"/>
              </w:rPr>
            </w:pPr>
            <w:r>
              <w:rPr>
                <w:sz w:val="16"/>
                <w:szCs w:val="16"/>
                <w:lang w:val="en-AU" w:eastAsia="en-AU"/>
              </w:rPr>
              <w:t>{{control.implementation_effort}}</w:t>
            </w:r>
          </w:p>
        </w:tc>
        <w:tc>
          <w:tcPr>
            <w:tcW w:w="1463" w:type="dxa"/>
            <w:tcBorders>
              <w:top w:val="single" w:sz="4" w:space="0" w:color="000000"/>
              <w:start w:val="single" w:sz="4" w:space="0" w:color="000000"/>
              <w:bottom w:val="single" w:sz="4" w:space="0" w:color="000000"/>
              <w:end w:val="single" w:sz="4" w:space="0" w:color="000000"/>
            </w:tcBorders>
          </w:tcPr>
          <w:p>
            <w:pPr>
              <w:pStyle w:val="Normal"/>
              <w:spacing w:before="0" w:after="160"/>
              <w:rPr>
                <w:sz w:val="16"/>
                <w:szCs w:val="16"/>
                <w:lang w:val="en-AU" w:eastAsia="en-AU"/>
              </w:rPr>
            </w:pPr>
            <w:r>
              <w:rPr>
                <w:sz w:val="16"/>
                <w:szCs w:val="16"/>
                <w:lang w:val="en-AU" w:eastAsia="en-AU"/>
              </w:rPr>
              <w:t>{{control.implementation_horizon}}</w:t>
            </w:r>
          </w:p>
        </w:tc>
      </w:tr>
      <w:tr>
        <w:trPr/>
        <w:tc>
          <w:tcPr>
            <w:tcW w:w="1513" w:type="dxa"/>
            <w:tcBorders>
              <w:top w:val="single" w:sz="4" w:space="0" w:color="000000"/>
              <w:start w:val="single" w:sz="4" w:space="0" w:color="000000"/>
              <w:bottom w:val="single" w:sz="4" w:space="0" w:color="000000"/>
              <w:end w:val="single" w:sz="4" w:space="0" w:color="000000"/>
            </w:tcBorders>
          </w:tcPr>
          <w:p>
            <w:pPr>
              <w:pStyle w:val="Normal"/>
              <w:spacing w:before="0" w:after="160"/>
              <w:rPr>
                <w:sz w:val="16"/>
                <w:szCs w:val="16"/>
                <w:lang w:val="en-AU" w:eastAsia="en-AU"/>
              </w:rPr>
            </w:pPr>
            <w:r>
              <w:rPr>
                <w:sz w:val="16"/>
                <w:szCs w:val="16"/>
                <w:lang w:val="en-AU" w:eastAsia="en-AU"/>
              </w:rPr>
              <w:t>{%tr endfor %}</w:t>
            </w:r>
          </w:p>
        </w:tc>
        <w:tc>
          <w:tcPr>
            <w:tcW w:w="1114" w:type="dxa"/>
            <w:tcBorders>
              <w:top w:val="single" w:sz="4" w:space="0" w:color="000000"/>
              <w:start w:val="single" w:sz="4" w:space="0" w:color="000000"/>
              <w:bottom w:val="single" w:sz="4" w:space="0" w:color="000000"/>
              <w:end w:val="single" w:sz="4" w:space="0" w:color="000000"/>
            </w:tcBorders>
          </w:tcPr>
          <w:p>
            <w:pPr>
              <w:pStyle w:val="Normal"/>
              <w:spacing w:before="0" w:after="160"/>
              <w:rPr>
                <w:sz w:val="16"/>
                <w:szCs w:val="16"/>
                <w:lang w:val="en-AU" w:eastAsia="en-AU"/>
              </w:rPr>
            </w:pPr>
            <w:r>
              <w:rPr>
                <w:sz w:val="16"/>
                <w:szCs w:val="16"/>
                <w:lang w:val="en-AU" w:eastAsia="en-AU"/>
              </w:rPr>
            </w:r>
          </w:p>
        </w:tc>
        <w:tc>
          <w:tcPr>
            <w:tcW w:w="2052" w:type="dxa"/>
            <w:tcBorders>
              <w:top w:val="single" w:sz="4" w:space="0" w:color="000000"/>
              <w:start w:val="single" w:sz="4" w:space="0" w:color="000000"/>
              <w:bottom w:val="single" w:sz="4" w:space="0" w:color="000000"/>
              <w:end w:val="single" w:sz="4" w:space="0" w:color="000000"/>
            </w:tcBorders>
          </w:tcPr>
          <w:p>
            <w:pPr>
              <w:pStyle w:val="Normal"/>
              <w:spacing w:before="0" w:after="160"/>
              <w:rPr>
                <w:sz w:val="16"/>
                <w:szCs w:val="16"/>
                <w:lang w:val="en-AU" w:eastAsia="en-AU"/>
              </w:rPr>
            </w:pPr>
            <w:r>
              <w:rPr>
                <w:sz w:val="16"/>
                <w:szCs w:val="16"/>
                <w:lang w:val="en-AU" w:eastAsia="en-AU"/>
              </w:rPr>
            </w:r>
          </w:p>
        </w:tc>
        <w:tc>
          <w:tcPr>
            <w:tcW w:w="1441" w:type="dxa"/>
            <w:tcBorders>
              <w:top w:val="single" w:sz="4" w:space="0" w:color="000000"/>
              <w:start w:val="single" w:sz="4" w:space="0" w:color="000000"/>
              <w:bottom w:val="single" w:sz="4" w:space="0" w:color="000000"/>
              <w:end w:val="single" w:sz="4" w:space="0" w:color="000000"/>
            </w:tcBorders>
          </w:tcPr>
          <w:p>
            <w:pPr>
              <w:pStyle w:val="Normal"/>
              <w:spacing w:before="0" w:after="160"/>
              <w:rPr>
                <w:sz w:val="16"/>
                <w:szCs w:val="16"/>
                <w:lang w:val="en-AU" w:eastAsia="en-AU"/>
              </w:rPr>
            </w:pPr>
            <w:r>
              <w:rPr>
                <w:sz w:val="16"/>
                <w:szCs w:val="16"/>
                <w:lang w:val="en-AU" w:eastAsia="en-AU"/>
              </w:rPr>
            </w:r>
          </w:p>
        </w:tc>
        <w:tc>
          <w:tcPr>
            <w:tcW w:w="1443" w:type="dxa"/>
            <w:tcBorders>
              <w:top w:val="single" w:sz="4" w:space="0" w:color="000000"/>
              <w:start w:val="single" w:sz="4" w:space="0" w:color="000000"/>
              <w:bottom w:val="single" w:sz="4" w:space="0" w:color="000000"/>
              <w:end w:val="single" w:sz="4" w:space="0" w:color="000000"/>
            </w:tcBorders>
          </w:tcPr>
          <w:p>
            <w:pPr>
              <w:pStyle w:val="Normal"/>
              <w:spacing w:before="0" w:after="160"/>
              <w:rPr>
                <w:sz w:val="16"/>
                <w:szCs w:val="16"/>
                <w:lang w:val="en-AU" w:eastAsia="en-AU"/>
              </w:rPr>
            </w:pPr>
            <w:r>
              <w:rPr>
                <w:sz w:val="16"/>
                <w:szCs w:val="16"/>
                <w:lang w:val="en-AU" w:eastAsia="en-AU"/>
              </w:rPr>
            </w:r>
          </w:p>
        </w:tc>
        <w:tc>
          <w:tcPr>
            <w:tcW w:w="1463" w:type="dxa"/>
            <w:tcBorders>
              <w:top w:val="single" w:sz="4" w:space="0" w:color="000000"/>
              <w:start w:val="single" w:sz="4" w:space="0" w:color="000000"/>
              <w:bottom w:val="single" w:sz="4" w:space="0" w:color="000000"/>
              <w:end w:val="single" w:sz="4" w:space="0" w:color="000000"/>
            </w:tcBorders>
          </w:tcPr>
          <w:p>
            <w:pPr>
              <w:pStyle w:val="Normal"/>
              <w:spacing w:before="0" w:after="160"/>
              <w:rPr>
                <w:sz w:val="16"/>
                <w:szCs w:val="16"/>
                <w:lang w:val="en-AU" w:eastAsia="en-AU"/>
              </w:rPr>
            </w:pPr>
            <w:r>
              <w:rPr>
                <w:sz w:val="16"/>
                <w:szCs w:val="16"/>
                <w:lang w:val="en-AU" w:eastAsia="en-AU"/>
              </w:rPr>
            </w:r>
          </w:p>
        </w:tc>
      </w:tr>
    </w:tbl>
    <w:p>
      <w:pPr>
        <w:pStyle w:val="Normal"/>
        <w:rPr>
          <w:b/>
          <w:bCs/>
          <w:lang w:eastAsia="en-AU"/>
        </w:rPr>
      </w:pPr>
      <w:r>
        <w:rPr>
          <w:b/>
          <w:bCs/>
          <w:lang w:eastAsia="en-AU"/>
        </w:rPr>
      </w:r>
    </w:p>
    <w:p>
      <w:pPr>
        <w:pStyle w:val="Normal"/>
        <w:rPr>
          <w:b/>
          <w:bCs/>
          <w:lang w:eastAsia="en-AU"/>
        </w:rPr>
      </w:pPr>
      <w:r>
        <w:rPr>
          <w:b/>
          <w:bCs/>
          <w:lang w:eastAsia="en-AU"/>
        </w:rPr>
        <w:t>Domain Control Rationale</w:t>
      </w:r>
    </w:p>
    <w:p>
      <w:pPr>
        <w:pStyle w:val="Normal"/>
        <w:rPr>
          <w:lang w:val="en-AU" w:eastAsia="en-AU"/>
        </w:rPr>
      </w:pPr>
      <w:r>
        <w:rPr>
          <w:lang w:val="en-AU" w:eastAsia="en-AU"/>
        </w:rPr>
        <w:t>{{ai.f_domain_b4_controls_rationale}}</w:t>
      </w:r>
    </w:p>
    <w:p>
      <w:pPr>
        <w:pStyle w:val="Normal"/>
        <w:rPr>
          <w:lang w:val="en-AU" w:eastAsia="en-AU"/>
        </w:rPr>
      </w:pPr>
      <w:r>
        <w:rPr>
          <w:lang w:val="en-AU" w:eastAsia="en-AU"/>
        </w:rPr>
      </w:r>
    </w:p>
    <w:p>
      <w:pPr>
        <w:pStyle w:val="Normal"/>
        <w:rPr>
          <w:b/>
          <w:bCs/>
          <w:i/>
          <w:iCs/>
          <w:lang w:eastAsia="en-AU"/>
        </w:rPr>
      </w:pPr>
      <w:r>
        <w:rPr>
          <w:b/>
          <w:bCs/>
          <w:lang w:eastAsia="en-AU"/>
        </w:rPr>
        <w:t>C2.5 — Human-Centred Values</w:t>
      </w:r>
    </w:p>
    <w:p>
      <w:pPr>
        <w:pStyle w:val="Normal"/>
        <w:rPr>
          <w:lang w:eastAsia="en-AU"/>
        </w:rPr>
      </w:pPr>
      <w:r>
        <w:rPr>
          <w:lang w:eastAsia="en-AU"/>
        </w:rPr>
        <w:t>The following recommended controls are intended to address risks identified within the Human-Centred Values domain.</w:t>
      </w:r>
    </w:p>
    <w:p>
      <w:pPr>
        <w:pStyle w:val="Normal"/>
        <w:rPr>
          <w:b/>
          <w:bCs/>
          <w:i/>
          <w:iCs/>
          <w:lang w:eastAsia="en-AU"/>
        </w:rPr>
      </w:pPr>
      <w:r>
        <w:rPr>
          <w:b/>
          <w:bCs/>
          <w:lang w:eastAsia="en-AU"/>
        </w:rPr>
        <w:t>Recommended Controls — Human-Centred Values</w:t>
      </w:r>
    </w:p>
    <w:tbl>
      <w:tblPr>
        <w:tblW w:w="5000" w:type="pct"/>
        <w:jc w:val="start"/>
        <w:tblInd w:w="0" w:type="dxa"/>
        <w:tblLayout w:type="fixed"/>
        <w:tblCellMar>
          <w:top w:w="43" w:type="dxa"/>
          <w:start w:w="43" w:type="dxa"/>
          <w:bottom w:w="43" w:type="dxa"/>
          <w:end w:w="43" w:type="dxa"/>
        </w:tblCellMar>
        <w:tblLook w:firstRow="1" w:noVBand="1" w:lastRow="0" w:firstColumn="1" w:lastColumn="0" w:noHBand="0" w:val="04a0"/>
      </w:tblPr>
      <w:tblGrid>
        <w:gridCol w:w="1513"/>
        <w:gridCol w:w="1114"/>
        <w:gridCol w:w="2052"/>
        <w:gridCol w:w="1441"/>
        <w:gridCol w:w="1443"/>
        <w:gridCol w:w="1463"/>
      </w:tblGrid>
      <w:tr>
        <w:trPr>
          <w:tblHeader w:val="true"/>
        </w:trPr>
        <w:tc>
          <w:tcPr>
            <w:tcW w:w="1513" w:type="dxa"/>
            <w:tcBorders>
              <w:top w:val="single" w:sz="4" w:space="0" w:color="000000"/>
              <w:start w:val="single" w:sz="4" w:space="0" w:color="000000"/>
              <w:bottom w:val="single" w:sz="4" w:space="0" w:color="000000"/>
              <w:end w:val="single" w:sz="4" w:space="0" w:color="000000"/>
            </w:tcBorders>
            <w:shd w:color="auto" w:fill="D9D9D9" w:themeFill="background1" w:themeFillShade="d9" w:val="clear"/>
          </w:tcPr>
          <w:p>
            <w:pPr>
              <w:pStyle w:val="Normal"/>
              <w:spacing w:before="0" w:after="160"/>
              <w:rPr>
                <w:b/>
                <w:bCs/>
                <w:sz w:val="18"/>
                <w:szCs w:val="18"/>
                <w:lang w:val="en-AU" w:eastAsia="en-AU"/>
              </w:rPr>
            </w:pPr>
            <w:r>
              <w:rPr>
                <w:b/>
                <w:bCs/>
                <w:sz w:val="18"/>
                <w:szCs w:val="18"/>
                <w:lang w:val="en-AU" w:eastAsia="en-AU"/>
              </w:rPr>
              <w:t>Control ID</w:t>
            </w:r>
          </w:p>
        </w:tc>
        <w:tc>
          <w:tcPr>
            <w:tcW w:w="1114" w:type="dxa"/>
            <w:tcBorders>
              <w:top w:val="single" w:sz="4" w:space="0" w:color="000000"/>
              <w:start w:val="single" w:sz="4" w:space="0" w:color="000000"/>
              <w:bottom w:val="single" w:sz="4" w:space="0" w:color="000000"/>
              <w:end w:val="single" w:sz="4" w:space="0" w:color="000000"/>
            </w:tcBorders>
            <w:shd w:color="auto" w:fill="D9D9D9" w:themeFill="background1" w:themeFillShade="d9" w:val="clear"/>
          </w:tcPr>
          <w:p>
            <w:pPr>
              <w:pStyle w:val="Normal"/>
              <w:spacing w:before="0" w:after="160"/>
              <w:rPr>
                <w:b/>
                <w:bCs/>
                <w:sz w:val="18"/>
                <w:szCs w:val="18"/>
                <w:lang w:val="en-AU" w:eastAsia="en-AU"/>
              </w:rPr>
            </w:pPr>
            <w:r>
              <w:rPr>
                <w:b/>
                <w:bCs/>
                <w:sz w:val="18"/>
                <w:szCs w:val="18"/>
                <w:lang w:val="en-AU" w:eastAsia="en-AU"/>
              </w:rPr>
              <w:t>Title</w:t>
            </w:r>
          </w:p>
        </w:tc>
        <w:tc>
          <w:tcPr>
            <w:tcW w:w="2052" w:type="dxa"/>
            <w:tcBorders>
              <w:top w:val="single" w:sz="4" w:space="0" w:color="000000"/>
              <w:start w:val="single" w:sz="4" w:space="0" w:color="000000"/>
              <w:bottom w:val="single" w:sz="4" w:space="0" w:color="000000"/>
              <w:end w:val="single" w:sz="4" w:space="0" w:color="000000"/>
            </w:tcBorders>
            <w:shd w:color="auto" w:fill="D9D9D9" w:themeFill="background1" w:themeFillShade="d9" w:val="clear"/>
          </w:tcPr>
          <w:p>
            <w:pPr>
              <w:pStyle w:val="Normal"/>
              <w:spacing w:before="0" w:after="160"/>
              <w:rPr>
                <w:b/>
                <w:bCs/>
                <w:sz w:val="18"/>
                <w:szCs w:val="18"/>
                <w:lang w:val="en-AU" w:eastAsia="en-AU"/>
              </w:rPr>
            </w:pPr>
            <w:r>
              <w:rPr>
                <w:b/>
                <w:bCs/>
                <w:sz w:val="18"/>
                <w:szCs w:val="18"/>
                <w:lang w:val="en-AU" w:eastAsia="en-AU"/>
              </w:rPr>
              <w:t>Details</w:t>
            </w:r>
          </w:p>
        </w:tc>
        <w:tc>
          <w:tcPr>
            <w:tcW w:w="1441" w:type="dxa"/>
            <w:tcBorders>
              <w:top w:val="single" w:sz="4" w:space="0" w:color="000000"/>
              <w:start w:val="single" w:sz="4" w:space="0" w:color="000000"/>
              <w:bottom w:val="single" w:sz="4" w:space="0" w:color="000000"/>
              <w:end w:val="single" w:sz="4" w:space="0" w:color="000000"/>
            </w:tcBorders>
            <w:shd w:color="auto" w:fill="D9D9D9" w:themeFill="background1" w:themeFillShade="d9" w:val="clear"/>
          </w:tcPr>
          <w:p>
            <w:pPr>
              <w:pStyle w:val="Normal"/>
              <w:spacing w:before="0" w:after="160"/>
              <w:rPr>
                <w:b/>
                <w:bCs/>
                <w:sz w:val="18"/>
                <w:szCs w:val="18"/>
                <w:lang w:val="en-AU" w:eastAsia="en-AU"/>
              </w:rPr>
            </w:pPr>
            <w:r>
              <w:rPr>
                <w:b/>
                <w:bCs/>
                <w:sz w:val="18"/>
                <w:szCs w:val="18"/>
                <w:lang w:val="en-AU" w:eastAsia="en-AU"/>
              </w:rPr>
              <w:t>Control Type</w:t>
            </w:r>
          </w:p>
        </w:tc>
        <w:tc>
          <w:tcPr>
            <w:tcW w:w="1443" w:type="dxa"/>
            <w:tcBorders>
              <w:top w:val="single" w:sz="4" w:space="0" w:color="000000"/>
              <w:start w:val="single" w:sz="4" w:space="0" w:color="000000"/>
              <w:bottom w:val="single" w:sz="4" w:space="0" w:color="000000"/>
              <w:end w:val="single" w:sz="4" w:space="0" w:color="000000"/>
            </w:tcBorders>
            <w:shd w:color="auto" w:fill="D9D9D9" w:themeFill="background1" w:themeFillShade="d9" w:val="clear"/>
          </w:tcPr>
          <w:p>
            <w:pPr>
              <w:pStyle w:val="Normal"/>
              <w:spacing w:before="0" w:after="160"/>
              <w:rPr>
                <w:b/>
                <w:bCs/>
                <w:sz w:val="18"/>
                <w:szCs w:val="18"/>
                <w:lang w:val="en-AU" w:eastAsia="en-AU"/>
              </w:rPr>
            </w:pPr>
            <w:r>
              <w:rPr>
                <w:b/>
                <w:bCs/>
                <w:sz w:val="18"/>
                <w:szCs w:val="18"/>
                <w:lang w:val="en-AU" w:eastAsia="en-AU"/>
              </w:rPr>
              <w:t>Implementation Effort</w:t>
            </w:r>
          </w:p>
        </w:tc>
        <w:tc>
          <w:tcPr>
            <w:tcW w:w="1463" w:type="dxa"/>
            <w:tcBorders>
              <w:top w:val="single" w:sz="4" w:space="0" w:color="000000"/>
              <w:start w:val="single" w:sz="4" w:space="0" w:color="000000"/>
              <w:bottom w:val="single" w:sz="4" w:space="0" w:color="000000"/>
              <w:end w:val="single" w:sz="4" w:space="0" w:color="000000"/>
            </w:tcBorders>
            <w:shd w:color="auto" w:fill="D9D9D9" w:themeFill="background1" w:themeFillShade="d9" w:val="clear"/>
          </w:tcPr>
          <w:p>
            <w:pPr>
              <w:pStyle w:val="Normal"/>
              <w:spacing w:before="0" w:after="160"/>
              <w:rPr>
                <w:b/>
                <w:bCs/>
                <w:sz w:val="18"/>
                <w:szCs w:val="18"/>
                <w:lang w:val="en-AU" w:eastAsia="en-AU"/>
              </w:rPr>
            </w:pPr>
            <w:r>
              <w:rPr>
                <w:b/>
                <w:bCs/>
                <w:sz w:val="18"/>
                <w:szCs w:val="18"/>
                <w:lang w:val="en-AU" w:eastAsia="en-AU"/>
              </w:rPr>
              <w:t>Implementation Horizon</w:t>
            </w:r>
          </w:p>
        </w:tc>
      </w:tr>
      <w:tr>
        <w:trPr/>
        <w:tc>
          <w:tcPr>
            <w:tcW w:w="1513" w:type="dxa"/>
            <w:tcBorders>
              <w:top w:val="single" w:sz="4" w:space="0" w:color="000000"/>
              <w:start w:val="single" w:sz="4" w:space="0" w:color="000000"/>
              <w:bottom w:val="single" w:sz="4" w:space="0" w:color="000000"/>
              <w:end w:val="single" w:sz="4" w:space="0" w:color="000000"/>
            </w:tcBorders>
          </w:tcPr>
          <w:p>
            <w:pPr>
              <w:pStyle w:val="Normal"/>
              <w:spacing w:before="0" w:after="160"/>
              <w:rPr>
                <w:sz w:val="16"/>
                <w:szCs w:val="16"/>
                <w:lang w:val="en-AU" w:eastAsia="en-AU"/>
              </w:rPr>
            </w:pPr>
            <w:r>
              <w:rPr>
                <w:sz w:val="16"/>
                <w:szCs w:val="16"/>
                <w:lang w:val="en-AU" w:eastAsia="en-AU"/>
              </w:rPr>
              <w:t>{%tr for control in recommended_controls_top3.Values %}</w:t>
            </w:r>
          </w:p>
        </w:tc>
        <w:tc>
          <w:tcPr>
            <w:tcW w:w="1114" w:type="dxa"/>
            <w:tcBorders>
              <w:top w:val="single" w:sz="4" w:space="0" w:color="000000"/>
              <w:start w:val="single" w:sz="4" w:space="0" w:color="000000"/>
              <w:bottom w:val="single" w:sz="4" w:space="0" w:color="000000"/>
              <w:end w:val="single" w:sz="4" w:space="0" w:color="000000"/>
            </w:tcBorders>
          </w:tcPr>
          <w:p>
            <w:pPr>
              <w:pStyle w:val="Normal"/>
              <w:spacing w:before="0" w:after="160"/>
              <w:rPr>
                <w:sz w:val="16"/>
                <w:szCs w:val="16"/>
                <w:lang w:val="en-AU" w:eastAsia="en-AU"/>
              </w:rPr>
            </w:pPr>
            <w:r>
              <w:rPr>
                <w:sz w:val="16"/>
                <w:szCs w:val="16"/>
                <w:lang w:val="en-AU" w:eastAsia="en-AU"/>
              </w:rPr>
            </w:r>
          </w:p>
        </w:tc>
        <w:tc>
          <w:tcPr>
            <w:tcW w:w="2052" w:type="dxa"/>
            <w:tcBorders>
              <w:top w:val="single" w:sz="4" w:space="0" w:color="000000"/>
              <w:start w:val="single" w:sz="4" w:space="0" w:color="000000"/>
              <w:bottom w:val="single" w:sz="4" w:space="0" w:color="000000"/>
              <w:end w:val="single" w:sz="4" w:space="0" w:color="000000"/>
            </w:tcBorders>
          </w:tcPr>
          <w:p>
            <w:pPr>
              <w:pStyle w:val="Normal"/>
              <w:spacing w:before="0" w:after="160"/>
              <w:rPr>
                <w:sz w:val="16"/>
                <w:szCs w:val="16"/>
                <w:lang w:val="en-AU" w:eastAsia="en-AU"/>
              </w:rPr>
            </w:pPr>
            <w:r>
              <w:rPr>
                <w:sz w:val="16"/>
                <w:szCs w:val="16"/>
                <w:lang w:val="en-AU" w:eastAsia="en-AU"/>
              </w:rPr>
            </w:r>
          </w:p>
        </w:tc>
        <w:tc>
          <w:tcPr>
            <w:tcW w:w="1441" w:type="dxa"/>
            <w:tcBorders>
              <w:top w:val="single" w:sz="4" w:space="0" w:color="000000"/>
              <w:start w:val="single" w:sz="4" w:space="0" w:color="000000"/>
              <w:bottom w:val="single" w:sz="4" w:space="0" w:color="000000"/>
              <w:end w:val="single" w:sz="4" w:space="0" w:color="000000"/>
            </w:tcBorders>
          </w:tcPr>
          <w:p>
            <w:pPr>
              <w:pStyle w:val="Normal"/>
              <w:spacing w:before="0" w:after="160"/>
              <w:rPr>
                <w:sz w:val="16"/>
                <w:szCs w:val="16"/>
                <w:lang w:val="en-AU" w:eastAsia="en-AU"/>
              </w:rPr>
            </w:pPr>
            <w:r>
              <w:rPr>
                <w:sz w:val="16"/>
                <w:szCs w:val="16"/>
                <w:lang w:val="en-AU" w:eastAsia="en-AU"/>
              </w:rPr>
            </w:r>
          </w:p>
        </w:tc>
        <w:tc>
          <w:tcPr>
            <w:tcW w:w="1443" w:type="dxa"/>
            <w:tcBorders>
              <w:top w:val="single" w:sz="4" w:space="0" w:color="000000"/>
              <w:start w:val="single" w:sz="4" w:space="0" w:color="000000"/>
              <w:bottom w:val="single" w:sz="4" w:space="0" w:color="000000"/>
              <w:end w:val="single" w:sz="4" w:space="0" w:color="000000"/>
            </w:tcBorders>
          </w:tcPr>
          <w:p>
            <w:pPr>
              <w:pStyle w:val="Normal"/>
              <w:spacing w:before="0" w:after="160"/>
              <w:rPr>
                <w:sz w:val="16"/>
                <w:szCs w:val="16"/>
                <w:lang w:val="en-AU" w:eastAsia="en-AU"/>
              </w:rPr>
            </w:pPr>
            <w:r>
              <w:rPr>
                <w:sz w:val="16"/>
                <w:szCs w:val="16"/>
                <w:lang w:val="en-AU" w:eastAsia="en-AU"/>
              </w:rPr>
            </w:r>
          </w:p>
        </w:tc>
        <w:tc>
          <w:tcPr>
            <w:tcW w:w="1463" w:type="dxa"/>
            <w:tcBorders>
              <w:top w:val="single" w:sz="4" w:space="0" w:color="000000"/>
              <w:start w:val="single" w:sz="4" w:space="0" w:color="000000"/>
              <w:bottom w:val="single" w:sz="4" w:space="0" w:color="000000"/>
              <w:end w:val="single" w:sz="4" w:space="0" w:color="000000"/>
            </w:tcBorders>
          </w:tcPr>
          <w:p>
            <w:pPr>
              <w:pStyle w:val="Normal"/>
              <w:spacing w:before="0" w:after="160"/>
              <w:rPr>
                <w:sz w:val="16"/>
                <w:szCs w:val="16"/>
                <w:lang w:val="en-AU" w:eastAsia="en-AU"/>
              </w:rPr>
            </w:pPr>
            <w:r>
              <w:rPr>
                <w:sz w:val="16"/>
                <w:szCs w:val="16"/>
                <w:lang w:val="en-AU" w:eastAsia="en-AU"/>
              </w:rPr>
            </w:r>
          </w:p>
        </w:tc>
      </w:tr>
      <w:tr>
        <w:trPr/>
        <w:tc>
          <w:tcPr>
            <w:tcW w:w="1513" w:type="dxa"/>
            <w:tcBorders>
              <w:top w:val="single" w:sz="4" w:space="0" w:color="000000"/>
              <w:start w:val="single" w:sz="4" w:space="0" w:color="000000"/>
              <w:bottom w:val="single" w:sz="4" w:space="0" w:color="000000"/>
              <w:end w:val="single" w:sz="4" w:space="0" w:color="000000"/>
            </w:tcBorders>
          </w:tcPr>
          <w:p>
            <w:pPr>
              <w:pStyle w:val="Normal"/>
              <w:spacing w:before="0" w:after="160"/>
              <w:rPr>
                <w:sz w:val="16"/>
                <w:szCs w:val="16"/>
                <w:lang w:val="en-AU" w:eastAsia="en-AU"/>
              </w:rPr>
            </w:pPr>
            <w:r>
              <w:rPr>
                <w:sz w:val="16"/>
                <w:szCs w:val="16"/>
                <w:lang w:val="en-AU" w:eastAsia="en-AU"/>
              </w:rPr>
              <w:t>{{control.control_id}}</w:t>
            </w:r>
          </w:p>
        </w:tc>
        <w:tc>
          <w:tcPr>
            <w:tcW w:w="1114" w:type="dxa"/>
            <w:tcBorders>
              <w:top w:val="single" w:sz="4" w:space="0" w:color="000000"/>
              <w:start w:val="single" w:sz="4" w:space="0" w:color="000000"/>
              <w:bottom w:val="single" w:sz="4" w:space="0" w:color="000000"/>
              <w:end w:val="single" w:sz="4" w:space="0" w:color="000000"/>
            </w:tcBorders>
          </w:tcPr>
          <w:p>
            <w:pPr>
              <w:pStyle w:val="Normal"/>
              <w:spacing w:before="0" w:after="160"/>
              <w:rPr>
                <w:sz w:val="16"/>
                <w:szCs w:val="16"/>
                <w:lang w:val="en-AU" w:eastAsia="en-AU"/>
              </w:rPr>
            </w:pPr>
            <w:r>
              <w:rPr>
                <w:sz w:val="16"/>
                <w:szCs w:val="16"/>
                <w:lang w:val="en-AU" w:eastAsia="en-AU"/>
              </w:rPr>
              <w:t>{{control.title}}</w:t>
            </w:r>
          </w:p>
        </w:tc>
        <w:tc>
          <w:tcPr>
            <w:tcW w:w="2052" w:type="dxa"/>
            <w:tcBorders>
              <w:top w:val="single" w:sz="4" w:space="0" w:color="000000"/>
              <w:start w:val="single" w:sz="4" w:space="0" w:color="000000"/>
              <w:bottom w:val="single" w:sz="4" w:space="0" w:color="000000"/>
              <w:end w:val="single" w:sz="4" w:space="0" w:color="000000"/>
            </w:tcBorders>
          </w:tcPr>
          <w:p>
            <w:pPr>
              <w:pStyle w:val="Normal"/>
              <w:spacing w:before="0" w:after="160"/>
              <w:rPr>
                <w:sz w:val="16"/>
                <w:szCs w:val="16"/>
                <w:lang w:val="en-AU" w:eastAsia="en-AU"/>
              </w:rPr>
            </w:pPr>
            <w:r>
              <w:rPr>
                <w:sz w:val="16"/>
                <w:szCs w:val="16"/>
                <w:lang w:eastAsia="en-AU"/>
              </w:rPr>
              <w:t>{{control.detailed_description}}</w:t>
            </w:r>
          </w:p>
        </w:tc>
        <w:tc>
          <w:tcPr>
            <w:tcW w:w="1441" w:type="dxa"/>
            <w:tcBorders>
              <w:top w:val="single" w:sz="4" w:space="0" w:color="000000"/>
              <w:start w:val="single" w:sz="4" w:space="0" w:color="000000"/>
              <w:bottom w:val="single" w:sz="4" w:space="0" w:color="000000"/>
              <w:end w:val="single" w:sz="4" w:space="0" w:color="000000"/>
            </w:tcBorders>
          </w:tcPr>
          <w:p>
            <w:pPr>
              <w:pStyle w:val="Normal"/>
              <w:spacing w:before="0" w:after="160"/>
              <w:rPr>
                <w:sz w:val="16"/>
                <w:szCs w:val="16"/>
                <w:lang w:val="en-AU" w:eastAsia="en-AU"/>
              </w:rPr>
            </w:pPr>
            <w:r>
              <w:rPr>
                <w:sz w:val="16"/>
                <w:szCs w:val="16"/>
                <w:lang w:val="en-AU" w:eastAsia="en-AU"/>
              </w:rPr>
              <w:t>{{control.control_type}}</w:t>
            </w:r>
          </w:p>
        </w:tc>
        <w:tc>
          <w:tcPr>
            <w:tcW w:w="1443" w:type="dxa"/>
            <w:tcBorders>
              <w:top w:val="single" w:sz="4" w:space="0" w:color="000000"/>
              <w:start w:val="single" w:sz="4" w:space="0" w:color="000000"/>
              <w:bottom w:val="single" w:sz="4" w:space="0" w:color="000000"/>
              <w:end w:val="single" w:sz="4" w:space="0" w:color="000000"/>
            </w:tcBorders>
          </w:tcPr>
          <w:p>
            <w:pPr>
              <w:pStyle w:val="Normal"/>
              <w:spacing w:before="0" w:after="160"/>
              <w:rPr>
                <w:sz w:val="16"/>
                <w:szCs w:val="16"/>
                <w:lang w:val="en-AU" w:eastAsia="en-AU"/>
              </w:rPr>
            </w:pPr>
            <w:r>
              <w:rPr>
                <w:sz w:val="16"/>
                <w:szCs w:val="16"/>
                <w:lang w:val="en-AU" w:eastAsia="en-AU"/>
              </w:rPr>
              <w:t>{{control.implementation_effort}}</w:t>
            </w:r>
          </w:p>
        </w:tc>
        <w:tc>
          <w:tcPr>
            <w:tcW w:w="1463" w:type="dxa"/>
            <w:tcBorders>
              <w:top w:val="single" w:sz="4" w:space="0" w:color="000000"/>
              <w:start w:val="single" w:sz="4" w:space="0" w:color="000000"/>
              <w:bottom w:val="single" w:sz="4" w:space="0" w:color="000000"/>
              <w:end w:val="single" w:sz="4" w:space="0" w:color="000000"/>
            </w:tcBorders>
          </w:tcPr>
          <w:p>
            <w:pPr>
              <w:pStyle w:val="Normal"/>
              <w:spacing w:before="0" w:after="160"/>
              <w:rPr>
                <w:sz w:val="16"/>
                <w:szCs w:val="16"/>
                <w:lang w:val="en-AU" w:eastAsia="en-AU"/>
              </w:rPr>
            </w:pPr>
            <w:r>
              <w:rPr>
                <w:sz w:val="16"/>
                <w:szCs w:val="16"/>
                <w:lang w:val="en-AU" w:eastAsia="en-AU"/>
              </w:rPr>
              <w:t>{{control.implementation_horizon}}</w:t>
            </w:r>
          </w:p>
        </w:tc>
      </w:tr>
      <w:tr>
        <w:trPr/>
        <w:tc>
          <w:tcPr>
            <w:tcW w:w="1513" w:type="dxa"/>
            <w:tcBorders>
              <w:top w:val="single" w:sz="4" w:space="0" w:color="000000"/>
              <w:start w:val="single" w:sz="4" w:space="0" w:color="000000"/>
              <w:bottom w:val="single" w:sz="4" w:space="0" w:color="000000"/>
              <w:end w:val="single" w:sz="4" w:space="0" w:color="000000"/>
            </w:tcBorders>
          </w:tcPr>
          <w:p>
            <w:pPr>
              <w:pStyle w:val="Normal"/>
              <w:spacing w:before="0" w:after="160"/>
              <w:rPr>
                <w:sz w:val="16"/>
                <w:szCs w:val="16"/>
                <w:lang w:val="en-AU" w:eastAsia="en-AU"/>
              </w:rPr>
            </w:pPr>
            <w:r>
              <w:rPr>
                <w:sz w:val="16"/>
                <w:szCs w:val="16"/>
                <w:lang w:val="en-AU" w:eastAsia="en-AU"/>
              </w:rPr>
              <w:t>{%tr endfor %}</w:t>
            </w:r>
          </w:p>
        </w:tc>
        <w:tc>
          <w:tcPr>
            <w:tcW w:w="1114" w:type="dxa"/>
            <w:tcBorders>
              <w:top w:val="single" w:sz="4" w:space="0" w:color="000000"/>
              <w:start w:val="single" w:sz="4" w:space="0" w:color="000000"/>
              <w:bottom w:val="single" w:sz="4" w:space="0" w:color="000000"/>
              <w:end w:val="single" w:sz="4" w:space="0" w:color="000000"/>
            </w:tcBorders>
          </w:tcPr>
          <w:p>
            <w:pPr>
              <w:pStyle w:val="Normal"/>
              <w:spacing w:before="0" w:after="160"/>
              <w:rPr>
                <w:sz w:val="16"/>
                <w:szCs w:val="16"/>
                <w:lang w:val="en-AU" w:eastAsia="en-AU"/>
              </w:rPr>
            </w:pPr>
            <w:r>
              <w:rPr>
                <w:sz w:val="16"/>
                <w:szCs w:val="16"/>
                <w:lang w:val="en-AU" w:eastAsia="en-AU"/>
              </w:rPr>
            </w:r>
          </w:p>
        </w:tc>
        <w:tc>
          <w:tcPr>
            <w:tcW w:w="2052" w:type="dxa"/>
            <w:tcBorders>
              <w:top w:val="single" w:sz="4" w:space="0" w:color="000000"/>
              <w:start w:val="single" w:sz="4" w:space="0" w:color="000000"/>
              <w:bottom w:val="single" w:sz="4" w:space="0" w:color="000000"/>
              <w:end w:val="single" w:sz="4" w:space="0" w:color="000000"/>
            </w:tcBorders>
          </w:tcPr>
          <w:p>
            <w:pPr>
              <w:pStyle w:val="Normal"/>
              <w:spacing w:before="0" w:after="160"/>
              <w:rPr>
                <w:sz w:val="16"/>
                <w:szCs w:val="16"/>
                <w:lang w:val="en-AU" w:eastAsia="en-AU"/>
              </w:rPr>
            </w:pPr>
            <w:r>
              <w:rPr>
                <w:sz w:val="16"/>
                <w:szCs w:val="16"/>
                <w:lang w:val="en-AU" w:eastAsia="en-AU"/>
              </w:rPr>
            </w:r>
          </w:p>
        </w:tc>
        <w:tc>
          <w:tcPr>
            <w:tcW w:w="1441" w:type="dxa"/>
            <w:tcBorders>
              <w:top w:val="single" w:sz="4" w:space="0" w:color="000000"/>
              <w:start w:val="single" w:sz="4" w:space="0" w:color="000000"/>
              <w:bottom w:val="single" w:sz="4" w:space="0" w:color="000000"/>
              <w:end w:val="single" w:sz="4" w:space="0" w:color="000000"/>
            </w:tcBorders>
          </w:tcPr>
          <w:p>
            <w:pPr>
              <w:pStyle w:val="Normal"/>
              <w:spacing w:before="0" w:after="160"/>
              <w:rPr>
                <w:sz w:val="16"/>
                <w:szCs w:val="16"/>
                <w:lang w:val="en-AU" w:eastAsia="en-AU"/>
              </w:rPr>
            </w:pPr>
            <w:r>
              <w:rPr>
                <w:sz w:val="16"/>
                <w:szCs w:val="16"/>
                <w:lang w:val="en-AU" w:eastAsia="en-AU"/>
              </w:rPr>
            </w:r>
          </w:p>
        </w:tc>
        <w:tc>
          <w:tcPr>
            <w:tcW w:w="1443" w:type="dxa"/>
            <w:tcBorders>
              <w:top w:val="single" w:sz="4" w:space="0" w:color="000000"/>
              <w:start w:val="single" w:sz="4" w:space="0" w:color="000000"/>
              <w:bottom w:val="single" w:sz="4" w:space="0" w:color="000000"/>
              <w:end w:val="single" w:sz="4" w:space="0" w:color="000000"/>
            </w:tcBorders>
          </w:tcPr>
          <w:p>
            <w:pPr>
              <w:pStyle w:val="Normal"/>
              <w:spacing w:before="0" w:after="160"/>
              <w:rPr>
                <w:sz w:val="16"/>
                <w:szCs w:val="16"/>
                <w:lang w:val="en-AU" w:eastAsia="en-AU"/>
              </w:rPr>
            </w:pPr>
            <w:r>
              <w:rPr>
                <w:sz w:val="16"/>
                <w:szCs w:val="16"/>
                <w:lang w:val="en-AU" w:eastAsia="en-AU"/>
              </w:rPr>
            </w:r>
          </w:p>
        </w:tc>
        <w:tc>
          <w:tcPr>
            <w:tcW w:w="1463" w:type="dxa"/>
            <w:tcBorders>
              <w:top w:val="single" w:sz="4" w:space="0" w:color="000000"/>
              <w:start w:val="single" w:sz="4" w:space="0" w:color="000000"/>
              <w:bottom w:val="single" w:sz="4" w:space="0" w:color="000000"/>
              <w:end w:val="single" w:sz="4" w:space="0" w:color="000000"/>
            </w:tcBorders>
          </w:tcPr>
          <w:p>
            <w:pPr>
              <w:pStyle w:val="Normal"/>
              <w:spacing w:before="0" w:after="160"/>
              <w:rPr>
                <w:sz w:val="16"/>
                <w:szCs w:val="16"/>
                <w:lang w:val="en-AU" w:eastAsia="en-AU"/>
              </w:rPr>
            </w:pPr>
            <w:r>
              <w:rPr>
                <w:sz w:val="16"/>
                <w:szCs w:val="16"/>
                <w:lang w:val="en-AU" w:eastAsia="en-AU"/>
              </w:rPr>
            </w:r>
          </w:p>
        </w:tc>
      </w:tr>
    </w:tbl>
    <w:p>
      <w:pPr>
        <w:pStyle w:val="Normal"/>
        <w:rPr>
          <w:lang w:val="en-AU" w:eastAsia="en-AU"/>
        </w:rPr>
      </w:pPr>
      <w:r>
        <w:rPr>
          <w:lang w:val="en-AU" w:eastAsia="en-AU"/>
        </w:rPr>
      </w:r>
    </w:p>
    <w:p>
      <w:pPr>
        <w:pStyle w:val="Normal"/>
        <w:rPr>
          <w:b/>
          <w:bCs/>
          <w:lang w:eastAsia="en-AU"/>
        </w:rPr>
      </w:pPr>
      <w:r>
        <w:rPr>
          <w:b/>
          <w:bCs/>
          <w:lang w:eastAsia="en-AU"/>
        </w:rPr>
        <w:t>Domain Control Rationale</w:t>
      </w:r>
    </w:p>
    <w:p>
      <w:pPr>
        <w:pStyle w:val="Normal"/>
        <w:rPr>
          <w:lang w:val="en-AU" w:eastAsia="en-AU"/>
        </w:rPr>
      </w:pPr>
      <w:r>
        <w:rPr>
          <w:lang w:val="en-AU" w:eastAsia="en-AU"/>
        </w:rPr>
        <w:t>{{ai.f_domain_b5_controls_rationale}}</w:t>
      </w:r>
    </w:p>
    <w:p>
      <w:pPr>
        <w:pStyle w:val="Normal"/>
        <w:rPr>
          <w:lang w:val="en-AU" w:eastAsia="en-AU"/>
        </w:rPr>
      </w:pPr>
      <w:r>
        <w:rPr>
          <w:lang w:val="en-AU" w:eastAsia="en-AU"/>
        </w:rPr>
      </w:r>
    </w:p>
    <w:p>
      <w:pPr>
        <w:pStyle w:val="Normal"/>
        <w:rPr>
          <w:b/>
          <w:bCs/>
          <w:i/>
          <w:iCs/>
          <w:lang w:eastAsia="en-AU"/>
        </w:rPr>
      </w:pPr>
      <w:r>
        <w:rPr>
          <w:b/>
          <w:bCs/>
          <w:lang w:eastAsia="en-AU"/>
        </w:rPr>
        <w:t>C2.6 — Privacy Protection and Security</w:t>
      </w:r>
    </w:p>
    <w:p>
      <w:pPr>
        <w:pStyle w:val="Normal"/>
        <w:rPr>
          <w:lang w:eastAsia="en-AU"/>
        </w:rPr>
      </w:pPr>
      <w:r>
        <w:rPr>
          <w:lang w:eastAsia="en-AU"/>
        </w:rPr>
        <w:t>The following recommended controls are intended to address risks identified within the Privacy Protection and Security domain.</w:t>
      </w:r>
    </w:p>
    <w:p>
      <w:pPr>
        <w:pStyle w:val="Normal"/>
        <w:rPr>
          <w:b/>
          <w:bCs/>
          <w:i/>
          <w:iCs/>
          <w:lang w:eastAsia="en-AU"/>
        </w:rPr>
      </w:pPr>
      <w:r>
        <w:rPr>
          <w:b/>
          <w:bCs/>
          <w:lang w:eastAsia="en-AU"/>
        </w:rPr>
        <w:t>Recommended Controls — Privacy Protection and Security</w:t>
      </w:r>
    </w:p>
    <w:tbl>
      <w:tblPr>
        <w:tblW w:w="5000" w:type="pct"/>
        <w:jc w:val="start"/>
        <w:tblInd w:w="0" w:type="dxa"/>
        <w:tblLayout w:type="fixed"/>
        <w:tblCellMar>
          <w:top w:w="43" w:type="dxa"/>
          <w:start w:w="43" w:type="dxa"/>
          <w:bottom w:w="43" w:type="dxa"/>
          <w:end w:w="43" w:type="dxa"/>
        </w:tblCellMar>
        <w:tblLook w:firstRow="1" w:noVBand="1" w:lastRow="0" w:firstColumn="1" w:lastColumn="0" w:noHBand="0" w:val="04a0"/>
      </w:tblPr>
      <w:tblGrid>
        <w:gridCol w:w="1513"/>
        <w:gridCol w:w="1114"/>
        <w:gridCol w:w="2052"/>
        <w:gridCol w:w="1441"/>
        <w:gridCol w:w="1443"/>
        <w:gridCol w:w="1463"/>
      </w:tblGrid>
      <w:tr>
        <w:trPr>
          <w:tblHeader w:val="true"/>
        </w:trPr>
        <w:tc>
          <w:tcPr>
            <w:tcW w:w="1513" w:type="dxa"/>
            <w:tcBorders>
              <w:top w:val="single" w:sz="4" w:space="0" w:color="000000"/>
              <w:start w:val="single" w:sz="4" w:space="0" w:color="000000"/>
              <w:bottom w:val="single" w:sz="4" w:space="0" w:color="000000"/>
              <w:end w:val="single" w:sz="4" w:space="0" w:color="000000"/>
            </w:tcBorders>
            <w:shd w:color="auto" w:fill="D9D9D9" w:themeFill="background1" w:themeFillShade="d9" w:val="clear"/>
          </w:tcPr>
          <w:p>
            <w:pPr>
              <w:pStyle w:val="Normal"/>
              <w:spacing w:before="0" w:after="160"/>
              <w:rPr>
                <w:b/>
                <w:bCs/>
                <w:sz w:val="18"/>
                <w:szCs w:val="18"/>
                <w:lang w:val="en-AU" w:eastAsia="en-AU"/>
              </w:rPr>
            </w:pPr>
            <w:r>
              <w:rPr>
                <w:b/>
                <w:bCs/>
                <w:sz w:val="18"/>
                <w:szCs w:val="18"/>
                <w:lang w:val="en-AU" w:eastAsia="en-AU"/>
              </w:rPr>
              <w:t>Control ID</w:t>
            </w:r>
          </w:p>
        </w:tc>
        <w:tc>
          <w:tcPr>
            <w:tcW w:w="1114" w:type="dxa"/>
            <w:tcBorders>
              <w:top w:val="single" w:sz="4" w:space="0" w:color="000000"/>
              <w:start w:val="single" w:sz="4" w:space="0" w:color="000000"/>
              <w:bottom w:val="single" w:sz="4" w:space="0" w:color="000000"/>
              <w:end w:val="single" w:sz="4" w:space="0" w:color="000000"/>
            </w:tcBorders>
            <w:shd w:color="auto" w:fill="D9D9D9" w:themeFill="background1" w:themeFillShade="d9" w:val="clear"/>
          </w:tcPr>
          <w:p>
            <w:pPr>
              <w:pStyle w:val="Normal"/>
              <w:spacing w:before="0" w:after="160"/>
              <w:rPr>
                <w:b/>
                <w:bCs/>
                <w:sz w:val="18"/>
                <w:szCs w:val="18"/>
                <w:lang w:val="en-AU" w:eastAsia="en-AU"/>
              </w:rPr>
            </w:pPr>
            <w:r>
              <w:rPr>
                <w:b/>
                <w:bCs/>
                <w:sz w:val="18"/>
                <w:szCs w:val="18"/>
                <w:lang w:val="en-AU" w:eastAsia="en-AU"/>
              </w:rPr>
              <w:t>Title</w:t>
            </w:r>
          </w:p>
        </w:tc>
        <w:tc>
          <w:tcPr>
            <w:tcW w:w="2052" w:type="dxa"/>
            <w:tcBorders>
              <w:top w:val="single" w:sz="4" w:space="0" w:color="000000"/>
              <w:start w:val="single" w:sz="4" w:space="0" w:color="000000"/>
              <w:bottom w:val="single" w:sz="4" w:space="0" w:color="000000"/>
              <w:end w:val="single" w:sz="4" w:space="0" w:color="000000"/>
            </w:tcBorders>
            <w:shd w:color="auto" w:fill="D9D9D9" w:themeFill="background1" w:themeFillShade="d9" w:val="clear"/>
          </w:tcPr>
          <w:p>
            <w:pPr>
              <w:pStyle w:val="Normal"/>
              <w:spacing w:before="0" w:after="160"/>
              <w:rPr>
                <w:b/>
                <w:bCs/>
                <w:sz w:val="18"/>
                <w:szCs w:val="18"/>
                <w:lang w:val="en-AU" w:eastAsia="en-AU"/>
              </w:rPr>
            </w:pPr>
            <w:r>
              <w:rPr>
                <w:b/>
                <w:bCs/>
                <w:sz w:val="18"/>
                <w:szCs w:val="18"/>
                <w:lang w:val="en-AU" w:eastAsia="en-AU"/>
              </w:rPr>
              <w:t>Details</w:t>
            </w:r>
          </w:p>
        </w:tc>
        <w:tc>
          <w:tcPr>
            <w:tcW w:w="1441" w:type="dxa"/>
            <w:tcBorders>
              <w:top w:val="single" w:sz="4" w:space="0" w:color="000000"/>
              <w:start w:val="single" w:sz="4" w:space="0" w:color="000000"/>
              <w:bottom w:val="single" w:sz="4" w:space="0" w:color="000000"/>
              <w:end w:val="single" w:sz="4" w:space="0" w:color="000000"/>
            </w:tcBorders>
            <w:shd w:color="auto" w:fill="D9D9D9" w:themeFill="background1" w:themeFillShade="d9" w:val="clear"/>
          </w:tcPr>
          <w:p>
            <w:pPr>
              <w:pStyle w:val="Normal"/>
              <w:spacing w:before="0" w:after="160"/>
              <w:rPr>
                <w:b/>
                <w:bCs/>
                <w:sz w:val="18"/>
                <w:szCs w:val="18"/>
                <w:lang w:val="en-AU" w:eastAsia="en-AU"/>
              </w:rPr>
            </w:pPr>
            <w:r>
              <w:rPr>
                <w:b/>
                <w:bCs/>
                <w:sz w:val="18"/>
                <w:szCs w:val="18"/>
                <w:lang w:val="en-AU" w:eastAsia="en-AU"/>
              </w:rPr>
              <w:t>Control Type</w:t>
            </w:r>
          </w:p>
        </w:tc>
        <w:tc>
          <w:tcPr>
            <w:tcW w:w="1443" w:type="dxa"/>
            <w:tcBorders>
              <w:top w:val="single" w:sz="4" w:space="0" w:color="000000"/>
              <w:start w:val="single" w:sz="4" w:space="0" w:color="000000"/>
              <w:bottom w:val="single" w:sz="4" w:space="0" w:color="000000"/>
              <w:end w:val="single" w:sz="4" w:space="0" w:color="000000"/>
            </w:tcBorders>
            <w:shd w:color="auto" w:fill="D9D9D9" w:themeFill="background1" w:themeFillShade="d9" w:val="clear"/>
          </w:tcPr>
          <w:p>
            <w:pPr>
              <w:pStyle w:val="Normal"/>
              <w:spacing w:before="0" w:after="160"/>
              <w:rPr>
                <w:b/>
                <w:bCs/>
                <w:sz w:val="18"/>
                <w:szCs w:val="18"/>
                <w:lang w:val="en-AU" w:eastAsia="en-AU"/>
              </w:rPr>
            </w:pPr>
            <w:r>
              <w:rPr>
                <w:b/>
                <w:bCs/>
                <w:sz w:val="18"/>
                <w:szCs w:val="18"/>
                <w:lang w:val="en-AU" w:eastAsia="en-AU"/>
              </w:rPr>
              <w:t>Implementation Effort</w:t>
            </w:r>
          </w:p>
        </w:tc>
        <w:tc>
          <w:tcPr>
            <w:tcW w:w="1463" w:type="dxa"/>
            <w:tcBorders>
              <w:top w:val="single" w:sz="4" w:space="0" w:color="000000"/>
              <w:start w:val="single" w:sz="4" w:space="0" w:color="000000"/>
              <w:bottom w:val="single" w:sz="4" w:space="0" w:color="000000"/>
              <w:end w:val="single" w:sz="4" w:space="0" w:color="000000"/>
            </w:tcBorders>
            <w:shd w:color="auto" w:fill="D9D9D9" w:themeFill="background1" w:themeFillShade="d9" w:val="clear"/>
          </w:tcPr>
          <w:p>
            <w:pPr>
              <w:pStyle w:val="Normal"/>
              <w:spacing w:before="0" w:after="160"/>
              <w:rPr>
                <w:b/>
                <w:bCs/>
                <w:sz w:val="18"/>
                <w:szCs w:val="18"/>
                <w:lang w:val="en-AU" w:eastAsia="en-AU"/>
              </w:rPr>
            </w:pPr>
            <w:r>
              <w:rPr>
                <w:b/>
                <w:bCs/>
                <w:sz w:val="18"/>
                <w:szCs w:val="18"/>
                <w:lang w:val="en-AU" w:eastAsia="en-AU"/>
              </w:rPr>
              <w:t>Implementation Horizon</w:t>
            </w:r>
          </w:p>
        </w:tc>
      </w:tr>
      <w:tr>
        <w:trPr/>
        <w:tc>
          <w:tcPr>
            <w:tcW w:w="1513" w:type="dxa"/>
            <w:tcBorders>
              <w:top w:val="single" w:sz="4" w:space="0" w:color="000000"/>
              <w:start w:val="single" w:sz="4" w:space="0" w:color="000000"/>
              <w:bottom w:val="single" w:sz="4" w:space="0" w:color="000000"/>
              <w:end w:val="single" w:sz="4" w:space="0" w:color="000000"/>
            </w:tcBorders>
          </w:tcPr>
          <w:p>
            <w:pPr>
              <w:pStyle w:val="Normal"/>
              <w:spacing w:before="0" w:after="160"/>
              <w:rPr>
                <w:sz w:val="16"/>
                <w:szCs w:val="16"/>
                <w:lang w:val="en-AU" w:eastAsia="en-AU"/>
              </w:rPr>
            </w:pPr>
            <w:r>
              <w:rPr>
                <w:sz w:val="16"/>
                <w:szCs w:val="16"/>
                <w:lang w:val="en-AU" w:eastAsia="en-AU"/>
              </w:rPr>
              <w:t>{%tr for control in recommended_controls_top3.Privacy %}</w:t>
            </w:r>
          </w:p>
        </w:tc>
        <w:tc>
          <w:tcPr>
            <w:tcW w:w="1114" w:type="dxa"/>
            <w:tcBorders>
              <w:top w:val="single" w:sz="4" w:space="0" w:color="000000"/>
              <w:start w:val="single" w:sz="4" w:space="0" w:color="000000"/>
              <w:bottom w:val="single" w:sz="4" w:space="0" w:color="000000"/>
              <w:end w:val="single" w:sz="4" w:space="0" w:color="000000"/>
            </w:tcBorders>
          </w:tcPr>
          <w:p>
            <w:pPr>
              <w:pStyle w:val="Normal"/>
              <w:spacing w:before="0" w:after="160"/>
              <w:rPr>
                <w:sz w:val="16"/>
                <w:szCs w:val="16"/>
                <w:lang w:val="en-AU" w:eastAsia="en-AU"/>
              </w:rPr>
            </w:pPr>
            <w:r>
              <w:rPr>
                <w:sz w:val="16"/>
                <w:szCs w:val="16"/>
                <w:lang w:val="en-AU" w:eastAsia="en-AU"/>
              </w:rPr>
            </w:r>
          </w:p>
        </w:tc>
        <w:tc>
          <w:tcPr>
            <w:tcW w:w="2052" w:type="dxa"/>
            <w:tcBorders>
              <w:top w:val="single" w:sz="4" w:space="0" w:color="000000"/>
              <w:start w:val="single" w:sz="4" w:space="0" w:color="000000"/>
              <w:bottom w:val="single" w:sz="4" w:space="0" w:color="000000"/>
              <w:end w:val="single" w:sz="4" w:space="0" w:color="000000"/>
            </w:tcBorders>
          </w:tcPr>
          <w:p>
            <w:pPr>
              <w:pStyle w:val="Normal"/>
              <w:spacing w:before="0" w:after="160"/>
              <w:rPr>
                <w:sz w:val="16"/>
                <w:szCs w:val="16"/>
                <w:lang w:val="en-AU" w:eastAsia="en-AU"/>
              </w:rPr>
            </w:pPr>
            <w:r>
              <w:rPr>
                <w:sz w:val="16"/>
                <w:szCs w:val="16"/>
                <w:lang w:val="en-AU" w:eastAsia="en-AU"/>
              </w:rPr>
            </w:r>
          </w:p>
        </w:tc>
        <w:tc>
          <w:tcPr>
            <w:tcW w:w="1441" w:type="dxa"/>
            <w:tcBorders>
              <w:top w:val="single" w:sz="4" w:space="0" w:color="000000"/>
              <w:start w:val="single" w:sz="4" w:space="0" w:color="000000"/>
              <w:bottom w:val="single" w:sz="4" w:space="0" w:color="000000"/>
              <w:end w:val="single" w:sz="4" w:space="0" w:color="000000"/>
            </w:tcBorders>
          </w:tcPr>
          <w:p>
            <w:pPr>
              <w:pStyle w:val="Normal"/>
              <w:spacing w:before="0" w:after="160"/>
              <w:rPr>
                <w:sz w:val="16"/>
                <w:szCs w:val="16"/>
                <w:lang w:val="en-AU" w:eastAsia="en-AU"/>
              </w:rPr>
            </w:pPr>
            <w:r>
              <w:rPr>
                <w:sz w:val="16"/>
                <w:szCs w:val="16"/>
                <w:lang w:val="en-AU" w:eastAsia="en-AU"/>
              </w:rPr>
            </w:r>
          </w:p>
        </w:tc>
        <w:tc>
          <w:tcPr>
            <w:tcW w:w="1443" w:type="dxa"/>
            <w:tcBorders>
              <w:top w:val="single" w:sz="4" w:space="0" w:color="000000"/>
              <w:start w:val="single" w:sz="4" w:space="0" w:color="000000"/>
              <w:bottom w:val="single" w:sz="4" w:space="0" w:color="000000"/>
              <w:end w:val="single" w:sz="4" w:space="0" w:color="000000"/>
            </w:tcBorders>
          </w:tcPr>
          <w:p>
            <w:pPr>
              <w:pStyle w:val="Normal"/>
              <w:spacing w:before="0" w:after="160"/>
              <w:rPr>
                <w:sz w:val="16"/>
                <w:szCs w:val="16"/>
                <w:lang w:val="en-AU" w:eastAsia="en-AU"/>
              </w:rPr>
            </w:pPr>
            <w:r>
              <w:rPr>
                <w:sz w:val="16"/>
                <w:szCs w:val="16"/>
                <w:lang w:val="en-AU" w:eastAsia="en-AU"/>
              </w:rPr>
            </w:r>
          </w:p>
        </w:tc>
        <w:tc>
          <w:tcPr>
            <w:tcW w:w="1463" w:type="dxa"/>
            <w:tcBorders>
              <w:top w:val="single" w:sz="4" w:space="0" w:color="000000"/>
              <w:start w:val="single" w:sz="4" w:space="0" w:color="000000"/>
              <w:bottom w:val="single" w:sz="4" w:space="0" w:color="000000"/>
              <w:end w:val="single" w:sz="4" w:space="0" w:color="000000"/>
            </w:tcBorders>
          </w:tcPr>
          <w:p>
            <w:pPr>
              <w:pStyle w:val="Normal"/>
              <w:spacing w:before="0" w:after="160"/>
              <w:rPr>
                <w:sz w:val="16"/>
                <w:szCs w:val="16"/>
                <w:lang w:val="en-AU" w:eastAsia="en-AU"/>
              </w:rPr>
            </w:pPr>
            <w:r>
              <w:rPr>
                <w:sz w:val="16"/>
                <w:szCs w:val="16"/>
                <w:lang w:val="en-AU" w:eastAsia="en-AU"/>
              </w:rPr>
            </w:r>
          </w:p>
        </w:tc>
      </w:tr>
      <w:tr>
        <w:trPr/>
        <w:tc>
          <w:tcPr>
            <w:tcW w:w="1513" w:type="dxa"/>
            <w:tcBorders>
              <w:top w:val="single" w:sz="4" w:space="0" w:color="000000"/>
              <w:start w:val="single" w:sz="4" w:space="0" w:color="000000"/>
              <w:bottom w:val="single" w:sz="4" w:space="0" w:color="000000"/>
              <w:end w:val="single" w:sz="4" w:space="0" w:color="000000"/>
            </w:tcBorders>
          </w:tcPr>
          <w:p>
            <w:pPr>
              <w:pStyle w:val="Normal"/>
              <w:spacing w:before="0" w:after="160"/>
              <w:rPr>
                <w:sz w:val="16"/>
                <w:szCs w:val="16"/>
                <w:lang w:val="en-AU" w:eastAsia="en-AU"/>
              </w:rPr>
            </w:pPr>
            <w:r>
              <w:rPr>
                <w:sz w:val="16"/>
                <w:szCs w:val="16"/>
                <w:lang w:val="en-AU" w:eastAsia="en-AU"/>
              </w:rPr>
              <w:t>{{control.control_id}}</w:t>
            </w:r>
          </w:p>
        </w:tc>
        <w:tc>
          <w:tcPr>
            <w:tcW w:w="1114" w:type="dxa"/>
            <w:tcBorders>
              <w:top w:val="single" w:sz="4" w:space="0" w:color="000000"/>
              <w:start w:val="single" w:sz="4" w:space="0" w:color="000000"/>
              <w:bottom w:val="single" w:sz="4" w:space="0" w:color="000000"/>
              <w:end w:val="single" w:sz="4" w:space="0" w:color="000000"/>
            </w:tcBorders>
          </w:tcPr>
          <w:p>
            <w:pPr>
              <w:pStyle w:val="Normal"/>
              <w:spacing w:before="0" w:after="160"/>
              <w:rPr>
                <w:sz w:val="16"/>
                <w:szCs w:val="16"/>
                <w:lang w:val="en-AU" w:eastAsia="en-AU"/>
              </w:rPr>
            </w:pPr>
            <w:r>
              <w:rPr>
                <w:sz w:val="16"/>
                <w:szCs w:val="16"/>
                <w:lang w:val="en-AU" w:eastAsia="en-AU"/>
              </w:rPr>
              <w:t>{{control.title}}</w:t>
            </w:r>
          </w:p>
        </w:tc>
        <w:tc>
          <w:tcPr>
            <w:tcW w:w="2052" w:type="dxa"/>
            <w:tcBorders>
              <w:top w:val="single" w:sz="4" w:space="0" w:color="000000"/>
              <w:start w:val="single" w:sz="4" w:space="0" w:color="000000"/>
              <w:bottom w:val="single" w:sz="4" w:space="0" w:color="000000"/>
              <w:end w:val="single" w:sz="4" w:space="0" w:color="000000"/>
            </w:tcBorders>
          </w:tcPr>
          <w:p>
            <w:pPr>
              <w:pStyle w:val="Normal"/>
              <w:spacing w:before="0" w:after="160"/>
              <w:rPr>
                <w:sz w:val="16"/>
                <w:szCs w:val="16"/>
                <w:lang w:val="en-AU" w:eastAsia="en-AU"/>
              </w:rPr>
            </w:pPr>
            <w:r>
              <w:rPr>
                <w:sz w:val="16"/>
                <w:szCs w:val="16"/>
                <w:lang w:eastAsia="en-AU"/>
              </w:rPr>
              <w:t>{{control.detailed_description}}</w:t>
            </w:r>
          </w:p>
        </w:tc>
        <w:tc>
          <w:tcPr>
            <w:tcW w:w="1441" w:type="dxa"/>
            <w:tcBorders>
              <w:top w:val="single" w:sz="4" w:space="0" w:color="000000"/>
              <w:start w:val="single" w:sz="4" w:space="0" w:color="000000"/>
              <w:bottom w:val="single" w:sz="4" w:space="0" w:color="000000"/>
              <w:end w:val="single" w:sz="4" w:space="0" w:color="000000"/>
            </w:tcBorders>
          </w:tcPr>
          <w:p>
            <w:pPr>
              <w:pStyle w:val="Normal"/>
              <w:spacing w:before="0" w:after="160"/>
              <w:rPr>
                <w:sz w:val="16"/>
                <w:szCs w:val="16"/>
                <w:lang w:val="en-AU" w:eastAsia="en-AU"/>
              </w:rPr>
            </w:pPr>
            <w:r>
              <w:rPr>
                <w:sz w:val="16"/>
                <w:szCs w:val="16"/>
                <w:lang w:val="en-AU" w:eastAsia="en-AU"/>
              </w:rPr>
              <w:t>{{control.control_type}}</w:t>
            </w:r>
          </w:p>
        </w:tc>
        <w:tc>
          <w:tcPr>
            <w:tcW w:w="1443" w:type="dxa"/>
            <w:tcBorders>
              <w:top w:val="single" w:sz="4" w:space="0" w:color="000000"/>
              <w:start w:val="single" w:sz="4" w:space="0" w:color="000000"/>
              <w:bottom w:val="single" w:sz="4" w:space="0" w:color="000000"/>
              <w:end w:val="single" w:sz="4" w:space="0" w:color="000000"/>
            </w:tcBorders>
          </w:tcPr>
          <w:p>
            <w:pPr>
              <w:pStyle w:val="Normal"/>
              <w:spacing w:before="0" w:after="160"/>
              <w:rPr>
                <w:sz w:val="16"/>
                <w:szCs w:val="16"/>
                <w:lang w:val="en-AU" w:eastAsia="en-AU"/>
              </w:rPr>
            </w:pPr>
            <w:r>
              <w:rPr>
                <w:sz w:val="16"/>
                <w:szCs w:val="16"/>
                <w:lang w:val="en-AU" w:eastAsia="en-AU"/>
              </w:rPr>
              <w:t>{{control.implementation_effort}}</w:t>
            </w:r>
          </w:p>
        </w:tc>
        <w:tc>
          <w:tcPr>
            <w:tcW w:w="1463" w:type="dxa"/>
            <w:tcBorders>
              <w:top w:val="single" w:sz="4" w:space="0" w:color="000000"/>
              <w:start w:val="single" w:sz="4" w:space="0" w:color="000000"/>
              <w:bottom w:val="single" w:sz="4" w:space="0" w:color="000000"/>
              <w:end w:val="single" w:sz="4" w:space="0" w:color="000000"/>
            </w:tcBorders>
          </w:tcPr>
          <w:p>
            <w:pPr>
              <w:pStyle w:val="Normal"/>
              <w:spacing w:before="0" w:after="160"/>
              <w:rPr>
                <w:sz w:val="16"/>
                <w:szCs w:val="16"/>
                <w:lang w:val="en-AU" w:eastAsia="en-AU"/>
              </w:rPr>
            </w:pPr>
            <w:r>
              <w:rPr>
                <w:sz w:val="16"/>
                <w:szCs w:val="16"/>
                <w:lang w:val="en-AU" w:eastAsia="en-AU"/>
              </w:rPr>
              <w:t>{{control.implementation_horizon}}</w:t>
            </w:r>
          </w:p>
        </w:tc>
      </w:tr>
      <w:tr>
        <w:trPr/>
        <w:tc>
          <w:tcPr>
            <w:tcW w:w="1513" w:type="dxa"/>
            <w:tcBorders>
              <w:top w:val="single" w:sz="4" w:space="0" w:color="000000"/>
              <w:start w:val="single" w:sz="4" w:space="0" w:color="000000"/>
              <w:bottom w:val="single" w:sz="4" w:space="0" w:color="000000"/>
              <w:end w:val="single" w:sz="4" w:space="0" w:color="000000"/>
            </w:tcBorders>
          </w:tcPr>
          <w:p>
            <w:pPr>
              <w:pStyle w:val="Normal"/>
              <w:spacing w:before="0" w:after="160"/>
              <w:rPr>
                <w:sz w:val="16"/>
                <w:szCs w:val="16"/>
                <w:lang w:val="en-AU" w:eastAsia="en-AU"/>
              </w:rPr>
            </w:pPr>
            <w:r>
              <w:rPr>
                <w:sz w:val="16"/>
                <w:szCs w:val="16"/>
                <w:lang w:val="en-AU" w:eastAsia="en-AU"/>
              </w:rPr>
              <w:t>{%tr endfor %}</w:t>
            </w:r>
          </w:p>
        </w:tc>
        <w:tc>
          <w:tcPr>
            <w:tcW w:w="1114" w:type="dxa"/>
            <w:tcBorders>
              <w:top w:val="single" w:sz="4" w:space="0" w:color="000000"/>
              <w:start w:val="single" w:sz="4" w:space="0" w:color="000000"/>
              <w:bottom w:val="single" w:sz="4" w:space="0" w:color="000000"/>
              <w:end w:val="single" w:sz="4" w:space="0" w:color="000000"/>
            </w:tcBorders>
          </w:tcPr>
          <w:p>
            <w:pPr>
              <w:pStyle w:val="Normal"/>
              <w:spacing w:before="0" w:after="160"/>
              <w:rPr>
                <w:sz w:val="16"/>
                <w:szCs w:val="16"/>
                <w:lang w:val="en-AU" w:eastAsia="en-AU"/>
              </w:rPr>
            </w:pPr>
            <w:r>
              <w:rPr>
                <w:sz w:val="16"/>
                <w:szCs w:val="16"/>
                <w:lang w:val="en-AU" w:eastAsia="en-AU"/>
              </w:rPr>
            </w:r>
          </w:p>
        </w:tc>
        <w:tc>
          <w:tcPr>
            <w:tcW w:w="2052" w:type="dxa"/>
            <w:tcBorders>
              <w:top w:val="single" w:sz="4" w:space="0" w:color="000000"/>
              <w:start w:val="single" w:sz="4" w:space="0" w:color="000000"/>
              <w:bottom w:val="single" w:sz="4" w:space="0" w:color="000000"/>
              <w:end w:val="single" w:sz="4" w:space="0" w:color="000000"/>
            </w:tcBorders>
          </w:tcPr>
          <w:p>
            <w:pPr>
              <w:pStyle w:val="Normal"/>
              <w:spacing w:before="0" w:after="160"/>
              <w:rPr>
                <w:sz w:val="16"/>
                <w:szCs w:val="16"/>
                <w:lang w:val="en-AU" w:eastAsia="en-AU"/>
              </w:rPr>
            </w:pPr>
            <w:r>
              <w:rPr>
                <w:sz w:val="16"/>
                <w:szCs w:val="16"/>
                <w:lang w:val="en-AU" w:eastAsia="en-AU"/>
              </w:rPr>
            </w:r>
          </w:p>
        </w:tc>
        <w:tc>
          <w:tcPr>
            <w:tcW w:w="1441" w:type="dxa"/>
            <w:tcBorders>
              <w:top w:val="single" w:sz="4" w:space="0" w:color="000000"/>
              <w:start w:val="single" w:sz="4" w:space="0" w:color="000000"/>
              <w:bottom w:val="single" w:sz="4" w:space="0" w:color="000000"/>
              <w:end w:val="single" w:sz="4" w:space="0" w:color="000000"/>
            </w:tcBorders>
          </w:tcPr>
          <w:p>
            <w:pPr>
              <w:pStyle w:val="Normal"/>
              <w:spacing w:before="0" w:after="160"/>
              <w:rPr>
                <w:sz w:val="16"/>
                <w:szCs w:val="16"/>
                <w:lang w:val="en-AU" w:eastAsia="en-AU"/>
              </w:rPr>
            </w:pPr>
            <w:r>
              <w:rPr>
                <w:sz w:val="16"/>
                <w:szCs w:val="16"/>
                <w:lang w:val="en-AU" w:eastAsia="en-AU"/>
              </w:rPr>
            </w:r>
          </w:p>
        </w:tc>
        <w:tc>
          <w:tcPr>
            <w:tcW w:w="1443" w:type="dxa"/>
            <w:tcBorders>
              <w:top w:val="single" w:sz="4" w:space="0" w:color="000000"/>
              <w:start w:val="single" w:sz="4" w:space="0" w:color="000000"/>
              <w:bottom w:val="single" w:sz="4" w:space="0" w:color="000000"/>
              <w:end w:val="single" w:sz="4" w:space="0" w:color="000000"/>
            </w:tcBorders>
          </w:tcPr>
          <w:p>
            <w:pPr>
              <w:pStyle w:val="Normal"/>
              <w:spacing w:before="0" w:after="160"/>
              <w:rPr>
                <w:sz w:val="16"/>
                <w:szCs w:val="16"/>
                <w:lang w:val="en-AU" w:eastAsia="en-AU"/>
              </w:rPr>
            </w:pPr>
            <w:r>
              <w:rPr>
                <w:sz w:val="16"/>
                <w:szCs w:val="16"/>
                <w:lang w:val="en-AU" w:eastAsia="en-AU"/>
              </w:rPr>
            </w:r>
          </w:p>
        </w:tc>
        <w:tc>
          <w:tcPr>
            <w:tcW w:w="1463" w:type="dxa"/>
            <w:tcBorders>
              <w:top w:val="single" w:sz="4" w:space="0" w:color="000000"/>
              <w:start w:val="single" w:sz="4" w:space="0" w:color="000000"/>
              <w:bottom w:val="single" w:sz="4" w:space="0" w:color="000000"/>
              <w:end w:val="single" w:sz="4" w:space="0" w:color="000000"/>
            </w:tcBorders>
          </w:tcPr>
          <w:p>
            <w:pPr>
              <w:pStyle w:val="Normal"/>
              <w:spacing w:before="0" w:after="160"/>
              <w:rPr>
                <w:sz w:val="16"/>
                <w:szCs w:val="16"/>
                <w:lang w:val="en-AU" w:eastAsia="en-AU"/>
              </w:rPr>
            </w:pPr>
            <w:r>
              <w:rPr>
                <w:sz w:val="16"/>
                <w:szCs w:val="16"/>
                <w:lang w:val="en-AU" w:eastAsia="en-AU"/>
              </w:rPr>
            </w:r>
          </w:p>
        </w:tc>
      </w:tr>
    </w:tbl>
    <w:p>
      <w:pPr>
        <w:pStyle w:val="Normal"/>
        <w:rPr>
          <w:lang w:val="en-AU" w:eastAsia="en-AU"/>
        </w:rPr>
      </w:pPr>
      <w:r>
        <w:rPr>
          <w:lang w:val="en-AU" w:eastAsia="en-AU"/>
        </w:rPr>
      </w:r>
    </w:p>
    <w:p>
      <w:pPr>
        <w:pStyle w:val="Normal"/>
        <w:rPr>
          <w:b/>
          <w:bCs/>
          <w:lang w:eastAsia="en-AU"/>
        </w:rPr>
      </w:pPr>
      <w:r>
        <w:rPr>
          <w:b/>
          <w:bCs/>
          <w:lang w:eastAsia="en-AU"/>
        </w:rPr>
        <w:t>Domain Control Rationale</w:t>
      </w:r>
    </w:p>
    <w:p>
      <w:pPr>
        <w:pStyle w:val="Normal"/>
        <w:rPr>
          <w:lang w:val="en-AU" w:eastAsia="en-AU"/>
        </w:rPr>
      </w:pPr>
      <w:r>
        <w:rPr>
          <w:lang w:val="en-AU" w:eastAsia="en-AU"/>
        </w:rPr>
        <w:t>{{ai.f_domain_b6_controls_rationale}}</w:t>
      </w:r>
    </w:p>
    <w:p>
      <w:pPr>
        <w:pStyle w:val="Normal"/>
        <w:rPr>
          <w:lang w:val="en-AU" w:eastAsia="en-AU"/>
        </w:rPr>
      </w:pPr>
      <w:r>
        <w:rPr>
          <w:lang w:val="en-AU" w:eastAsia="en-AU"/>
        </w:rPr>
      </w:r>
    </w:p>
    <w:p>
      <w:pPr>
        <w:pStyle w:val="Normal"/>
        <w:rPr>
          <w:b/>
          <w:bCs/>
          <w:i/>
          <w:iCs/>
          <w:lang w:eastAsia="en-AU"/>
        </w:rPr>
      </w:pPr>
      <w:r>
        <w:rPr>
          <w:b/>
          <w:bCs/>
          <w:lang w:eastAsia="en-AU"/>
        </w:rPr>
        <w:t>C2.7 — Reliability and Safety</w:t>
      </w:r>
    </w:p>
    <w:p>
      <w:pPr>
        <w:pStyle w:val="Normal"/>
        <w:rPr>
          <w:lang w:eastAsia="en-AU"/>
        </w:rPr>
      </w:pPr>
      <w:r>
        <w:rPr>
          <w:lang w:eastAsia="en-AU"/>
        </w:rPr>
        <w:t>The following recommended controls are intended to address risks identified within the Reliability and Safety domain.</w:t>
      </w:r>
    </w:p>
    <w:p>
      <w:pPr>
        <w:pStyle w:val="Normal"/>
        <w:rPr>
          <w:b/>
          <w:bCs/>
          <w:i/>
          <w:iCs/>
          <w:lang w:eastAsia="en-AU"/>
        </w:rPr>
      </w:pPr>
      <w:r>
        <w:rPr>
          <w:b/>
          <w:bCs/>
          <w:lang w:eastAsia="en-AU"/>
        </w:rPr>
        <w:t>Recommended Controls — Reliability and Safety</w:t>
      </w:r>
    </w:p>
    <w:tbl>
      <w:tblPr>
        <w:tblW w:w="5000" w:type="pct"/>
        <w:jc w:val="start"/>
        <w:tblInd w:w="0" w:type="dxa"/>
        <w:tblLayout w:type="fixed"/>
        <w:tblCellMar>
          <w:top w:w="43" w:type="dxa"/>
          <w:start w:w="43" w:type="dxa"/>
          <w:bottom w:w="43" w:type="dxa"/>
          <w:end w:w="43" w:type="dxa"/>
        </w:tblCellMar>
        <w:tblLook w:firstRow="1" w:noVBand="1" w:lastRow="0" w:firstColumn="1" w:lastColumn="0" w:noHBand="0" w:val="04a0"/>
      </w:tblPr>
      <w:tblGrid>
        <w:gridCol w:w="1513"/>
        <w:gridCol w:w="1114"/>
        <w:gridCol w:w="2052"/>
        <w:gridCol w:w="1441"/>
        <w:gridCol w:w="1443"/>
        <w:gridCol w:w="1463"/>
      </w:tblGrid>
      <w:tr>
        <w:trPr>
          <w:tblHeader w:val="true"/>
        </w:trPr>
        <w:tc>
          <w:tcPr>
            <w:tcW w:w="1513" w:type="dxa"/>
            <w:tcBorders>
              <w:top w:val="single" w:sz="4" w:space="0" w:color="000000"/>
              <w:start w:val="single" w:sz="4" w:space="0" w:color="000000"/>
              <w:bottom w:val="single" w:sz="4" w:space="0" w:color="000000"/>
              <w:end w:val="single" w:sz="4" w:space="0" w:color="000000"/>
            </w:tcBorders>
            <w:shd w:color="auto" w:fill="D9D9D9" w:themeFill="background1" w:themeFillShade="d9" w:val="clear"/>
          </w:tcPr>
          <w:p>
            <w:pPr>
              <w:pStyle w:val="Normal"/>
              <w:spacing w:before="0" w:after="160"/>
              <w:rPr>
                <w:b/>
                <w:bCs/>
                <w:sz w:val="18"/>
                <w:szCs w:val="18"/>
                <w:lang w:val="en-AU" w:eastAsia="en-AU"/>
              </w:rPr>
            </w:pPr>
            <w:r>
              <w:rPr>
                <w:b/>
                <w:bCs/>
                <w:sz w:val="18"/>
                <w:szCs w:val="18"/>
                <w:lang w:val="en-AU" w:eastAsia="en-AU"/>
              </w:rPr>
              <w:t>Control ID</w:t>
            </w:r>
          </w:p>
        </w:tc>
        <w:tc>
          <w:tcPr>
            <w:tcW w:w="1114" w:type="dxa"/>
            <w:tcBorders>
              <w:top w:val="single" w:sz="4" w:space="0" w:color="000000"/>
              <w:start w:val="single" w:sz="4" w:space="0" w:color="000000"/>
              <w:bottom w:val="single" w:sz="4" w:space="0" w:color="000000"/>
              <w:end w:val="single" w:sz="4" w:space="0" w:color="000000"/>
            </w:tcBorders>
            <w:shd w:color="auto" w:fill="D9D9D9" w:themeFill="background1" w:themeFillShade="d9" w:val="clear"/>
          </w:tcPr>
          <w:p>
            <w:pPr>
              <w:pStyle w:val="Normal"/>
              <w:spacing w:before="0" w:after="160"/>
              <w:rPr>
                <w:b/>
                <w:bCs/>
                <w:sz w:val="18"/>
                <w:szCs w:val="18"/>
                <w:lang w:val="en-AU" w:eastAsia="en-AU"/>
              </w:rPr>
            </w:pPr>
            <w:r>
              <w:rPr>
                <w:b/>
                <w:bCs/>
                <w:sz w:val="18"/>
                <w:szCs w:val="18"/>
                <w:lang w:val="en-AU" w:eastAsia="en-AU"/>
              </w:rPr>
              <w:t>Title</w:t>
            </w:r>
          </w:p>
        </w:tc>
        <w:tc>
          <w:tcPr>
            <w:tcW w:w="2052" w:type="dxa"/>
            <w:tcBorders>
              <w:top w:val="single" w:sz="4" w:space="0" w:color="000000"/>
              <w:start w:val="single" w:sz="4" w:space="0" w:color="000000"/>
              <w:bottom w:val="single" w:sz="4" w:space="0" w:color="000000"/>
              <w:end w:val="single" w:sz="4" w:space="0" w:color="000000"/>
            </w:tcBorders>
            <w:shd w:color="auto" w:fill="D9D9D9" w:themeFill="background1" w:themeFillShade="d9" w:val="clear"/>
          </w:tcPr>
          <w:p>
            <w:pPr>
              <w:pStyle w:val="Normal"/>
              <w:spacing w:before="0" w:after="160"/>
              <w:rPr>
                <w:b/>
                <w:bCs/>
                <w:sz w:val="18"/>
                <w:szCs w:val="18"/>
                <w:lang w:val="en-AU" w:eastAsia="en-AU"/>
              </w:rPr>
            </w:pPr>
            <w:r>
              <w:rPr>
                <w:b/>
                <w:bCs/>
                <w:sz w:val="18"/>
                <w:szCs w:val="18"/>
                <w:lang w:val="en-AU" w:eastAsia="en-AU"/>
              </w:rPr>
              <w:t>Details</w:t>
            </w:r>
          </w:p>
        </w:tc>
        <w:tc>
          <w:tcPr>
            <w:tcW w:w="1441" w:type="dxa"/>
            <w:tcBorders>
              <w:top w:val="single" w:sz="4" w:space="0" w:color="000000"/>
              <w:start w:val="single" w:sz="4" w:space="0" w:color="000000"/>
              <w:bottom w:val="single" w:sz="4" w:space="0" w:color="000000"/>
              <w:end w:val="single" w:sz="4" w:space="0" w:color="000000"/>
            </w:tcBorders>
            <w:shd w:color="auto" w:fill="D9D9D9" w:themeFill="background1" w:themeFillShade="d9" w:val="clear"/>
          </w:tcPr>
          <w:p>
            <w:pPr>
              <w:pStyle w:val="Normal"/>
              <w:spacing w:before="0" w:after="160"/>
              <w:rPr>
                <w:b/>
                <w:bCs/>
                <w:sz w:val="18"/>
                <w:szCs w:val="18"/>
                <w:lang w:val="en-AU" w:eastAsia="en-AU"/>
              </w:rPr>
            </w:pPr>
            <w:r>
              <w:rPr>
                <w:b/>
                <w:bCs/>
                <w:sz w:val="18"/>
                <w:szCs w:val="18"/>
                <w:lang w:val="en-AU" w:eastAsia="en-AU"/>
              </w:rPr>
              <w:t>Control Type</w:t>
            </w:r>
          </w:p>
        </w:tc>
        <w:tc>
          <w:tcPr>
            <w:tcW w:w="1443" w:type="dxa"/>
            <w:tcBorders>
              <w:top w:val="single" w:sz="4" w:space="0" w:color="000000"/>
              <w:start w:val="single" w:sz="4" w:space="0" w:color="000000"/>
              <w:bottom w:val="single" w:sz="4" w:space="0" w:color="000000"/>
              <w:end w:val="single" w:sz="4" w:space="0" w:color="000000"/>
            </w:tcBorders>
            <w:shd w:color="auto" w:fill="D9D9D9" w:themeFill="background1" w:themeFillShade="d9" w:val="clear"/>
          </w:tcPr>
          <w:p>
            <w:pPr>
              <w:pStyle w:val="Normal"/>
              <w:spacing w:before="0" w:after="160"/>
              <w:rPr>
                <w:b/>
                <w:bCs/>
                <w:sz w:val="18"/>
                <w:szCs w:val="18"/>
                <w:lang w:val="en-AU" w:eastAsia="en-AU"/>
              </w:rPr>
            </w:pPr>
            <w:r>
              <w:rPr>
                <w:b/>
                <w:bCs/>
                <w:sz w:val="18"/>
                <w:szCs w:val="18"/>
                <w:lang w:val="en-AU" w:eastAsia="en-AU"/>
              </w:rPr>
              <w:t>Implementation Effort</w:t>
            </w:r>
          </w:p>
        </w:tc>
        <w:tc>
          <w:tcPr>
            <w:tcW w:w="1463" w:type="dxa"/>
            <w:tcBorders>
              <w:top w:val="single" w:sz="4" w:space="0" w:color="000000"/>
              <w:start w:val="single" w:sz="4" w:space="0" w:color="000000"/>
              <w:bottom w:val="single" w:sz="4" w:space="0" w:color="000000"/>
              <w:end w:val="single" w:sz="4" w:space="0" w:color="000000"/>
            </w:tcBorders>
            <w:shd w:color="auto" w:fill="D9D9D9" w:themeFill="background1" w:themeFillShade="d9" w:val="clear"/>
          </w:tcPr>
          <w:p>
            <w:pPr>
              <w:pStyle w:val="Normal"/>
              <w:spacing w:before="0" w:after="160"/>
              <w:rPr>
                <w:b/>
                <w:bCs/>
                <w:sz w:val="18"/>
                <w:szCs w:val="18"/>
                <w:lang w:val="en-AU" w:eastAsia="en-AU"/>
              </w:rPr>
            </w:pPr>
            <w:r>
              <w:rPr>
                <w:b/>
                <w:bCs/>
                <w:sz w:val="18"/>
                <w:szCs w:val="18"/>
                <w:lang w:val="en-AU" w:eastAsia="en-AU"/>
              </w:rPr>
              <w:t>Implementation Horizon</w:t>
            </w:r>
          </w:p>
        </w:tc>
      </w:tr>
      <w:tr>
        <w:trPr/>
        <w:tc>
          <w:tcPr>
            <w:tcW w:w="1513" w:type="dxa"/>
            <w:tcBorders>
              <w:top w:val="single" w:sz="4" w:space="0" w:color="000000"/>
              <w:start w:val="single" w:sz="4" w:space="0" w:color="000000"/>
              <w:bottom w:val="single" w:sz="4" w:space="0" w:color="000000"/>
              <w:end w:val="single" w:sz="4" w:space="0" w:color="000000"/>
            </w:tcBorders>
          </w:tcPr>
          <w:p>
            <w:pPr>
              <w:pStyle w:val="Normal"/>
              <w:spacing w:before="0" w:after="160"/>
              <w:rPr>
                <w:sz w:val="16"/>
                <w:szCs w:val="16"/>
                <w:lang w:val="en-AU" w:eastAsia="en-AU"/>
              </w:rPr>
            </w:pPr>
            <w:r>
              <w:rPr>
                <w:sz w:val="16"/>
                <w:szCs w:val="16"/>
                <w:lang w:val="en-AU" w:eastAsia="en-AU"/>
              </w:rPr>
              <w:t>{%tr for control in recommended_controls_top3.Reliability %}</w:t>
            </w:r>
          </w:p>
        </w:tc>
        <w:tc>
          <w:tcPr>
            <w:tcW w:w="1114" w:type="dxa"/>
            <w:tcBorders>
              <w:top w:val="single" w:sz="4" w:space="0" w:color="000000"/>
              <w:start w:val="single" w:sz="4" w:space="0" w:color="000000"/>
              <w:bottom w:val="single" w:sz="4" w:space="0" w:color="000000"/>
              <w:end w:val="single" w:sz="4" w:space="0" w:color="000000"/>
            </w:tcBorders>
          </w:tcPr>
          <w:p>
            <w:pPr>
              <w:pStyle w:val="Normal"/>
              <w:spacing w:before="0" w:after="160"/>
              <w:rPr>
                <w:sz w:val="16"/>
                <w:szCs w:val="16"/>
                <w:lang w:val="en-AU" w:eastAsia="en-AU"/>
              </w:rPr>
            </w:pPr>
            <w:r>
              <w:rPr>
                <w:sz w:val="16"/>
                <w:szCs w:val="16"/>
                <w:lang w:val="en-AU" w:eastAsia="en-AU"/>
              </w:rPr>
            </w:r>
          </w:p>
        </w:tc>
        <w:tc>
          <w:tcPr>
            <w:tcW w:w="2052" w:type="dxa"/>
            <w:tcBorders>
              <w:top w:val="single" w:sz="4" w:space="0" w:color="000000"/>
              <w:start w:val="single" w:sz="4" w:space="0" w:color="000000"/>
              <w:bottom w:val="single" w:sz="4" w:space="0" w:color="000000"/>
              <w:end w:val="single" w:sz="4" w:space="0" w:color="000000"/>
            </w:tcBorders>
          </w:tcPr>
          <w:p>
            <w:pPr>
              <w:pStyle w:val="Normal"/>
              <w:spacing w:before="0" w:after="160"/>
              <w:rPr>
                <w:sz w:val="16"/>
                <w:szCs w:val="16"/>
                <w:lang w:val="en-AU" w:eastAsia="en-AU"/>
              </w:rPr>
            </w:pPr>
            <w:r>
              <w:rPr>
                <w:sz w:val="16"/>
                <w:szCs w:val="16"/>
                <w:lang w:val="en-AU" w:eastAsia="en-AU"/>
              </w:rPr>
            </w:r>
          </w:p>
        </w:tc>
        <w:tc>
          <w:tcPr>
            <w:tcW w:w="1441" w:type="dxa"/>
            <w:tcBorders>
              <w:top w:val="single" w:sz="4" w:space="0" w:color="000000"/>
              <w:start w:val="single" w:sz="4" w:space="0" w:color="000000"/>
              <w:bottom w:val="single" w:sz="4" w:space="0" w:color="000000"/>
              <w:end w:val="single" w:sz="4" w:space="0" w:color="000000"/>
            </w:tcBorders>
          </w:tcPr>
          <w:p>
            <w:pPr>
              <w:pStyle w:val="Normal"/>
              <w:spacing w:before="0" w:after="160"/>
              <w:rPr>
                <w:sz w:val="16"/>
                <w:szCs w:val="16"/>
                <w:lang w:val="en-AU" w:eastAsia="en-AU"/>
              </w:rPr>
            </w:pPr>
            <w:r>
              <w:rPr>
                <w:sz w:val="16"/>
                <w:szCs w:val="16"/>
                <w:lang w:val="en-AU" w:eastAsia="en-AU"/>
              </w:rPr>
            </w:r>
          </w:p>
        </w:tc>
        <w:tc>
          <w:tcPr>
            <w:tcW w:w="1443" w:type="dxa"/>
            <w:tcBorders>
              <w:top w:val="single" w:sz="4" w:space="0" w:color="000000"/>
              <w:start w:val="single" w:sz="4" w:space="0" w:color="000000"/>
              <w:bottom w:val="single" w:sz="4" w:space="0" w:color="000000"/>
              <w:end w:val="single" w:sz="4" w:space="0" w:color="000000"/>
            </w:tcBorders>
          </w:tcPr>
          <w:p>
            <w:pPr>
              <w:pStyle w:val="Normal"/>
              <w:spacing w:before="0" w:after="160"/>
              <w:rPr>
                <w:sz w:val="16"/>
                <w:szCs w:val="16"/>
                <w:lang w:val="en-AU" w:eastAsia="en-AU"/>
              </w:rPr>
            </w:pPr>
            <w:r>
              <w:rPr>
                <w:sz w:val="16"/>
                <w:szCs w:val="16"/>
                <w:lang w:val="en-AU" w:eastAsia="en-AU"/>
              </w:rPr>
            </w:r>
          </w:p>
        </w:tc>
        <w:tc>
          <w:tcPr>
            <w:tcW w:w="1463" w:type="dxa"/>
            <w:tcBorders>
              <w:top w:val="single" w:sz="4" w:space="0" w:color="000000"/>
              <w:start w:val="single" w:sz="4" w:space="0" w:color="000000"/>
              <w:bottom w:val="single" w:sz="4" w:space="0" w:color="000000"/>
              <w:end w:val="single" w:sz="4" w:space="0" w:color="000000"/>
            </w:tcBorders>
          </w:tcPr>
          <w:p>
            <w:pPr>
              <w:pStyle w:val="Normal"/>
              <w:spacing w:before="0" w:after="160"/>
              <w:rPr>
                <w:sz w:val="16"/>
                <w:szCs w:val="16"/>
                <w:lang w:val="en-AU" w:eastAsia="en-AU"/>
              </w:rPr>
            </w:pPr>
            <w:r>
              <w:rPr>
                <w:sz w:val="16"/>
                <w:szCs w:val="16"/>
                <w:lang w:val="en-AU" w:eastAsia="en-AU"/>
              </w:rPr>
            </w:r>
          </w:p>
        </w:tc>
      </w:tr>
      <w:tr>
        <w:trPr/>
        <w:tc>
          <w:tcPr>
            <w:tcW w:w="1513" w:type="dxa"/>
            <w:tcBorders>
              <w:top w:val="single" w:sz="4" w:space="0" w:color="000000"/>
              <w:start w:val="single" w:sz="4" w:space="0" w:color="000000"/>
              <w:bottom w:val="single" w:sz="4" w:space="0" w:color="000000"/>
              <w:end w:val="single" w:sz="4" w:space="0" w:color="000000"/>
            </w:tcBorders>
          </w:tcPr>
          <w:p>
            <w:pPr>
              <w:pStyle w:val="Normal"/>
              <w:spacing w:before="0" w:after="160"/>
              <w:rPr>
                <w:sz w:val="16"/>
                <w:szCs w:val="16"/>
                <w:lang w:val="en-AU" w:eastAsia="en-AU"/>
              </w:rPr>
            </w:pPr>
            <w:r>
              <w:rPr>
                <w:sz w:val="16"/>
                <w:szCs w:val="16"/>
                <w:lang w:val="en-AU" w:eastAsia="en-AU"/>
              </w:rPr>
              <w:t>{{control.control_id}}</w:t>
            </w:r>
          </w:p>
        </w:tc>
        <w:tc>
          <w:tcPr>
            <w:tcW w:w="1114" w:type="dxa"/>
            <w:tcBorders>
              <w:top w:val="single" w:sz="4" w:space="0" w:color="000000"/>
              <w:start w:val="single" w:sz="4" w:space="0" w:color="000000"/>
              <w:bottom w:val="single" w:sz="4" w:space="0" w:color="000000"/>
              <w:end w:val="single" w:sz="4" w:space="0" w:color="000000"/>
            </w:tcBorders>
          </w:tcPr>
          <w:p>
            <w:pPr>
              <w:pStyle w:val="Normal"/>
              <w:spacing w:before="0" w:after="160"/>
              <w:rPr>
                <w:sz w:val="16"/>
                <w:szCs w:val="16"/>
                <w:lang w:val="en-AU" w:eastAsia="en-AU"/>
              </w:rPr>
            </w:pPr>
            <w:r>
              <w:rPr>
                <w:sz w:val="16"/>
                <w:szCs w:val="16"/>
                <w:lang w:val="en-AU" w:eastAsia="en-AU"/>
              </w:rPr>
              <w:t>{{control.title}}</w:t>
            </w:r>
          </w:p>
        </w:tc>
        <w:tc>
          <w:tcPr>
            <w:tcW w:w="2052" w:type="dxa"/>
            <w:tcBorders>
              <w:top w:val="single" w:sz="4" w:space="0" w:color="000000"/>
              <w:start w:val="single" w:sz="4" w:space="0" w:color="000000"/>
              <w:bottom w:val="single" w:sz="4" w:space="0" w:color="000000"/>
              <w:end w:val="single" w:sz="4" w:space="0" w:color="000000"/>
            </w:tcBorders>
          </w:tcPr>
          <w:p>
            <w:pPr>
              <w:pStyle w:val="Normal"/>
              <w:spacing w:before="0" w:after="160"/>
              <w:rPr>
                <w:sz w:val="16"/>
                <w:szCs w:val="16"/>
                <w:lang w:val="en-AU" w:eastAsia="en-AU"/>
              </w:rPr>
            </w:pPr>
            <w:r>
              <w:rPr>
                <w:sz w:val="16"/>
                <w:szCs w:val="16"/>
                <w:lang w:eastAsia="en-AU"/>
              </w:rPr>
              <w:t>{{control.detailed_description}}</w:t>
            </w:r>
          </w:p>
        </w:tc>
        <w:tc>
          <w:tcPr>
            <w:tcW w:w="1441" w:type="dxa"/>
            <w:tcBorders>
              <w:top w:val="single" w:sz="4" w:space="0" w:color="000000"/>
              <w:start w:val="single" w:sz="4" w:space="0" w:color="000000"/>
              <w:bottom w:val="single" w:sz="4" w:space="0" w:color="000000"/>
              <w:end w:val="single" w:sz="4" w:space="0" w:color="000000"/>
            </w:tcBorders>
          </w:tcPr>
          <w:p>
            <w:pPr>
              <w:pStyle w:val="Normal"/>
              <w:spacing w:before="0" w:after="160"/>
              <w:rPr>
                <w:sz w:val="16"/>
                <w:szCs w:val="16"/>
                <w:lang w:val="en-AU" w:eastAsia="en-AU"/>
              </w:rPr>
            </w:pPr>
            <w:r>
              <w:rPr>
                <w:sz w:val="16"/>
                <w:szCs w:val="16"/>
                <w:lang w:val="en-AU" w:eastAsia="en-AU"/>
              </w:rPr>
              <w:t>{{control.control_type}}</w:t>
            </w:r>
          </w:p>
        </w:tc>
        <w:tc>
          <w:tcPr>
            <w:tcW w:w="1443" w:type="dxa"/>
            <w:tcBorders>
              <w:top w:val="single" w:sz="4" w:space="0" w:color="000000"/>
              <w:start w:val="single" w:sz="4" w:space="0" w:color="000000"/>
              <w:bottom w:val="single" w:sz="4" w:space="0" w:color="000000"/>
              <w:end w:val="single" w:sz="4" w:space="0" w:color="000000"/>
            </w:tcBorders>
          </w:tcPr>
          <w:p>
            <w:pPr>
              <w:pStyle w:val="Normal"/>
              <w:spacing w:before="0" w:after="160"/>
              <w:rPr>
                <w:sz w:val="16"/>
                <w:szCs w:val="16"/>
                <w:lang w:val="en-AU" w:eastAsia="en-AU"/>
              </w:rPr>
            </w:pPr>
            <w:r>
              <w:rPr>
                <w:sz w:val="16"/>
                <w:szCs w:val="16"/>
                <w:lang w:val="en-AU" w:eastAsia="en-AU"/>
              </w:rPr>
              <w:t>{{control.implementation_effort}}</w:t>
            </w:r>
          </w:p>
        </w:tc>
        <w:tc>
          <w:tcPr>
            <w:tcW w:w="1463" w:type="dxa"/>
            <w:tcBorders>
              <w:top w:val="single" w:sz="4" w:space="0" w:color="000000"/>
              <w:start w:val="single" w:sz="4" w:space="0" w:color="000000"/>
              <w:bottom w:val="single" w:sz="4" w:space="0" w:color="000000"/>
              <w:end w:val="single" w:sz="4" w:space="0" w:color="000000"/>
            </w:tcBorders>
          </w:tcPr>
          <w:p>
            <w:pPr>
              <w:pStyle w:val="Normal"/>
              <w:spacing w:before="0" w:after="160"/>
              <w:rPr>
                <w:sz w:val="16"/>
                <w:szCs w:val="16"/>
                <w:lang w:val="en-AU" w:eastAsia="en-AU"/>
              </w:rPr>
            </w:pPr>
            <w:r>
              <w:rPr>
                <w:sz w:val="16"/>
                <w:szCs w:val="16"/>
                <w:lang w:val="en-AU" w:eastAsia="en-AU"/>
              </w:rPr>
              <w:t>{{control.implementation_horizon}}</w:t>
            </w:r>
          </w:p>
        </w:tc>
      </w:tr>
      <w:tr>
        <w:trPr/>
        <w:tc>
          <w:tcPr>
            <w:tcW w:w="1513" w:type="dxa"/>
            <w:tcBorders>
              <w:top w:val="single" w:sz="4" w:space="0" w:color="000000"/>
              <w:start w:val="single" w:sz="4" w:space="0" w:color="000000"/>
              <w:bottom w:val="single" w:sz="4" w:space="0" w:color="000000"/>
              <w:end w:val="single" w:sz="4" w:space="0" w:color="000000"/>
            </w:tcBorders>
          </w:tcPr>
          <w:p>
            <w:pPr>
              <w:pStyle w:val="Normal"/>
              <w:spacing w:before="0" w:after="160"/>
              <w:rPr>
                <w:sz w:val="16"/>
                <w:szCs w:val="16"/>
                <w:lang w:val="en-AU" w:eastAsia="en-AU"/>
              </w:rPr>
            </w:pPr>
            <w:r>
              <w:rPr>
                <w:sz w:val="16"/>
                <w:szCs w:val="16"/>
                <w:lang w:val="en-AU" w:eastAsia="en-AU"/>
              </w:rPr>
              <w:t>{%tr endfor %}</w:t>
            </w:r>
          </w:p>
        </w:tc>
        <w:tc>
          <w:tcPr>
            <w:tcW w:w="1114" w:type="dxa"/>
            <w:tcBorders>
              <w:top w:val="single" w:sz="4" w:space="0" w:color="000000"/>
              <w:start w:val="single" w:sz="4" w:space="0" w:color="000000"/>
              <w:bottom w:val="single" w:sz="4" w:space="0" w:color="000000"/>
              <w:end w:val="single" w:sz="4" w:space="0" w:color="000000"/>
            </w:tcBorders>
          </w:tcPr>
          <w:p>
            <w:pPr>
              <w:pStyle w:val="Normal"/>
              <w:spacing w:before="0" w:after="160"/>
              <w:rPr>
                <w:sz w:val="16"/>
                <w:szCs w:val="16"/>
                <w:lang w:val="en-AU" w:eastAsia="en-AU"/>
              </w:rPr>
            </w:pPr>
            <w:r>
              <w:rPr>
                <w:sz w:val="16"/>
                <w:szCs w:val="16"/>
                <w:lang w:val="en-AU" w:eastAsia="en-AU"/>
              </w:rPr>
            </w:r>
          </w:p>
        </w:tc>
        <w:tc>
          <w:tcPr>
            <w:tcW w:w="2052" w:type="dxa"/>
            <w:tcBorders>
              <w:top w:val="single" w:sz="4" w:space="0" w:color="000000"/>
              <w:start w:val="single" w:sz="4" w:space="0" w:color="000000"/>
              <w:bottom w:val="single" w:sz="4" w:space="0" w:color="000000"/>
              <w:end w:val="single" w:sz="4" w:space="0" w:color="000000"/>
            </w:tcBorders>
          </w:tcPr>
          <w:p>
            <w:pPr>
              <w:pStyle w:val="Normal"/>
              <w:spacing w:before="0" w:after="160"/>
              <w:rPr>
                <w:sz w:val="16"/>
                <w:szCs w:val="16"/>
                <w:lang w:val="en-AU" w:eastAsia="en-AU"/>
              </w:rPr>
            </w:pPr>
            <w:r>
              <w:rPr>
                <w:sz w:val="16"/>
                <w:szCs w:val="16"/>
                <w:lang w:val="en-AU" w:eastAsia="en-AU"/>
              </w:rPr>
            </w:r>
          </w:p>
        </w:tc>
        <w:tc>
          <w:tcPr>
            <w:tcW w:w="1441" w:type="dxa"/>
            <w:tcBorders>
              <w:top w:val="single" w:sz="4" w:space="0" w:color="000000"/>
              <w:start w:val="single" w:sz="4" w:space="0" w:color="000000"/>
              <w:bottom w:val="single" w:sz="4" w:space="0" w:color="000000"/>
              <w:end w:val="single" w:sz="4" w:space="0" w:color="000000"/>
            </w:tcBorders>
          </w:tcPr>
          <w:p>
            <w:pPr>
              <w:pStyle w:val="Normal"/>
              <w:spacing w:before="0" w:after="160"/>
              <w:rPr>
                <w:sz w:val="16"/>
                <w:szCs w:val="16"/>
                <w:lang w:val="en-AU" w:eastAsia="en-AU"/>
              </w:rPr>
            </w:pPr>
            <w:r>
              <w:rPr>
                <w:sz w:val="16"/>
                <w:szCs w:val="16"/>
                <w:lang w:val="en-AU" w:eastAsia="en-AU"/>
              </w:rPr>
            </w:r>
          </w:p>
        </w:tc>
        <w:tc>
          <w:tcPr>
            <w:tcW w:w="1443" w:type="dxa"/>
            <w:tcBorders>
              <w:top w:val="single" w:sz="4" w:space="0" w:color="000000"/>
              <w:start w:val="single" w:sz="4" w:space="0" w:color="000000"/>
              <w:bottom w:val="single" w:sz="4" w:space="0" w:color="000000"/>
              <w:end w:val="single" w:sz="4" w:space="0" w:color="000000"/>
            </w:tcBorders>
          </w:tcPr>
          <w:p>
            <w:pPr>
              <w:pStyle w:val="Normal"/>
              <w:spacing w:before="0" w:after="160"/>
              <w:rPr>
                <w:sz w:val="16"/>
                <w:szCs w:val="16"/>
                <w:lang w:val="en-AU" w:eastAsia="en-AU"/>
              </w:rPr>
            </w:pPr>
            <w:r>
              <w:rPr>
                <w:sz w:val="16"/>
                <w:szCs w:val="16"/>
                <w:lang w:val="en-AU" w:eastAsia="en-AU"/>
              </w:rPr>
            </w:r>
          </w:p>
        </w:tc>
        <w:tc>
          <w:tcPr>
            <w:tcW w:w="1463" w:type="dxa"/>
            <w:tcBorders>
              <w:top w:val="single" w:sz="4" w:space="0" w:color="000000"/>
              <w:start w:val="single" w:sz="4" w:space="0" w:color="000000"/>
              <w:bottom w:val="single" w:sz="4" w:space="0" w:color="000000"/>
              <w:end w:val="single" w:sz="4" w:space="0" w:color="000000"/>
            </w:tcBorders>
          </w:tcPr>
          <w:p>
            <w:pPr>
              <w:pStyle w:val="Normal"/>
              <w:spacing w:before="0" w:after="160"/>
              <w:rPr>
                <w:sz w:val="16"/>
                <w:szCs w:val="16"/>
                <w:lang w:val="en-AU" w:eastAsia="en-AU"/>
              </w:rPr>
            </w:pPr>
            <w:r>
              <w:rPr>
                <w:sz w:val="16"/>
                <w:szCs w:val="16"/>
                <w:lang w:val="en-AU" w:eastAsia="en-AU"/>
              </w:rPr>
            </w:r>
          </w:p>
        </w:tc>
      </w:tr>
    </w:tbl>
    <w:p>
      <w:pPr>
        <w:pStyle w:val="Normal"/>
        <w:rPr>
          <w:lang w:val="en-AU" w:eastAsia="en-AU"/>
        </w:rPr>
      </w:pPr>
      <w:r>
        <w:rPr>
          <w:lang w:val="en-AU" w:eastAsia="en-AU"/>
        </w:rPr>
      </w:r>
    </w:p>
    <w:p>
      <w:pPr>
        <w:pStyle w:val="Normal"/>
        <w:rPr>
          <w:b/>
          <w:bCs/>
          <w:lang w:eastAsia="en-AU"/>
        </w:rPr>
      </w:pPr>
      <w:r>
        <w:rPr>
          <w:b/>
          <w:bCs/>
          <w:lang w:eastAsia="en-AU"/>
        </w:rPr>
        <w:t>Domain Control Rationale</w:t>
      </w:r>
    </w:p>
    <w:p>
      <w:pPr>
        <w:pStyle w:val="Normal"/>
        <w:rPr>
          <w:lang w:val="en-AU" w:eastAsia="en-AU"/>
        </w:rPr>
      </w:pPr>
      <w:r>
        <w:rPr>
          <w:lang w:val="en-AU" w:eastAsia="en-AU"/>
        </w:rPr>
        <w:t>{{ai.f_domain_b7_controls_rationale}}</w:t>
      </w:r>
    </w:p>
    <w:p>
      <w:pPr>
        <w:pStyle w:val="Normal"/>
        <w:rPr>
          <w:lang w:val="en-AU" w:eastAsia="en-AU"/>
        </w:rPr>
      </w:pPr>
      <w:r>
        <w:rPr>
          <w:lang w:val="en-AU" w:eastAsia="en-AU"/>
        </w:rPr>
      </w:r>
    </w:p>
    <w:p>
      <w:pPr>
        <w:pStyle w:val="Normal"/>
        <w:rPr>
          <w:b/>
          <w:bCs/>
          <w:i/>
          <w:iCs/>
          <w:lang w:eastAsia="en-AU"/>
        </w:rPr>
      </w:pPr>
      <w:r>
        <w:rPr>
          <w:b/>
          <w:bCs/>
          <w:lang w:eastAsia="en-AU"/>
        </w:rPr>
        <w:t>C2.8 — Transparency and Explainability</w:t>
      </w:r>
    </w:p>
    <w:p>
      <w:pPr>
        <w:pStyle w:val="Normal"/>
        <w:rPr>
          <w:lang w:eastAsia="en-AU"/>
        </w:rPr>
      </w:pPr>
      <w:r>
        <w:rPr>
          <w:lang w:eastAsia="en-AU"/>
        </w:rPr>
        <w:t>The following recommended controls are intended to address risks identified within the Transparency and Explainability domain.</w:t>
      </w:r>
    </w:p>
    <w:p>
      <w:pPr>
        <w:pStyle w:val="Normal"/>
        <w:rPr>
          <w:b/>
          <w:bCs/>
          <w:i/>
          <w:iCs/>
          <w:lang w:eastAsia="en-AU"/>
        </w:rPr>
      </w:pPr>
      <w:r>
        <w:rPr>
          <w:b/>
          <w:bCs/>
          <w:lang w:eastAsia="en-AU"/>
        </w:rPr>
        <w:t>Recommended Controls — Transparency and Explainability</w:t>
      </w:r>
    </w:p>
    <w:tbl>
      <w:tblPr>
        <w:tblW w:w="5000" w:type="pct"/>
        <w:jc w:val="start"/>
        <w:tblInd w:w="0" w:type="dxa"/>
        <w:tblLayout w:type="fixed"/>
        <w:tblCellMar>
          <w:top w:w="43" w:type="dxa"/>
          <w:start w:w="43" w:type="dxa"/>
          <w:bottom w:w="43" w:type="dxa"/>
          <w:end w:w="43" w:type="dxa"/>
        </w:tblCellMar>
        <w:tblLook w:firstRow="1" w:noVBand="1" w:lastRow="0" w:firstColumn="1" w:lastColumn="0" w:noHBand="0" w:val="04a0"/>
      </w:tblPr>
      <w:tblGrid>
        <w:gridCol w:w="1513"/>
        <w:gridCol w:w="1114"/>
        <w:gridCol w:w="2052"/>
        <w:gridCol w:w="1441"/>
        <w:gridCol w:w="1443"/>
        <w:gridCol w:w="1463"/>
      </w:tblGrid>
      <w:tr>
        <w:trPr>
          <w:tblHeader w:val="true"/>
        </w:trPr>
        <w:tc>
          <w:tcPr>
            <w:tcW w:w="1513" w:type="dxa"/>
            <w:tcBorders>
              <w:top w:val="single" w:sz="4" w:space="0" w:color="000000"/>
              <w:start w:val="single" w:sz="4" w:space="0" w:color="000000"/>
              <w:bottom w:val="single" w:sz="4" w:space="0" w:color="000000"/>
              <w:end w:val="single" w:sz="4" w:space="0" w:color="000000"/>
            </w:tcBorders>
            <w:shd w:color="auto" w:fill="D9D9D9" w:themeFill="background1" w:themeFillShade="d9" w:val="clear"/>
          </w:tcPr>
          <w:p>
            <w:pPr>
              <w:pStyle w:val="Normal"/>
              <w:spacing w:before="0" w:after="160"/>
              <w:rPr>
                <w:b/>
                <w:bCs/>
                <w:sz w:val="18"/>
                <w:szCs w:val="18"/>
                <w:lang w:val="en-AU" w:eastAsia="en-AU"/>
              </w:rPr>
            </w:pPr>
            <w:r>
              <w:rPr>
                <w:b/>
                <w:bCs/>
                <w:sz w:val="18"/>
                <w:szCs w:val="18"/>
                <w:lang w:val="en-AU" w:eastAsia="en-AU"/>
              </w:rPr>
              <w:t>Control ID</w:t>
            </w:r>
          </w:p>
        </w:tc>
        <w:tc>
          <w:tcPr>
            <w:tcW w:w="1114" w:type="dxa"/>
            <w:tcBorders>
              <w:top w:val="single" w:sz="4" w:space="0" w:color="000000"/>
              <w:start w:val="single" w:sz="4" w:space="0" w:color="000000"/>
              <w:bottom w:val="single" w:sz="4" w:space="0" w:color="000000"/>
              <w:end w:val="single" w:sz="4" w:space="0" w:color="000000"/>
            </w:tcBorders>
            <w:shd w:color="auto" w:fill="D9D9D9" w:themeFill="background1" w:themeFillShade="d9" w:val="clear"/>
          </w:tcPr>
          <w:p>
            <w:pPr>
              <w:pStyle w:val="Normal"/>
              <w:spacing w:before="0" w:after="160"/>
              <w:rPr>
                <w:b/>
                <w:bCs/>
                <w:sz w:val="18"/>
                <w:szCs w:val="18"/>
                <w:lang w:val="en-AU" w:eastAsia="en-AU"/>
              </w:rPr>
            </w:pPr>
            <w:r>
              <w:rPr>
                <w:b/>
                <w:bCs/>
                <w:sz w:val="18"/>
                <w:szCs w:val="18"/>
                <w:lang w:val="en-AU" w:eastAsia="en-AU"/>
              </w:rPr>
              <w:t>Title</w:t>
            </w:r>
          </w:p>
        </w:tc>
        <w:tc>
          <w:tcPr>
            <w:tcW w:w="2052" w:type="dxa"/>
            <w:tcBorders>
              <w:top w:val="single" w:sz="4" w:space="0" w:color="000000"/>
              <w:start w:val="single" w:sz="4" w:space="0" w:color="000000"/>
              <w:bottom w:val="single" w:sz="4" w:space="0" w:color="000000"/>
              <w:end w:val="single" w:sz="4" w:space="0" w:color="000000"/>
            </w:tcBorders>
            <w:shd w:color="auto" w:fill="D9D9D9" w:themeFill="background1" w:themeFillShade="d9" w:val="clear"/>
          </w:tcPr>
          <w:p>
            <w:pPr>
              <w:pStyle w:val="Normal"/>
              <w:spacing w:before="0" w:after="160"/>
              <w:rPr>
                <w:b/>
                <w:bCs/>
                <w:sz w:val="18"/>
                <w:szCs w:val="18"/>
                <w:lang w:val="en-AU" w:eastAsia="en-AU"/>
              </w:rPr>
            </w:pPr>
            <w:r>
              <w:rPr>
                <w:b/>
                <w:bCs/>
                <w:sz w:val="18"/>
                <w:szCs w:val="18"/>
                <w:lang w:val="en-AU" w:eastAsia="en-AU"/>
              </w:rPr>
              <w:t>Details</w:t>
            </w:r>
          </w:p>
        </w:tc>
        <w:tc>
          <w:tcPr>
            <w:tcW w:w="1441" w:type="dxa"/>
            <w:tcBorders>
              <w:top w:val="single" w:sz="4" w:space="0" w:color="000000"/>
              <w:start w:val="single" w:sz="4" w:space="0" w:color="000000"/>
              <w:bottom w:val="single" w:sz="4" w:space="0" w:color="000000"/>
              <w:end w:val="single" w:sz="4" w:space="0" w:color="000000"/>
            </w:tcBorders>
            <w:shd w:color="auto" w:fill="D9D9D9" w:themeFill="background1" w:themeFillShade="d9" w:val="clear"/>
          </w:tcPr>
          <w:p>
            <w:pPr>
              <w:pStyle w:val="Normal"/>
              <w:spacing w:before="0" w:after="160"/>
              <w:rPr>
                <w:b/>
                <w:bCs/>
                <w:sz w:val="18"/>
                <w:szCs w:val="18"/>
                <w:lang w:val="en-AU" w:eastAsia="en-AU"/>
              </w:rPr>
            </w:pPr>
            <w:r>
              <w:rPr>
                <w:b/>
                <w:bCs/>
                <w:sz w:val="18"/>
                <w:szCs w:val="18"/>
                <w:lang w:val="en-AU" w:eastAsia="en-AU"/>
              </w:rPr>
              <w:t>Control Type</w:t>
            </w:r>
          </w:p>
        </w:tc>
        <w:tc>
          <w:tcPr>
            <w:tcW w:w="1443" w:type="dxa"/>
            <w:tcBorders>
              <w:top w:val="single" w:sz="4" w:space="0" w:color="000000"/>
              <w:start w:val="single" w:sz="4" w:space="0" w:color="000000"/>
              <w:bottom w:val="single" w:sz="4" w:space="0" w:color="000000"/>
              <w:end w:val="single" w:sz="4" w:space="0" w:color="000000"/>
            </w:tcBorders>
            <w:shd w:color="auto" w:fill="D9D9D9" w:themeFill="background1" w:themeFillShade="d9" w:val="clear"/>
          </w:tcPr>
          <w:p>
            <w:pPr>
              <w:pStyle w:val="Normal"/>
              <w:spacing w:before="0" w:after="160"/>
              <w:rPr>
                <w:b/>
                <w:bCs/>
                <w:sz w:val="18"/>
                <w:szCs w:val="18"/>
                <w:lang w:val="en-AU" w:eastAsia="en-AU"/>
              </w:rPr>
            </w:pPr>
            <w:r>
              <w:rPr>
                <w:b/>
                <w:bCs/>
                <w:sz w:val="18"/>
                <w:szCs w:val="18"/>
                <w:lang w:val="en-AU" w:eastAsia="en-AU"/>
              </w:rPr>
              <w:t>Implementation Effort</w:t>
            </w:r>
          </w:p>
        </w:tc>
        <w:tc>
          <w:tcPr>
            <w:tcW w:w="1463" w:type="dxa"/>
            <w:tcBorders>
              <w:top w:val="single" w:sz="4" w:space="0" w:color="000000"/>
              <w:start w:val="single" w:sz="4" w:space="0" w:color="000000"/>
              <w:bottom w:val="single" w:sz="4" w:space="0" w:color="000000"/>
              <w:end w:val="single" w:sz="4" w:space="0" w:color="000000"/>
            </w:tcBorders>
            <w:shd w:color="auto" w:fill="D9D9D9" w:themeFill="background1" w:themeFillShade="d9" w:val="clear"/>
          </w:tcPr>
          <w:p>
            <w:pPr>
              <w:pStyle w:val="Normal"/>
              <w:spacing w:before="0" w:after="160"/>
              <w:rPr>
                <w:b/>
                <w:bCs/>
                <w:sz w:val="18"/>
                <w:szCs w:val="18"/>
                <w:lang w:val="en-AU" w:eastAsia="en-AU"/>
              </w:rPr>
            </w:pPr>
            <w:r>
              <w:rPr>
                <w:b/>
                <w:bCs/>
                <w:sz w:val="18"/>
                <w:szCs w:val="18"/>
                <w:lang w:val="en-AU" w:eastAsia="en-AU"/>
              </w:rPr>
              <w:t>Implementation Horizon</w:t>
            </w:r>
          </w:p>
        </w:tc>
      </w:tr>
      <w:tr>
        <w:trPr/>
        <w:tc>
          <w:tcPr>
            <w:tcW w:w="1513" w:type="dxa"/>
            <w:tcBorders>
              <w:top w:val="single" w:sz="4" w:space="0" w:color="000000"/>
              <w:start w:val="single" w:sz="4" w:space="0" w:color="000000"/>
              <w:bottom w:val="single" w:sz="4" w:space="0" w:color="000000"/>
              <w:end w:val="single" w:sz="4" w:space="0" w:color="000000"/>
            </w:tcBorders>
          </w:tcPr>
          <w:p>
            <w:pPr>
              <w:pStyle w:val="Normal"/>
              <w:spacing w:before="0" w:after="160"/>
              <w:rPr>
                <w:sz w:val="16"/>
                <w:szCs w:val="16"/>
                <w:lang w:val="en-AU" w:eastAsia="en-AU"/>
              </w:rPr>
            </w:pPr>
            <w:r>
              <w:rPr>
                <w:sz w:val="16"/>
                <w:szCs w:val="16"/>
                <w:lang w:val="en-AU" w:eastAsia="en-AU"/>
              </w:rPr>
              <w:t>{%tr for control in recommended_controls_top3.Transparency %}</w:t>
            </w:r>
          </w:p>
        </w:tc>
        <w:tc>
          <w:tcPr>
            <w:tcW w:w="1114" w:type="dxa"/>
            <w:tcBorders>
              <w:top w:val="single" w:sz="4" w:space="0" w:color="000000"/>
              <w:start w:val="single" w:sz="4" w:space="0" w:color="000000"/>
              <w:bottom w:val="single" w:sz="4" w:space="0" w:color="000000"/>
              <w:end w:val="single" w:sz="4" w:space="0" w:color="000000"/>
            </w:tcBorders>
          </w:tcPr>
          <w:p>
            <w:pPr>
              <w:pStyle w:val="Normal"/>
              <w:spacing w:before="0" w:after="160"/>
              <w:rPr>
                <w:sz w:val="16"/>
                <w:szCs w:val="16"/>
                <w:lang w:val="en-AU" w:eastAsia="en-AU"/>
              </w:rPr>
            </w:pPr>
            <w:r>
              <w:rPr>
                <w:sz w:val="16"/>
                <w:szCs w:val="16"/>
                <w:lang w:val="en-AU" w:eastAsia="en-AU"/>
              </w:rPr>
            </w:r>
          </w:p>
        </w:tc>
        <w:tc>
          <w:tcPr>
            <w:tcW w:w="2052" w:type="dxa"/>
            <w:tcBorders>
              <w:top w:val="single" w:sz="4" w:space="0" w:color="000000"/>
              <w:start w:val="single" w:sz="4" w:space="0" w:color="000000"/>
              <w:bottom w:val="single" w:sz="4" w:space="0" w:color="000000"/>
              <w:end w:val="single" w:sz="4" w:space="0" w:color="000000"/>
            </w:tcBorders>
          </w:tcPr>
          <w:p>
            <w:pPr>
              <w:pStyle w:val="Normal"/>
              <w:spacing w:before="0" w:after="160"/>
              <w:rPr>
                <w:sz w:val="16"/>
                <w:szCs w:val="16"/>
                <w:lang w:val="en-AU" w:eastAsia="en-AU"/>
              </w:rPr>
            </w:pPr>
            <w:r>
              <w:rPr>
                <w:sz w:val="16"/>
                <w:szCs w:val="16"/>
                <w:lang w:val="en-AU" w:eastAsia="en-AU"/>
              </w:rPr>
            </w:r>
          </w:p>
        </w:tc>
        <w:tc>
          <w:tcPr>
            <w:tcW w:w="1441" w:type="dxa"/>
            <w:tcBorders>
              <w:top w:val="single" w:sz="4" w:space="0" w:color="000000"/>
              <w:start w:val="single" w:sz="4" w:space="0" w:color="000000"/>
              <w:bottom w:val="single" w:sz="4" w:space="0" w:color="000000"/>
              <w:end w:val="single" w:sz="4" w:space="0" w:color="000000"/>
            </w:tcBorders>
          </w:tcPr>
          <w:p>
            <w:pPr>
              <w:pStyle w:val="Normal"/>
              <w:spacing w:before="0" w:after="160"/>
              <w:rPr>
                <w:sz w:val="16"/>
                <w:szCs w:val="16"/>
                <w:lang w:val="en-AU" w:eastAsia="en-AU"/>
              </w:rPr>
            </w:pPr>
            <w:r>
              <w:rPr>
                <w:sz w:val="16"/>
                <w:szCs w:val="16"/>
                <w:lang w:val="en-AU" w:eastAsia="en-AU"/>
              </w:rPr>
            </w:r>
          </w:p>
        </w:tc>
        <w:tc>
          <w:tcPr>
            <w:tcW w:w="1443" w:type="dxa"/>
            <w:tcBorders>
              <w:top w:val="single" w:sz="4" w:space="0" w:color="000000"/>
              <w:start w:val="single" w:sz="4" w:space="0" w:color="000000"/>
              <w:bottom w:val="single" w:sz="4" w:space="0" w:color="000000"/>
              <w:end w:val="single" w:sz="4" w:space="0" w:color="000000"/>
            </w:tcBorders>
          </w:tcPr>
          <w:p>
            <w:pPr>
              <w:pStyle w:val="Normal"/>
              <w:spacing w:before="0" w:after="160"/>
              <w:rPr>
                <w:sz w:val="16"/>
                <w:szCs w:val="16"/>
                <w:lang w:val="en-AU" w:eastAsia="en-AU"/>
              </w:rPr>
            </w:pPr>
            <w:r>
              <w:rPr>
                <w:sz w:val="16"/>
                <w:szCs w:val="16"/>
                <w:lang w:val="en-AU" w:eastAsia="en-AU"/>
              </w:rPr>
            </w:r>
          </w:p>
        </w:tc>
        <w:tc>
          <w:tcPr>
            <w:tcW w:w="1463" w:type="dxa"/>
            <w:tcBorders>
              <w:top w:val="single" w:sz="4" w:space="0" w:color="000000"/>
              <w:start w:val="single" w:sz="4" w:space="0" w:color="000000"/>
              <w:bottom w:val="single" w:sz="4" w:space="0" w:color="000000"/>
              <w:end w:val="single" w:sz="4" w:space="0" w:color="000000"/>
            </w:tcBorders>
          </w:tcPr>
          <w:p>
            <w:pPr>
              <w:pStyle w:val="Normal"/>
              <w:spacing w:before="0" w:after="160"/>
              <w:rPr>
                <w:sz w:val="16"/>
                <w:szCs w:val="16"/>
                <w:lang w:val="en-AU" w:eastAsia="en-AU"/>
              </w:rPr>
            </w:pPr>
            <w:r>
              <w:rPr>
                <w:sz w:val="16"/>
                <w:szCs w:val="16"/>
                <w:lang w:val="en-AU" w:eastAsia="en-AU"/>
              </w:rPr>
            </w:r>
          </w:p>
        </w:tc>
      </w:tr>
      <w:tr>
        <w:trPr/>
        <w:tc>
          <w:tcPr>
            <w:tcW w:w="1513" w:type="dxa"/>
            <w:tcBorders>
              <w:top w:val="single" w:sz="4" w:space="0" w:color="000000"/>
              <w:start w:val="single" w:sz="4" w:space="0" w:color="000000"/>
              <w:bottom w:val="single" w:sz="4" w:space="0" w:color="000000"/>
              <w:end w:val="single" w:sz="4" w:space="0" w:color="000000"/>
            </w:tcBorders>
          </w:tcPr>
          <w:p>
            <w:pPr>
              <w:pStyle w:val="Normal"/>
              <w:spacing w:before="0" w:after="160"/>
              <w:rPr>
                <w:sz w:val="16"/>
                <w:szCs w:val="16"/>
                <w:lang w:val="en-AU" w:eastAsia="en-AU"/>
              </w:rPr>
            </w:pPr>
            <w:r>
              <w:rPr>
                <w:sz w:val="16"/>
                <w:szCs w:val="16"/>
                <w:lang w:val="en-AU" w:eastAsia="en-AU"/>
              </w:rPr>
              <w:t>{{control.control_id}}</w:t>
            </w:r>
          </w:p>
        </w:tc>
        <w:tc>
          <w:tcPr>
            <w:tcW w:w="1114" w:type="dxa"/>
            <w:tcBorders>
              <w:top w:val="single" w:sz="4" w:space="0" w:color="000000"/>
              <w:start w:val="single" w:sz="4" w:space="0" w:color="000000"/>
              <w:bottom w:val="single" w:sz="4" w:space="0" w:color="000000"/>
              <w:end w:val="single" w:sz="4" w:space="0" w:color="000000"/>
            </w:tcBorders>
          </w:tcPr>
          <w:p>
            <w:pPr>
              <w:pStyle w:val="Normal"/>
              <w:spacing w:before="0" w:after="160"/>
              <w:rPr>
                <w:sz w:val="16"/>
                <w:szCs w:val="16"/>
                <w:lang w:val="en-AU" w:eastAsia="en-AU"/>
              </w:rPr>
            </w:pPr>
            <w:r>
              <w:rPr>
                <w:sz w:val="16"/>
                <w:szCs w:val="16"/>
                <w:lang w:val="en-AU" w:eastAsia="en-AU"/>
              </w:rPr>
              <w:t>{{control.title}}</w:t>
            </w:r>
          </w:p>
        </w:tc>
        <w:tc>
          <w:tcPr>
            <w:tcW w:w="2052" w:type="dxa"/>
            <w:tcBorders>
              <w:top w:val="single" w:sz="4" w:space="0" w:color="000000"/>
              <w:start w:val="single" w:sz="4" w:space="0" w:color="000000"/>
              <w:bottom w:val="single" w:sz="4" w:space="0" w:color="000000"/>
              <w:end w:val="single" w:sz="4" w:space="0" w:color="000000"/>
            </w:tcBorders>
          </w:tcPr>
          <w:p>
            <w:pPr>
              <w:pStyle w:val="Normal"/>
              <w:spacing w:before="0" w:after="160"/>
              <w:rPr>
                <w:sz w:val="16"/>
                <w:szCs w:val="16"/>
                <w:lang w:val="en-AU" w:eastAsia="en-AU"/>
              </w:rPr>
            </w:pPr>
            <w:r>
              <w:rPr>
                <w:sz w:val="16"/>
                <w:szCs w:val="16"/>
                <w:lang w:eastAsia="en-AU"/>
              </w:rPr>
              <w:t>{{control.detailed_description}}</w:t>
            </w:r>
          </w:p>
        </w:tc>
        <w:tc>
          <w:tcPr>
            <w:tcW w:w="1441" w:type="dxa"/>
            <w:tcBorders>
              <w:top w:val="single" w:sz="4" w:space="0" w:color="000000"/>
              <w:start w:val="single" w:sz="4" w:space="0" w:color="000000"/>
              <w:bottom w:val="single" w:sz="4" w:space="0" w:color="000000"/>
              <w:end w:val="single" w:sz="4" w:space="0" w:color="000000"/>
            </w:tcBorders>
          </w:tcPr>
          <w:p>
            <w:pPr>
              <w:pStyle w:val="Normal"/>
              <w:spacing w:before="0" w:after="160"/>
              <w:rPr>
                <w:sz w:val="16"/>
                <w:szCs w:val="16"/>
                <w:lang w:val="en-AU" w:eastAsia="en-AU"/>
              </w:rPr>
            </w:pPr>
            <w:r>
              <w:rPr>
                <w:sz w:val="16"/>
                <w:szCs w:val="16"/>
                <w:lang w:val="en-AU" w:eastAsia="en-AU"/>
              </w:rPr>
              <w:t>{{control.control_type}}</w:t>
            </w:r>
          </w:p>
        </w:tc>
        <w:tc>
          <w:tcPr>
            <w:tcW w:w="1443" w:type="dxa"/>
            <w:tcBorders>
              <w:top w:val="single" w:sz="4" w:space="0" w:color="000000"/>
              <w:start w:val="single" w:sz="4" w:space="0" w:color="000000"/>
              <w:bottom w:val="single" w:sz="4" w:space="0" w:color="000000"/>
              <w:end w:val="single" w:sz="4" w:space="0" w:color="000000"/>
            </w:tcBorders>
          </w:tcPr>
          <w:p>
            <w:pPr>
              <w:pStyle w:val="Normal"/>
              <w:spacing w:before="0" w:after="160"/>
              <w:rPr>
                <w:sz w:val="16"/>
                <w:szCs w:val="16"/>
                <w:lang w:val="en-AU" w:eastAsia="en-AU"/>
              </w:rPr>
            </w:pPr>
            <w:r>
              <w:rPr>
                <w:sz w:val="16"/>
                <w:szCs w:val="16"/>
                <w:lang w:val="en-AU" w:eastAsia="en-AU"/>
              </w:rPr>
              <w:t>{{control.implementation_effort}}</w:t>
            </w:r>
          </w:p>
        </w:tc>
        <w:tc>
          <w:tcPr>
            <w:tcW w:w="1463" w:type="dxa"/>
            <w:tcBorders>
              <w:top w:val="single" w:sz="4" w:space="0" w:color="000000"/>
              <w:start w:val="single" w:sz="4" w:space="0" w:color="000000"/>
              <w:bottom w:val="single" w:sz="4" w:space="0" w:color="000000"/>
              <w:end w:val="single" w:sz="4" w:space="0" w:color="000000"/>
            </w:tcBorders>
          </w:tcPr>
          <w:p>
            <w:pPr>
              <w:pStyle w:val="Normal"/>
              <w:spacing w:before="0" w:after="160"/>
              <w:rPr>
                <w:sz w:val="16"/>
                <w:szCs w:val="16"/>
                <w:lang w:val="en-AU" w:eastAsia="en-AU"/>
              </w:rPr>
            </w:pPr>
            <w:r>
              <w:rPr>
                <w:sz w:val="16"/>
                <w:szCs w:val="16"/>
                <w:lang w:val="en-AU" w:eastAsia="en-AU"/>
              </w:rPr>
              <w:t>{{control.implementation_horizon}}</w:t>
            </w:r>
          </w:p>
        </w:tc>
      </w:tr>
      <w:tr>
        <w:trPr/>
        <w:tc>
          <w:tcPr>
            <w:tcW w:w="1513" w:type="dxa"/>
            <w:tcBorders>
              <w:top w:val="single" w:sz="4" w:space="0" w:color="000000"/>
              <w:start w:val="single" w:sz="4" w:space="0" w:color="000000"/>
              <w:bottom w:val="single" w:sz="4" w:space="0" w:color="000000"/>
              <w:end w:val="single" w:sz="4" w:space="0" w:color="000000"/>
            </w:tcBorders>
          </w:tcPr>
          <w:p>
            <w:pPr>
              <w:pStyle w:val="Normal"/>
              <w:spacing w:before="0" w:after="160"/>
              <w:rPr>
                <w:sz w:val="16"/>
                <w:szCs w:val="16"/>
                <w:lang w:val="en-AU" w:eastAsia="en-AU"/>
              </w:rPr>
            </w:pPr>
            <w:r>
              <w:rPr>
                <w:sz w:val="16"/>
                <w:szCs w:val="16"/>
                <w:lang w:val="en-AU" w:eastAsia="en-AU"/>
              </w:rPr>
              <w:t>{%tr endfor %}</w:t>
            </w:r>
          </w:p>
        </w:tc>
        <w:tc>
          <w:tcPr>
            <w:tcW w:w="1114" w:type="dxa"/>
            <w:tcBorders>
              <w:top w:val="single" w:sz="4" w:space="0" w:color="000000"/>
              <w:start w:val="single" w:sz="4" w:space="0" w:color="000000"/>
              <w:bottom w:val="single" w:sz="4" w:space="0" w:color="000000"/>
              <w:end w:val="single" w:sz="4" w:space="0" w:color="000000"/>
            </w:tcBorders>
          </w:tcPr>
          <w:p>
            <w:pPr>
              <w:pStyle w:val="Normal"/>
              <w:spacing w:before="0" w:after="160"/>
              <w:rPr>
                <w:sz w:val="16"/>
                <w:szCs w:val="16"/>
                <w:lang w:val="en-AU" w:eastAsia="en-AU"/>
              </w:rPr>
            </w:pPr>
            <w:r>
              <w:rPr>
                <w:sz w:val="16"/>
                <w:szCs w:val="16"/>
                <w:lang w:val="en-AU" w:eastAsia="en-AU"/>
              </w:rPr>
            </w:r>
          </w:p>
        </w:tc>
        <w:tc>
          <w:tcPr>
            <w:tcW w:w="2052" w:type="dxa"/>
            <w:tcBorders>
              <w:top w:val="single" w:sz="4" w:space="0" w:color="000000"/>
              <w:start w:val="single" w:sz="4" w:space="0" w:color="000000"/>
              <w:bottom w:val="single" w:sz="4" w:space="0" w:color="000000"/>
              <w:end w:val="single" w:sz="4" w:space="0" w:color="000000"/>
            </w:tcBorders>
          </w:tcPr>
          <w:p>
            <w:pPr>
              <w:pStyle w:val="Normal"/>
              <w:spacing w:before="0" w:after="160"/>
              <w:rPr>
                <w:sz w:val="16"/>
                <w:szCs w:val="16"/>
                <w:lang w:val="en-AU" w:eastAsia="en-AU"/>
              </w:rPr>
            </w:pPr>
            <w:r>
              <w:rPr>
                <w:sz w:val="16"/>
                <w:szCs w:val="16"/>
                <w:lang w:val="en-AU" w:eastAsia="en-AU"/>
              </w:rPr>
            </w:r>
          </w:p>
        </w:tc>
        <w:tc>
          <w:tcPr>
            <w:tcW w:w="1441" w:type="dxa"/>
            <w:tcBorders>
              <w:top w:val="single" w:sz="4" w:space="0" w:color="000000"/>
              <w:start w:val="single" w:sz="4" w:space="0" w:color="000000"/>
              <w:bottom w:val="single" w:sz="4" w:space="0" w:color="000000"/>
              <w:end w:val="single" w:sz="4" w:space="0" w:color="000000"/>
            </w:tcBorders>
          </w:tcPr>
          <w:p>
            <w:pPr>
              <w:pStyle w:val="Normal"/>
              <w:spacing w:before="0" w:after="160"/>
              <w:rPr>
                <w:sz w:val="16"/>
                <w:szCs w:val="16"/>
                <w:lang w:val="en-AU" w:eastAsia="en-AU"/>
              </w:rPr>
            </w:pPr>
            <w:r>
              <w:rPr>
                <w:sz w:val="16"/>
                <w:szCs w:val="16"/>
                <w:lang w:val="en-AU" w:eastAsia="en-AU"/>
              </w:rPr>
            </w:r>
          </w:p>
        </w:tc>
        <w:tc>
          <w:tcPr>
            <w:tcW w:w="1443" w:type="dxa"/>
            <w:tcBorders>
              <w:top w:val="single" w:sz="4" w:space="0" w:color="000000"/>
              <w:start w:val="single" w:sz="4" w:space="0" w:color="000000"/>
              <w:bottom w:val="single" w:sz="4" w:space="0" w:color="000000"/>
              <w:end w:val="single" w:sz="4" w:space="0" w:color="000000"/>
            </w:tcBorders>
          </w:tcPr>
          <w:p>
            <w:pPr>
              <w:pStyle w:val="Normal"/>
              <w:spacing w:before="0" w:after="160"/>
              <w:rPr>
                <w:sz w:val="16"/>
                <w:szCs w:val="16"/>
                <w:lang w:val="en-AU" w:eastAsia="en-AU"/>
              </w:rPr>
            </w:pPr>
            <w:r>
              <w:rPr>
                <w:sz w:val="16"/>
                <w:szCs w:val="16"/>
                <w:lang w:val="en-AU" w:eastAsia="en-AU"/>
              </w:rPr>
            </w:r>
          </w:p>
        </w:tc>
        <w:tc>
          <w:tcPr>
            <w:tcW w:w="1463" w:type="dxa"/>
            <w:tcBorders>
              <w:top w:val="single" w:sz="4" w:space="0" w:color="000000"/>
              <w:start w:val="single" w:sz="4" w:space="0" w:color="000000"/>
              <w:bottom w:val="single" w:sz="4" w:space="0" w:color="000000"/>
              <w:end w:val="single" w:sz="4" w:space="0" w:color="000000"/>
            </w:tcBorders>
          </w:tcPr>
          <w:p>
            <w:pPr>
              <w:pStyle w:val="Normal"/>
              <w:spacing w:before="0" w:after="160"/>
              <w:rPr>
                <w:sz w:val="16"/>
                <w:szCs w:val="16"/>
                <w:lang w:val="en-AU" w:eastAsia="en-AU"/>
              </w:rPr>
            </w:pPr>
            <w:r>
              <w:rPr>
                <w:sz w:val="16"/>
                <w:szCs w:val="16"/>
                <w:lang w:val="en-AU" w:eastAsia="en-AU"/>
              </w:rPr>
            </w:r>
          </w:p>
        </w:tc>
      </w:tr>
    </w:tbl>
    <w:p>
      <w:pPr>
        <w:pStyle w:val="Normal"/>
        <w:rPr>
          <w:lang w:val="en-AU" w:eastAsia="en-AU"/>
        </w:rPr>
      </w:pPr>
      <w:r>
        <w:rPr>
          <w:lang w:val="en-AU" w:eastAsia="en-AU"/>
        </w:rPr>
      </w:r>
    </w:p>
    <w:p>
      <w:pPr>
        <w:pStyle w:val="Normal"/>
        <w:rPr>
          <w:b/>
          <w:bCs/>
          <w:highlight w:val="yellow"/>
          <w:lang w:val="en-AU" w:eastAsia="en-AU"/>
        </w:rPr>
      </w:pPr>
      <w:r>
        <w:rPr>
          <w:b/>
          <w:bCs/>
          <w:highlight w:val="yellow"/>
          <w:lang w:val="en-AU" w:eastAsia="en-AU"/>
        </w:rPr>
        <w:t>TEST</w:t>
      </w:r>
    </w:p>
    <w:p>
      <w:pPr>
        <w:pStyle w:val="Normal"/>
        <w:rPr>
          <w:highlight w:val="yellow"/>
          <w:lang w:val="en-AU" w:eastAsia="en-AU"/>
        </w:rPr>
      </w:pPr>
      <w:r>
        <w:rPr>
          <w:highlight w:val="yellow"/>
          <w:lang w:val="en-AU" w:eastAsia="en-AU"/>
        </w:rPr>
        <w:t>{% set controls = recommended_controls_top3.Transparency %}</w:t>
      </w:r>
    </w:p>
    <w:p>
      <w:pPr>
        <w:pStyle w:val="Normal"/>
        <w:rPr>
          <w:highlight w:val="yellow"/>
          <w:lang w:val="en-AU" w:eastAsia="en-AU"/>
        </w:rPr>
      </w:pPr>
      <w:r>
        <w:rPr>
          <w:highlight w:val="yellow"/>
          <w:lang w:val="en-AU" w:eastAsia="en-AU"/>
        </w:rPr>
        <w:t>{%p if controls and controls | length &gt; 0 %}</w:t>
      </w:r>
    </w:p>
    <w:p>
      <w:pPr>
        <w:pStyle w:val="Normal"/>
        <w:rPr>
          <w:b/>
          <w:bCs/>
          <w:i/>
          <w:iCs/>
          <w:highlight w:val="yellow"/>
          <w:lang w:eastAsia="en-AU"/>
        </w:rPr>
      </w:pPr>
      <w:r>
        <w:rPr>
          <w:b/>
          <w:bCs/>
          <w:highlight w:val="yellow"/>
          <w:lang w:eastAsia="en-AU"/>
        </w:rPr>
        <w:t>Recommended Controls — Transparency and Explainability</w:t>
      </w:r>
    </w:p>
    <w:tbl>
      <w:tblPr>
        <w:tblW w:w="5000" w:type="pct"/>
        <w:jc w:val="start"/>
        <w:tblInd w:w="0" w:type="dxa"/>
        <w:tblLayout w:type="fixed"/>
        <w:tblCellMar>
          <w:top w:w="43" w:type="dxa"/>
          <w:start w:w="43" w:type="dxa"/>
          <w:bottom w:w="43" w:type="dxa"/>
          <w:end w:w="43" w:type="dxa"/>
        </w:tblCellMar>
        <w:tblLook w:firstRow="1" w:noVBand="1" w:lastRow="0" w:firstColumn="1" w:lastColumn="0" w:noHBand="0" w:val="04a0"/>
      </w:tblPr>
      <w:tblGrid>
        <w:gridCol w:w="1513"/>
        <w:gridCol w:w="1114"/>
        <w:gridCol w:w="2052"/>
        <w:gridCol w:w="1441"/>
        <w:gridCol w:w="1443"/>
        <w:gridCol w:w="1463"/>
      </w:tblGrid>
      <w:tr>
        <w:trPr>
          <w:tblHeader w:val="true"/>
        </w:trPr>
        <w:tc>
          <w:tcPr>
            <w:tcW w:w="1513" w:type="dxa"/>
            <w:tcBorders>
              <w:top w:val="single" w:sz="4" w:space="0" w:color="000000"/>
              <w:start w:val="single" w:sz="4" w:space="0" w:color="000000"/>
              <w:bottom w:val="single" w:sz="4" w:space="0" w:color="000000"/>
              <w:end w:val="single" w:sz="4" w:space="0" w:color="000000"/>
            </w:tcBorders>
            <w:shd w:color="auto" w:fill="D9D9D9" w:themeFill="background1" w:themeFillShade="d9" w:val="clear"/>
          </w:tcPr>
          <w:p>
            <w:pPr>
              <w:pStyle w:val="Normal"/>
              <w:spacing w:before="0" w:after="160"/>
              <w:rPr>
                <w:b/>
                <w:bCs/>
                <w:sz w:val="18"/>
                <w:szCs w:val="18"/>
                <w:highlight w:val="yellow"/>
                <w:lang w:val="en-AU" w:eastAsia="en-AU"/>
              </w:rPr>
            </w:pPr>
            <w:r>
              <w:rPr>
                <w:b/>
                <w:bCs/>
                <w:sz w:val="18"/>
                <w:szCs w:val="18"/>
                <w:highlight w:val="yellow"/>
                <w:lang w:val="en-AU" w:eastAsia="en-AU"/>
              </w:rPr>
              <w:t>Control ID</w:t>
            </w:r>
          </w:p>
        </w:tc>
        <w:tc>
          <w:tcPr>
            <w:tcW w:w="1114" w:type="dxa"/>
            <w:tcBorders>
              <w:top w:val="single" w:sz="4" w:space="0" w:color="000000"/>
              <w:start w:val="single" w:sz="4" w:space="0" w:color="000000"/>
              <w:bottom w:val="single" w:sz="4" w:space="0" w:color="000000"/>
              <w:end w:val="single" w:sz="4" w:space="0" w:color="000000"/>
            </w:tcBorders>
            <w:shd w:color="auto" w:fill="D9D9D9" w:themeFill="background1" w:themeFillShade="d9" w:val="clear"/>
          </w:tcPr>
          <w:p>
            <w:pPr>
              <w:pStyle w:val="Normal"/>
              <w:spacing w:before="0" w:after="160"/>
              <w:rPr>
                <w:b/>
                <w:bCs/>
                <w:sz w:val="18"/>
                <w:szCs w:val="18"/>
                <w:highlight w:val="yellow"/>
                <w:lang w:val="en-AU" w:eastAsia="en-AU"/>
              </w:rPr>
            </w:pPr>
            <w:r>
              <w:rPr>
                <w:b/>
                <w:bCs/>
                <w:sz w:val="18"/>
                <w:szCs w:val="18"/>
                <w:highlight w:val="yellow"/>
                <w:lang w:val="en-AU" w:eastAsia="en-AU"/>
              </w:rPr>
              <w:t>Title</w:t>
            </w:r>
          </w:p>
        </w:tc>
        <w:tc>
          <w:tcPr>
            <w:tcW w:w="2052" w:type="dxa"/>
            <w:tcBorders>
              <w:top w:val="single" w:sz="4" w:space="0" w:color="000000"/>
              <w:start w:val="single" w:sz="4" w:space="0" w:color="000000"/>
              <w:bottom w:val="single" w:sz="4" w:space="0" w:color="000000"/>
              <w:end w:val="single" w:sz="4" w:space="0" w:color="000000"/>
            </w:tcBorders>
            <w:shd w:color="auto" w:fill="D9D9D9" w:themeFill="background1" w:themeFillShade="d9" w:val="clear"/>
          </w:tcPr>
          <w:p>
            <w:pPr>
              <w:pStyle w:val="Normal"/>
              <w:spacing w:before="0" w:after="160"/>
              <w:rPr>
                <w:b/>
                <w:bCs/>
                <w:sz w:val="18"/>
                <w:szCs w:val="18"/>
                <w:highlight w:val="yellow"/>
                <w:lang w:val="en-AU" w:eastAsia="en-AU"/>
              </w:rPr>
            </w:pPr>
            <w:r>
              <w:rPr>
                <w:b/>
                <w:bCs/>
                <w:sz w:val="18"/>
                <w:szCs w:val="18"/>
                <w:highlight w:val="yellow"/>
                <w:lang w:val="en-AU" w:eastAsia="en-AU"/>
              </w:rPr>
              <w:t>Details</w:t>
            </w:r>
          </w:p>
        </w:tc>
        <w:tc>
          <w:tcPr>
            <w:tcW w:w="1441" w:type="dxa"/>
            <w:tcBorders>
              <w:top w:val="single" w:sz="4" w:space="0" w:color="000000"/>
              <w:start w:val="single" w:sz="4" w:space="0" w:color="000000"/>
              <w:bottom w:val="single" w:sz="4" w:space="0" w:color="000000"/>
              <w:end w:val="single" w:sz="4" w:space="0" w:color="000000"/>
            </w:tcBorders>
            <w:shd w:color="auto" w:fill="D9D9D9" w:themeFill="background1" w:themeFillShade="d9" w:val="clear"/>
          </w:tcPr>
          <w:p>
            <w:pPr>
              <w:pStyle w:val="Normal"/>
              <w:spacing w:before="0" w:after="160"/>
              <w:rPr>
                <w:b/>
                <w:bCs/>
                <w:sz w:val="18"/>
                <w:szCs w:val="18"/>
                <w:highlight w:val="yellow"/>
                <w:lang w:val="en-AU" w:eastAsia="en-AU"/>
              </w:rPr>
            </w:pPr>
            <w:r>
              <w:rPr>
                <w:b/>
                <w:bCs/>
                <w:sz w:val="18"/>
                <w:szCs w:val="18"/>
                <w:highlight w:val="yellow"/>
                <w:lang w:val="en-AU" w:eastAsia="en-AU"/>
              </w:rPr>
              <w:t>Control Type</w:t>
            </w:r>
          </w:p>
        </w:tc>
        <w:tc>
          <w:tcPr>
            <w:tcW w:w="1443" w:type="dxa"/>
            <w:tcBorders>
              <w:top w:val="single" w:sz="4" w:space="0" w:color="000000"/>
              <w:start w:val="single" w:sz="4" w:space="0" w:color="000000"/>
              <w:bottom w:val="single" w:sz="4" w:space="0" w:color="000000"/>
              <w:end w:val="single" w:sz="4" w:space="0" w:color="000000"/>
            </w:tcBorders>
            <w:shd w:color="auto" w:fill="D9D9D9" w:themeFill="background1" w:themeFillShade="d9" w:val="clear"/>
          </w:tcPr>
          <w:p>
            <w:pPr>
              <w:pStyle w:val="Normal"/>
              <w:spacing w:before="0" w:after="160"/>
              <w:rPr>
                <w:b/>
                <w:bCs/>
                <w:sz w:val="18"/>
                <w:szCs w:val="18"/>
                <w:highlight w:val="yellow"/>
                <w:lang w:val="en-AU" w:eastAsia="en-AU"/>
              </w:rPr>
            </w:pPr>
            <w:r>
              <w:rPr>
                <w:b/>
                <w:bCs/>
                <w:sz w:val="18"/>
                <w:szCs w:val="18"/>
                <w:highlight w:val="yellow"/>
                <w:lang w:val="en-AU" w:eastAsia="en-AU"/>
              </w:rPr>
              <w:t>Implementation Effort</w:t>
            </w:r>
          </w:p>
        </w:tc>
        <w:tc>
          <w:tcPr>
            <w:tcW w:w="1463" w:type="dxa"/>
            <w:tcBorders>
              <w:top w:val="single" w:sz="4" w:space="0" w:color="000000"/>
              <w:start w:val="single" w:sz="4" w:space="0" w:color="000000"/>
              <w:bottom w:val="single" w:sz="4" w:space="0" w:color="000000"/>
              <w:end w:val="single" w:sz="4" w:space="0" w:color="000000"/>
            </w:tcBorders>
            <w:shd w:color="auto" w:fill="D9D9D9" w:themeFill="background1" w:themeFillShade="d9" w:val="clear"/>
          </w:tcPr>
          <w:p>
            <w:pPr>
              <w:pStyle w:val="Normal"/>
              <w:spacing w:before="0" w:after="160"/>
              <w:rPr>
                <w:b/>
                <w:bCs/>
                <w:sz w:val="18"/>
                <w:szCs w:val="18"/>
                <w:highlight w:val="yellow"/>
                <w:lang w:val="en-AU" w:eastAsia="en-AU"/>
              </w:rPr>
            </w:pPr>
            <w:r>
              <w:rPr>
                <w:b/>
                <w:bCs/>
                <w:sz w:val="18"/>
                <w:szCs w:val="18"/>
                <w:highlight w:val="yellow"/>
                <w:lang w:val="en-AU" w:eastAsia="en-AU"/>
              </w:rPr>
              <w:t>Implementation Horizon</w:t>
            </w:r>
          </w:p>
        </w:tc>
      </w:tr>
      <w:tr>
        <w:trPr>
          <w:trHeight w:val="667" w:hRule="atLeast"/>
        </w:trPr>
        <w:tc>
          <w:tcPr>
            <w:tcW w:w="1513" w:type="dxa"/>
            <w:tcBorders>
              <w:top w:val="single" w:sz="4" w:space="0" w:color="000000"/>
              <w:start w:val="single" w:sz="4" w:space="0" w:color="000000"/>
              <w:bottom w:val="single" w:sz="4" w:space="0" w:color="000000"/>
              <w:end w:val="single" w:sz="4" w:space="0" w:color="000000"/>
            </w:tcBorders>
          </w:tcPr>
          <w:p>
            <w:pPr>
              <w:pStyle w:val="Normal"/>
              <w:rPr>
                <w:sz w:val="20"/>
                <w:szCs w:val="20"/>
                <w:highlight w:val="yellow"/>
                <w:lang w:val="en-AU" w:eastAsia="en-AU"/>
              </w:rPr>
            </w:pPr>
            <w:r>
              <w:rPr>
                <w:sz w:val="20"/>
                <w:szCs w:val="20"/>
                <w:highlight w:val="yellow"/>
                <w:lang w:val="en-AU" w:eastAsia="en-AU"/>
              </w:rPr>
              <w:t>{%tr for control in controls %}</w:t>
            </w:r>
          </w:p>
          <w:p>
            <w:pPr>
              <w:pStyle w:val="Normal"/>
              <w:spacing w:before="0" w:after="160"/>
              <w:rPr>
                <w:sz w:val="20"/>
                <w:szCs w:val="20"/>
                <w:highlight w:val="yellow"/>
                <w:lang w:val="en-AU" w:eastAsia="en-AU"/>
              </w:rPr>
            </w:pPr>
            <w:r>
              <w:rPr>
                <w:sz w:val="20"/>
                <w:szCs w:val="20"/>
                <w:highlight w:val="yellow"/>
                <w:lang w:val="en-AU" w:eastAsia="en-AU"/>
              </w:rPr>
            </w:r>
          </w:p>
        </w:tc>
        <w:tc>
          <w:tcPr>
            <w:tcW w:w="1114" w:type="dxa"/>
            <w:tcBorders>
              <w:top w:val="single" w:sz="4" w:space="0" w:color="000000"/>
              <w:start w:val="single" w:sz="4" w:space="0" w:color="000000"/>
              <w:bottom w:val="single" w:sz="4" w:space="0" w:color="000000"/>
              <w:end w:val="single" w:sz="4" w:space="0" w:color="000000"/>
            </w:tcBorders>
          </w:tcPr>
          <w:p>
            <w:pPr>
              <w:pStyle w:val="Normal"/>
              <w:spacing w:before="0" w:after="160"/>
              <w:rPr>
                <w:sz w:val="20"/>
                <w:szCs w:val="20"/>
                <w:highlight w:val="yellow"/>
                <w:lang w:val="en-AU" w:eastAsia="en-AU"/>
              </w:rPr>
            </w:pPr>
            <w:r>
              <w:rPr>
                <w:sz w:val="20"/>
                <w:szCs w:val="20"/>
                <w:highlight w:val="yellow"/>
                <w:lang w:val="en-AU" w:eastAsia="en-AU"/>
              </w:rPr>
            </w:r>
          </w:p>
        </w:tc>
        <w:tc>
          <w:tcPr>
            <w:tcW w:w="2052" w:type="dxa"/>
            <w:tcBorders>
              <w:top w:val="single" w:sz="4" w:space="0" w:color="000000"/>
              <w:start w:val="single" w:sz="4" w:space="0" w:color="000000"/>
              <w:bottom w:val="single" w:sz="4" w:space="0" w:color="000000"/>
              <w:end w:val="single" w:sz="4" w:space="0" w:color="000000"/>
            </w:tcBorders>
          </w:tcPr>
          <w:p>
            <w:pPr>
              <w:pStyle w:val="Normal"/>
              <w:spacing w:before="0" w:after="160"/>
              <w:rPr>
                <w:sz w:val="20"/>
                <w:szCs w:val="20"/>
                <w:highlight w:val="yellow"/>
                <w:lang w:val="en-AU" w:eastAsia="en-AU"/>
              </w:rPr>
            </w:pPr>
            <w:r>
              <w:rPr>
                <w:sz w:val="20"/>
                <w:szCs w:val="20"/>
                <w:highlight w:val="yellow"/>
                <w:lang w:val="en-AU" w:eastAsia="en-AU"/>
              </w:rPr>
            </w:r>
          </w:p>
        </w:tc>
        <w:tc>
          <w:tcPr>
            <w:tcW w:w="1441" w:type="dxa"/>
            <w:tcBorders>
              <w:top w:val="single" w:sz="4" w:space="0" w:color="000000"/>
              <w:start w:val="single" w:sz="4" w:space="0" w:color="000000"/>
              <w:bottom w:val="single" w:sz="4" w:space="0" w:color="000000"/>
              <w:end w:val="single" w:sz="4" w:space="0" w:color="000000"/>
            </w:tcBorders>
          </w:tcPr>
          <w:p>
            <w:pPr>
              <w:pStyle w:val="Normal"/>
              <w:spacing w:before="0" w:after="160"/>
              <w:rPr>
                <w:sz w:val="20"/>
                <w:szCs w:val="20"/>
                <w:highlight w:val="yellow"/>
                <w:lang w:val="en-AU" w:eastAsia="en-AU"/>
              </w:rPr>
            </w:pPr>
            <w:r>
              <w:rPr>
                <w:sz w:val="20"/>
                <w:szCs w:val="20"/>
                <w:highlight w:val="yellow"/>
                <w:lang w:val="en-AU" w:eastAsia="en-AU"/>
              </w:rPr>
            </w:r>
          </w:p>
        </w:tc>
        <w:tc>
          <w:tcPr>
            <w:tcW w:w="1443" w:type="dxa"/>
            <w:tcBorders>
              <w:top w:val="single" w:sz="4" w:space="0" w:color="000000"/>
              <w:start w:val="single" w:sz="4" w:space="0" w:color="000000"/>
              <w:bottom w:val="single" w:sz="4" w:space="0" w:color="000000"/>
              <w:end w:val="single" w:sz="4" w:space="0" w:color="000000"/>
            </w:tcBorders>
          </w:tcPr>
          <w:p>
            <w:pPr>
              <w:pStyle w:val="Normal"/>
              <w:spacing w:before="0" w:after="160"/>
              <w:rPr>
                <w:sz w:val="20"/>
                <w:szCs w:val="20"/>
                <w:highlight w:val="yellow"/>
                <w:lang w:val="en-AU" w:eastAsia="en-AU"/>
              </w:rPr>
            </w:pPr>
            <w:r>
              <w:rPr>
                <w:sz w:val="20"/>
                <w:szCs w:val="20"/>
                <w:highlight w:val="yellow"/>
                <w:lang w:val="en-AU" w:eastAsia="en-AU"/>
              </w:rPr>
            </w:r>
          </w:p>
        </w:tc>
        <w:tc>
          <w:tcPr>
            <w:tcW w:w="1463" w:type="dxa"/>
            <w:tcBorders>
              <w:top w:val="single" w:sz="4" w:space="0" w:color="000000"/>
              <w:start w:val="single" w:sz="4" w:space="0" w:color="000000"/>
              <w:bottom w:val="single" w:sz="4" w:space="0" w:color="000000"/>
              <w:end w:val="single" w:sz="4" w:space="0" w:color="000000"/>
            </w:tcBorders>
          </w:tcPr>
          <w:p>
            <w:pPr>
              <w:pStyle w:val="Normal"/>
              <w:spacing w:before="0" w:after="160"/>
              <w:rPr>
                <w:sz w:val="20"/>
                <w:szCs w:val="20"/>
                <w:highlight w:val="yellow"/>
                <w:lang w:val="en-AU" w:eastAsia="en-AU"/>
              </w:rPr>
            </w:pPr>
            <w:r>
              <w:rPr>
                <w:sz w:val="20"/>
                <w:szCs w:val="20"/>
                <w:highlight w:val="yellow"/>
                <w:lang w:val="en-AU" w:eastAsia="en-AU"/>
              </w:rPr>
            </w:r>
          </w:p>
        </w:tc>
      </w:tr>
      <w:tr>
        <w:trPr/>
        <w:tc>
          <w:tcPr>
            <w:tcW w:w="1513" w:type="dxa"/>
            <w:tcBorders>
              <w:top w:val="single" w:sz="4" w:space="0" w:color="000000"/>
              <w:start w:val="single" w:sz="4" w:space="0" w:color="000000"/>
              <w:bottom w:val="single" w:sz="4" w:space="0" w:color="000000"/>
              <w:end w:val="single" w:sz="4" w:space="0" w:color="000000"/>
            </w:tcBorders>
          </w:tcPr>
          <w:p>
            <w:pPr>
              <w:pStyle w:val="Normal"/>
              <w:spacing w:before="0" w:after="160"/>
              <w:rPr>
                <w:sz w:val="20"/>
                <w:szCs w:val="20"/>
                <w:highlight w:val="yellow"/>
                <w:lang w:val="en-AU" w:eastAsia="en-AU"/>
              </w:rPr>
            </w:pPr>
            <w:r>
              <w:rPr>
                <w:sz w:val="20"/>
                <w:szCs w:val="20"/>
                <w:highlight w:val="yellow"/>
                <w:lang w:val="en-AU" w:eastAsia="en-AU"/>
              </w:rPr>
              <w:t>{{control.control_id}}</w:t>
            </w:r>
          </w:p>
        </w:tc>
        <w:tc>
          <w:tcPr>
            <w:tcW w:w="1114" w:type="dxa"/>
            <w:tcBorders>
              <w:top w:val="single" w:sz="4" w:space="0" w:color="000000"/>
              <w:start w:val="single" w:sz="4" w:space="0" w:color="000000"/>
              <w:bottom w:val="single" w:sz="4" w:space="0" w:color="000000"/>
              <w:end w:val="single" w:sz="4" w:space="0" w:color="000000"/>
            </w:tcBorders>
          </w:tcPr>
          <w:p>
            <w:pPr>
              <w:pStyle w:val="Normal"/>
              <w:spacing w:before="0" w:after="160"/>
              <w:rPr>
                <w:sz w:val="20"/>
                <w:szCs w:val="20"/>
                <w:highlight w:val="yellow"/>
                <w:lang w:val="en-AU" w:eastAsia="en-AU"/>
              </w:rPr>
            </w:pPr>
            <w:r>
              <w:rPr>
                <w:sz w:val="20"/>
                <w:szCs w:val="20"/>
                <w:highlight w:val="yellow"/>
                <w:lang w:val="en-AU" w:eastAsia="en-AU"/>
              </w:rPr>
              <w:t>{{control.title}}</w:t>
            </w:r>
          </w:p>
        </w:tc>
        <w:tc>
          <w:tcPr>
            <w:tcW w:w="2052" w:type="dxa"/>
            <w:tcBorders>
              <w:top w:val="single" w:sz="4" w:space="0" w:color="000000"/>
              <w:start w:val="single" w:sz="4" w:space="0" w:color="000000"/>
              <w:bottom w:val="single" w:sz="4" w:space="0" w:color="000000"/>
              <w:end w:val="single" w:sz="4" w:space="0" w:color="000000"/>
            </w:tcBorders>
          </w:tcPr>
          <w:p>
            <w:pPr>
              <w:pStyle w:val="Normal"/>
              <w:spacing w:before="0" w:after="160"/>
              <w:rPr>
                <w:sz w:val="20"/>
                <w:szCs w:val="20"/>
                <w:highlight w:val="yellow"/>
                <w:lang w:val="en-AU" w:eastAsia="en-AU"/>
              </w:rPr>
            </w:pPr>
            <w:r>
              <w:rPr>
                <w:sz w:val="20"/>
                <w:szCs w:val="20"/>
                <w:highlight w:val="yellow"/>
                <w:lang w:eastAsia="en-AU"/>
              </w:rPr>
              <w:t>{{control.detailed_description}}</w:t>
            </w:r>
          </w:p>
        </w:tc>
        <w:tc>
          <w:tcPr>
            <w:tcW w:w="1441" w:type="dxa"/>
            <w:tcBorders>
              <w:top w:val="single" w:sz="4" w:space="0" w:color="000000"/>
              <w:start w:val="single" w:sz="4" w:space="0" w:color="000000"/>
              <w:bottom w:val="single" w:sz="4" w:space="0" w:color="000000"/>
              <w:end w:val="single" w:sz="4" w:space="0" w:color="000000"/>
            </w:tcBorders>
          </w:tcPr>
          <w:p>
            <w:pPr>
              <w:pStyle w:val="Normal"/>
              <w:spacing w:before="0" w:after="160"/>
              <w:rPr>
                <w:sz w:val="20"/>
                <w:szCs w:val="20"/>
                <w:highlight w:val="yellow"/>
                <w:lang w:val="en-AU" w:eastAsia="en-AU"/>
              </w:rPr>
            </w:pPr>
            <w:r>
              <w:rPr>
                <w:sz w:val="20"/>
                <w:szCs w:val="20"/>
                <w:highlight w:val="yellow"/>
                <w:lang w:val="en-AU" w:eastAsia="en-AU"/>
              </w:rPr>
              <w:t>{{control.control_type}}</w:t>
            </w:r>
          </w:p>
        </w:tc>
        <w:tc>
          <w:tcPr>
            <w:tcW w:w="1443" w:type="dxa"/>
            <w:tcBorders>
              <w:top w:val="single" w:sz="4" w:space="0" w:color="000000"/>
              <w:start w:val="single" w:sz="4" w:space="0" w:color="000000"/>
              <w:bottom w:val="single" w:sz="4" w:space="0" w:color="000000"/>
              <w:end w:val="single" w:sz="4" w:space="0" w:color="000000"/>
            </w:tcBorders>
          </w:tcPr>
          <w:p>
            <w:pPr>
              <w:pStyle w:val="Normal"/>
              <w:spacing w:before="0" w:after="160"/>
              <w:rPr>
                <w:sz w:val="20"/>
                <w:szCs w:val="20"/>
                <w:highlight w:val="yellow"/>
                <w:lang w:val="en-AU" w:eastAsia="en-AU"/>
              </w:rPr>
            </w:pPr>
            <w:r>
              <w:rPr>
                <w:sz w:val="20"/>
                <w:szCs w:val="20"/>
                <w:highlight w:val="yellow"/>
                <w:lang w:val="en-AU" w:eastAsia="en-AU"/>
              </w:rPr>
              <w:t>{{control.implementation_effort}}</w:t>
            </w:r>
          </w:p>
        </w:tc>
        <w:tc>
          <w:tcPr>
            <w:tcW w:w="1463" w:type="dxa"/>
            <w:tcBorders>
              <w:top w:val="single" w:sz="4" w:space="0" w:color="000000"/>
              <w:start w:val="single" w:sz="4" w:space="0" w:color="000000"/>
              <w:bottom w:val="single" w:sz="4" w:space="0" w:color="000000"/>
              <w:end w:val="single" w:sz="4" w:space="0" w:color="000000"/>
            </w:tcBorders>
          </w:tcPr>
          <w:p>
            <w:pPr>
              <w:pStyle w:val="Normal"/>
              <w:spacing w:before="0" w:after="160"/>
              <w:rPr>
                <w:sz w:val="20"/>
                <w:szCs w:val="20"/>
                <w:highlight w:val="yellow"/>
                <w:lang w:val="en-AU" w:eastAsia="en-AU"/>
              </w:rPr>
            </w:pPr>
            <w:r>
              <w:rPr>
                <w:sz w:val="20"/>
                <w:szCs w:val="20"/>
                <w:highlight w:val="yellow"/>
                <w:lang w:val="en-AU" w:eastAsia="en-AU"/>
              </w:rPr>
              <w:t>{{control.implementation_horizon}}</w:t>
            </w:r>
          </w:p>
        </w:tc>
      </w:tr>
      <w:tr>
        <w:trPr/>
        <w:tc>
          <w:tcPr>
            <w:tcW w:w="1513" w:type="dxa"/>
            <w:tcBorders>
              <w:top w:val="single" w:sz="4" w:space="0" w:color="000000"/>
              <w:start w:val="single" w:sz="4" w:space="0" w:color="000000"/>
              <w:bottom w:val="single" w:sz="4" w:space="0" w:color="000000"/>
              <w:end w:val="single" w:sz="4" w:space="0" w:color="000000"/>
            </w:tcBorders>
          </w:tcPr>
          <w:p>
            <w:pPr>
              <w:pStyle w:val="Normal"/>
              <w:spacing w:before="0" w:after="160"/>
              <w:rPr>
                <w:sz w:val="20"/>
                <w:szCs w:val="20"/>
                <w:highlight w:val="yellow"/>
                <w:lang w:val="en-AU" w:eastAsia="en-AU"/>
              </w:rPr>
            </w:pPr>
            <w:r>
              <w:rPr>
                <w:sz w:val="20"/>
                <w:szCs w:val="20"/>
                <w:highlight w:val="yellow"/>
                <w:lang w:val="en-AU" w:eastAsia="en-AU"/>
              </w:rPr>
              <w:t>{%tr endfor %}</w:t>
            </w:r>
          </w:p>
        </w:tc>
        <w:tc>
          <w:tcPr>
            <w:tcW w:w="1114" w:type="dxa"/>
            <w:tcBorders>
              <w:top w:val="single" w:sz="4" w:space="0" w:color="000000"/>
              <w:start w:val="single" w:sz="4" w:space="0" w:color="000000"/>
              <w:bottom w:val="single" w:sz="4" w:space="0" w:color="000000"/>
              <w:end w:val="single" w:sz="4" w:space="0" w:color="000000"/>
            </w:tcBorders>
          </w:tcPr>
          <w:p>
            <w:pPr>
              <w:pStyle w:val="Normal"/>
              <w:spacing w:before="0" w:after="160"/>
              <w:rPr>
                <w:sz w:val="20"/>
                <w:szCs w:val="20"/>
                <w:highlight w:val="yellow"/>
                <w:lang w:val="en-AU" w:eastAsia="en-AU"/>
              </w:rPr>
            </w:pPr>
            <w:r>
              <w:rPr>
                <w:sz w:val="20"/>
                <w:szCs w:val="20"/>
                <w:highlight w:val="yellow"/>
                <w:lang w:val="en-AU" w:eastAsia="en-AU"/>
              </w:rPr>
            </w:r>
          </w:p>
        </w:tc>
        <w:tc>
          <w:tcPr>
            <w:tcW w:w="2052" w:type="dxa"/>
            <w:tcBorders>
              <w:top w:val="single" w:sz="4" w:space="0" w:color="000000"/>
              <w:start w:val="single" w:sz="4" w:space="0" w:color="000000"/>
              <w:bottom w:val="single" w:sz="4" w:space="0" w:color="000000"/>
              <w:end w:val="single" w:sz="4" w:space="0" w:color="000000"/>
            </w:tcBorders>
          </w:tcPr>
          <w:p>
            <w:pPr>
              <w:pStyle w:val="Normal"/>
              <w:spacing w:before="0" w:after="160"/>
              <w:rPr>
                <w:sz w:val="20"/>
                <w:szCs w:val="20"/>
                <w:highlight w:val="yellow"/>
                <w:lang w:val="en-AU" w:eastAsia="en-AU"/>
              </w:rPr>
            </w:pPr>
            <w:r>
              <w:rPr>
                <w:sz w:val="20"/>
                <w:szCs w:val="20"/>
                <w:highlight w:val="yellow"/>
                <w:lang w:val="en-AU" w:eastAsia="en-AU"/>
              </w:rPr>
            </w:r>
          </w:p>
        </w:tc>
        <w:tc>
          <w:tcPr>
            <w:tcW w:w="1441" w:type="dxa"/>
            <w:tcBorders>
              <w:top w:val="single" w:sz="4" w:space="0" w:color="000000"/>
              <w:start w:val="single" w:sz="4" w:space="0" w:color="000000"/>
              <w:bottom w:val="single" w:sz="4" w:space="0" w:color="000000"/>
              <w:end w:val="single" w:sz="4" w:space="0" w:color="000000"/>
            </w:tcBorders>
          </w:tcPr>
          <w:p>
            <w:pPr>
              <w:pStyle w:val="Normal"/>
              <w:spacing w:before="0" w:after="160"/>
              <w:rPr>
                <w:sz w:val="20"/>
                <w:szCs w:val="20"/>
                <w:highlight w:val="yellow"/>
                <w:lang w:val="en-AU" w:eastAsia="en-AU"/>
              </w:rPr>
            </w:pPr>
            <w:r>
              <w:rPr>
                <w:sz w:val="20"/>
                <w:szCs w:val="20"/>
                <w:highlight w:val="yellow"/>
                <w:lang w:val="en-AU" w:eastAsia="en-AU"/>
              </w:rPr>
            </w:r>
          </w:p>
        </w:tc>
        <w:tc>
          <w:tcPr>
            <w:tcW w:w="1443" w:type="dxa"/>
            <w:tcBorders>
              <w:top w:val="single" w:sz="4" w:space="0" w:color="000000"/>
              <w:start w:val="single" w:sz="4" w:space="0" w:color="000000"/>
              <w:bottom w:val="single" w:sz="4" w:space="0" w:color="000000"/>
              <w:end w:val="single" w:sz="4" w:space="0" w:color="000000"/>
            </w:tcBorders>
          </w:tcPr>
          <w:p>
            <w:pPr>
              <w:pStyle w:val="Normal"/>
              <w:spacing w:before="0" w:after="160"/>
              <w:rPr>
                <w:sz w:val="20"/>
                <w:szCs w:val="20"/>
                <w:highlight w:val="yellow"/>
                <w:lang w:val="en-AU" w:eastAsia="en-AU"/>
              </w:rPr>
            </w:pPr>
            <w:r>
              <w:rPr>
                <w:sz w:val="20"/>
                <w:szCs w:val="20"/>
                <w:highlight w:val="yellow"/>
                <w:lang w:val="en-AU" w:eastAsia="en-AU"/>
              </w:rPr>
            </w:r>
          </w:p>
        </w:tc>
        <w:tc>
          <w:tcPr>
            <w:tcW w:w="1463" w:type="dxa"/>
            <w:tcBorders>
              <w:top w:val="single" w:sz="4" w:space="0" w:color="000000"/>
              <w:start w:val="single" w:sz="4" w:space="0" w:color="000000"/>
              <w:bottom w:val="single" w:sz="4" w:space="0" w:color="000000"/>
              <w:end w:val="single" w:sz="4" w:space="0" w:color="000000"/>
            </w:tcBorders>
          </w:tcPr>
          <w:p>
            <w:pPr>
              <w:pStyle w:val="Normal"/>
              <w:spacing w:before="0" w:after="160"/>
              <w:rPr>
                <w:sz w:val="20"/>
                <w:szCs w:val="20"/>
                <w:highlight w:val="yellow"/>
                <w:lang w:val="en-AU" w:eastAsia="en-AU"/>
              </w:rPr>
            </w:pPr>
            <w:r>
              <w:rPr>
                <w:sz w:val="20"/>
                <w:szCs w:val="20"/>
                <w:highlight w:val="yellow"/>
                <w:lang w:val="en-AU" w:eastAsia="en-AU"/>
              </w:rPr>
            </w:r>
          </w:p>
        </w:tc>
      </w:tr>
    </w:tbl>
    <w:p>
      <w:pPr>
        <w:pStyle w:val="Normal"/>
        <w:rPr>
          <w:highlight w:val="yellow"/>
          <w:lang w:val="en-AU" w:eastAsia="en-AU"/>
        </w:rPr>
      </w:pPr>
      <w:r>
        <w:rPr>
          <w:highlight w:val="yellow"/>
          <w:lang w:val="en-AU" w:eastAsia="en-AU"/>
        </w:rPr>
        <w:t>{%p else %}</w:t>
      </w:r>
    </w:p>
    <w:p>
      <w:pPr>
        <w:pStyle w:val="Normal"/>
        <w:rPr>
          <w:highlight w:val="yellow"/>
          <w:lang w:val="en-AU" w:eastAsia="en-AU"/>
        </w:rPr>
      </w:pPr>
      <w:r>
        <w:rPr>
          <w:highlight w:val="yellow"/>
          <w:lang w:val="en-AU" w:eastAsia="en-AU"/>
        </w:rPr>
        <w:t>No additional controls have been prioritised at this time, based on current system context and assessed residual risk.</w:t>
      </w:r>
    </w:p>
    <w:p>
      <w:pPr>
        <w:pStyle w:val="Normal"/>
        <w:rPr>
          <w:lang w:val="en-AU" w:eastAsia="en-AU"/>
        </w:rPr>
      </w:pPr>
      <w:r>
        <w:rPr>
          <w:highlight w:val="yellow"/>
          <w:lang w:val="en-AU" w:eastAsia="en-AU"/>
        </w:rPr>
        <w:t>{%p endif %}</w:t>
      </w:r>
    </w:p>
    <w:p>
      <w:pPr>
        <w:pStyle w:val="Normal"/>
        <w:rPr>
          <w:b/>
          <w:bCs/>
          <w:lang w:eastAsia="en-AU"/>
        </w:rPr>
      </w:pPr>
      <w:r>
        <w:rPr>
          <w:b/>
          <w:bCs/>
          <w:lang w:eastAsia="en-AU"/>
        </w:rPr>
        <w:t>Domain Control Rationale</w:t>
      </w:r>
    </w:p>
    <w:p>
      <w:pPr>
        <w:pStyle w:val="Normal"/>
        <w:rPr>
          <w:lang w:val="en-AU" w:eastAsia="en-AU"/>
        </w:rPr>
      </w:pPr>
      <w:r>
        <w:rPr>
          <w:lang w:val="en-AU" w:eastAsia="en-AU"/>
        </w:rPr>
        <w:t>{{ai.f_domain_b8_controls_rationale}}</w:t>
      </w:r>
    </w:p>
    <w:p>
      <w:pPr>
        <w:pStyle w:val="Normal"/>
        <w:rPr>
          <w:lang w:val="en-AU" w:eastAsia="en-AU"/>
        </w:rPr>
      </w:pPr>
      <w:r>
        <w:rPr>
          <w:lang w:val="en-AU" w:eastAsia="en-AU"/>
        </w:rPr>
      </w:r>
    </w:p>
    <w:p>
      <w:pPr>
        <w:pStyle w:val="Heading02"/>
        <w:numPr>
          <w:ilvl w:val="1"/>
          <w:numId w:val="1"/>
        </w:numPr>
        <w:ind w:hanging="432" w:start="432"/>
        <w:rPr>
          <w:lang w:val="en-AU" w:eastAsia="en-AU"/>
        </w:rPr>
      </w:pPr>
      <w:bookmarkStart w:id="33" w:name="_Toc220351620"/>
      <w:r>
        <w:rPr>
          <w:lang w:val="en-AU" w:eastAsia="en-AU"/>
        </w:rPr>
        <w:t>C3 — Existing Controls and Gaps</w:t>
      </w:r>
      <w:bookmarkEnd w:id="33"/>
      <w:r>
        <w:rPr>
          <w:lang w:val="en-AU" w:eastAsia="en-AU"/>
        </w:rPr>
        <w:t xml:space="preserve"> </w:t>
      </w:r>
    </w:p>
    <w:p>
      <w:pPr>
        <w:pStyle w:val="Normal"/>
        <w:rPr>
          <w:lang w:eastAsia="en-AU"/>
        </w:rPr>
      </w:pPr>
      <w:r>
        <w:rPr>
          <w:lang w:eastAsia="en-AU"/>
        </w:rPr>
        <w:t>This section summarises the relationship between existing controls, identified gaps, and recommended next steps arising from the FAIRA assessment. It is intended to support informed decision-making by highlighting areas where current arrangements may already address identified risks and where additional action may be required. The information presented here does not represent an exhaustive implementation plan, but rather a structured view of priorities to support ongoing risk management.</w:t>
      </w:r>
    </w:p>
    <w:p>
      <w:pPr>
        <w:pStyle w:val="Normal"/>
        <w:rPr>
          <w:lang w:eastAsia="en-AU"/>
        </w:rPr>
      </w:pPr>
      <w:r>
        <w:rPr>
          <w:lang w:eastAsia="en-AU"/>
        </w:rPr>
        <w:t>For {{system_name}}, gaps have been identified by comparing existing controls against the risk drivers highlighted in the FAIRA ethics domains, with particular focus on areas of higher residual risk. Where existing controls are present but only partially address identified risks, next steps may involve strengthening, formalising, or extending those arrangements. Where controls are absent or limited, next steps may involve consideration of new governance, process, or technical measures appropriate to the system's operating context.</w:t>
      </w:r>
    </w:p>
    <w:p>
      <w:pPr>
        <w:pStyle w:val="Normal"/>
        <w:rPr>
          <w:lang w:eastAsia="en-AU"/>
        </w:rPr>
      </w:pPr>
      <w:r>
        <w:rPr>
          <w:lang w:eastAsia="en-AU"/>
        </w:rPr>
        <w:t>These next steps are intended to be considered alongside organisational priorities, risk appetite, and available resources.</w:t>
      </w:r>
    </w:p>
    <w:p>
      <w:pPr>
        <w:pStyle w:val="Normal"/>
        <w:rPr>
          <w:b/>
          <w:bCs/>
          <w:lang w:eastAsia="en-AU"/>
        </w:rPr>
      </w:pPr>
      <w:r>
        <w:rPr>
          <w:b/>
          <w:bCs/>
          <w:lang w:eastAsia="en-AU"/>
        </w:rPr>
        <w:t>Existing Controls and Identified Gaps (Summary)</w:t>
      </w:r>
    </w:p>
    <w:tbl>
      <w:tblPr>
        <w:tblW w:w="5000" w:type="pct"/>
        <w:jc w:val="start"/>
        <w:tblInd w:w="0" w:type="dxa"/>
        <w:tblLayout w:type="fixed"/>
        <w:tblCellMar>
          <w:top w:w="43" w:type="dxa"/>
          <w:start w:w="43" w:type="dxa"/>
          <w:bottom w:w="43" w:type="dxa"/>
          <w:end w:w="43" w:type="dxa"/>
        </w:tblCellMar>
        <w:tblLook w:firstRow="1" w:noVBand="1" w:lastRow="0" w:firstColumn="1" w:lastColumn="0" w:noHBand="0" w:val="04a0"/>
      </w:tblPr>
      <w:tblGrid>
        <w:gridCol w:w="1227"/>
        <w:gridCol w:w="1957"/>
        <w:gridCol w:w="2098"/>
        <w:gridCol w:w="1200"/>
        <w:gridCol w:w="1200"/>
        <w:gridCol w:w="1344"/>
      </w:tblGrid>
      <w:tr>
        <w:trPr>
          <w:tblHeader w:val="true"/>
        </w:trPr>
        <w:tc>
          <w:tcPr>
            <w:tcW w:w="1227" w:type="dxa"/>
            <w:tcBorders>
              <w:top w:val="single" w:sz="4" w:space="0" w:color="000000"/>
              <w:start w:val="single" w:sz="4" w:space="0" w:color="000000"/>
              <w:bottom w:val="single" w:sz="4" w:space="0" w:color="000000"/>
              <w:end w:val="single" w:sz="4" w:space="0" w:color="000000"/>
            </w:tcBorders>
            <w:shd w:color="auto" w:fill="D9D9D9" w:themeFill="background1" w:themeFillShade="d9" w:val="clear"/>
          </w:tcPr>
          <w:p>
            <w:pPr>
              <w:pStyle w:val="Normal"/>
              <w:spacing w:before="0" w:after="160"/>
              <w:rPr>
                <w:b/>
                <w:bCs/>
                <w:sz w:val="20"/>
                <w:szCs w:val="20"/>
                <w:lang w:val="en-AU" w:eastAsia="en-AU"/>
              </w:rPr>
            </w:pPr>
            <w:r>
              <w:rPr>
                <w:b/>
                <w:bCs/>
                <w:sz w:val="20"/>
                <w:szCs w:val="20"/>
                <w:lang w:val="en-AU" w:eastAsia="en-AU"/>
              </w:rPr>
              <w:t>Domain</w:t>
            </w:r>
          </w:p>
        </w:tc>
        <w:tc>
          <w:tcPr>
            <w:tcW w:w="1957" w:type="dxa"/>
            <w:tcBorders>
              <w:top w:val="single" w:sz="4" w:space="0" w:color="000000"/>
              <w:start w:val="single" w:sz="4" w:space="0" w:color="000000"/>
              <w:bottom w:val="single" w:sz="4" w:space="0" w:color="000000"/>
              <w:end w:val="single" w:sz="4" w:space="0" w:color="000000"/>
            </w:tcBorders>
            <w:shd w:color="auto" w:fill="D9D9D9" w:themeFill="background1" w:themeFillShade="d9" w:val="clear"/>
          </w:tcPr>
          <w:p>
            <w:pPr>
              <w:pStyle w:val="Normal"/>
              <w:spacing w:before="0" w:after="160"/>
              <w:rPr>
                <w:b/>
                <w:bCs/>
                <w:sz w:val="20"/>
                <w:szCs w:val="20"/>
                <w:lang w:val="en-AU" w:eastAsia="en-AU"/>
              </w:rPr>
            </w:pPr>
            <w:r>
              <w:rPr>
                <w:b/>
                <w:bCs/>
                <w:sz w:val="20"/>
                <w:szCs w:val="20"/>
                <w:lang w:val="en-AU" w:eastAsia="en-AU"/>
              </w:rPr>
              <w:t>Existing Controls</w:t>
            </w:r>
          </w:p>
        </w:tc>
        <w:tc>
          <w:tcPr>
            <w:tcW w:w="2098" w:type="dxa"/>
            <w:tcBorders>
              <w:top w:val="single" w:sz="4" w:space="0" w:color="000000"/>
              <w:start w:val="single" w:sz="4" w:space="0" w:color="000000"/>
              <w:bottom w:val="single" w:sz="4" w:space="0" w:color="000000"/>
              <w:end w:val="single" w:sz="4" w:space="0" w:color="000000"/>
            </w:tcBorders>
            <w:shd w:color="auto" w:fill="D9D9D9" w:themeFill="background1" w:themeFillShade="d9" w:val="clear"/>
          </w:tcPr>
          <w:p>
            <w:pPr>
              <w:pStyle w:val="Normal"/>
              <w:spacing w:before="0" w:after="160"/>
              <w:rPr>
                <w:b/>
                <w:bCs/>
                <w:sz w:val="20"/>
                <w:szCs w:val="20"/>
                <w:lang w:val="en-AU" w:eastAsia="en-AU"/>
              </w:rPr>
            </w:pPr>
            <w:r>
              <w:rPr>
                <w:b/>
                <w:bCs/>
                <w:sz w:val="20"/>
                <w:szCs w:val="20"/>
                <w:lang w:val="en-AU" w:eastAsia="en-AU"/>
              </w:rPr>
              <w:t>Identified Gaps</w:t>
            </w:r>
          </w:p>
        </w:tc>
        <w:tc>
          <w:tcPr>
            <w:tcW w:w="1200" w:type="dxa"/>
            <w:tcBorders>
              <w:top w:val="single" w:sz="4" w:space="0" w:color="000000"/>
              <w:start w:val="single" w:sz="4" w:space="0" w:color="000000"/>
              <w:bottom w:val="single" w:sz="4" w:space="0" w:color="000000"/>
              <w:end w:val="single" w:sz="4" w:space="0" w:color="000000"/>
            </w:tcBorders>
            <w:shd w:color="auto" w:fill="D9D9D9" w:themeFill="background1" w:themeFillShade="d9" w:val="clear"/>
          </w:tcPr>
          <w:p>
            <w:pPr>
              <w:pStyle w:val="Normal"/>
              <w:spacing w:before="0" w:after="160"/>
              <w:rPr>
                <w:b/>
                <w:bCs/>
                <w:sz w:val="20"/>
                <w:szCs w:val="20"/>
                <w:lang w:val="en-AU" w:eastAsia="en-AU"/>
              </w:rPr>
            </w:pPr>
            <w:r>
              <w:rPr>
                <w:b/>
                <w:bCs/>
                <w:sz w:val="20"/>
                <w:szCs w:val="20"/>
                <w:lang w:val="en-AU" w:eastAsia="en-AU"/>
              </w:rPr>
              <w:t>Priority</w:t>
            </w:r>
          </w:p>
        </w:tc>
        <w:tc>
          <w:tcPr>
            <w:tcW w:w="1200" w:type="dxa"/>
            <w:tcBorders>
              <w:top w:val="single" w:sz="4" w:space="0" w:color="000000"/>
              <w:start w:val="single" w:sz="4" w:space="0" w:color="000000"/>
              <w:bottom w:val="single" w:sz="4" w:space="0" w:color="000000"/>
              <w:end w:val="single" w:sz="4" w:space="0" w:color="000000"/>
            </w:tcBorders>
            <w:shd w:color="auto" w:fill="D9D9D9" w:themeFill="background1" w:themeFillShade="d9" w:val="clear"/>
            <w:tcMar>
              <w:top w:w="15" w:type="dxa"/>
              <w:start w:w="15" w:type="dxa"/>
              <w:bottom w:w="15" w:type="dxa"/>
              <w:end w:w="15" w:type="dxa"/>
            </w:tcMar>
          </w:tcPr>
          <w:p>
            <w:pPr>
              <w:pStyle w:val="Normal"/>
              <w:spacing w:before="0" w:after="160"/>
              <w:rPr>
                <w:b/>
                <w:bCs/>
                <w:sz w:val="20"/>
                <w:szCs w:val="20"/>
                <w:lang w:val="en-AU" w:eastAsia="en-AU"/>
              </w:rPr>
            </w:pPr>
            <w:r>
              <w:rPr>
                <w:b/>
                <w:bCs/>
                <w:sz w:val="20"/>
                <w:szCs w:val="20"/>
                <w:lang w:val="en-AU" w:eastAsia="en-AU"/>
              </w:rPr>
              <w:t>Risk Score</w:t>
            </w:r>
          </w:p>
        </w:tc>
        <w:tc>
          <w:tcPr>
            <w:tcW w:w="1344" w:type="dxa"/>
            <w:tcBorders>
              <w:top w:val="single" w:sz="4" w:space="0" w:color="000000"/>
              <w:start w:val="single" w:sz="4" w:space="0" w:color="000000"/>
              <w:bottom w:val="single" w:sz="4" w:space="0" w:color="000000"/>
              <w:end w:val="single" w:sz="4" w:space="0" w:color="000000"/>
            </w:tcBorders>
            <w:shd w:color="auto" w:fill="D9D9D9" w:themeFill="background1" w:themeFillShade="d9" w:val="clear"/>
            <w:tcMar>
              <w:top w:w="15" w:type="dxa"/>
              <w:start w:w="15" w:type="dxa"/>
              <w:bottom w:w="15" w:type="dxa"/>
              <w:end w:w="15" w:type="dxa"/>
            </w:tcMar>
          </w:tcPr>
          <w:p>
            <w:pPr>
              <w:pStyle w:val="Normal"/>
              <w:spacing w:before="0" w:after="160"/>
              <w:rPr>
                <w:b/>
                <w:bCs/>
                <w:sz w:val="20"/>
                <w:szCs w:val="20"/>
                <w:lang w:val="en-AU" w:eastAsia="en-AU"/>
              </w:rPr>
            </w:pPr>
            <w:r>
              <w:rPr>
                <w:b/>
                <w:bCs/>
                <w:sz w:val="20"/>
                <w:szCs w:val="20"/>
                <w:lang w:val="en-AU" w:eastAsia="en-AU"/>
              </w:rPr>
              <w:t>Control Effectiveness Score</w:t>
            </w:r>
          </w:p>
        </w:tc>
      </w:tr>
      <w:tr>
        <w:trPr/>
        <w:tc>
          <w:tcPr>
            <w:tcW w:w="1227"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sz w:val="20"/>
                <w:szCs w:val="20"/>
                <w:lang w:val="en-AU" w:eastAsia="en-AU"/>
              </w:rPr>
            </w:pPr>
            <w:r>
              <w:rPr>
                <w:sz w:val="20"/>
                <w:szCs w:val="20"/>
                <w:lang w:eastAsia="en-AU"/>
              </w:rPr>
              <w:t>{%tr for gap in gaps %}</w:t>
            </w:r>
          </w:p>
        </w:tc>
        <w:tc>
          <w:tcPr>
            <w:tcW w:w="1957"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sz w:val="20"/>
                <w:szCs w:val="20"/>
                <w:lang w:val="en-AU" w:eastAsia="en-AU"/>
              </w:rPr>
            </w:pPr>
            <w:r>
              <w:rPr>
                <w:sz w:val="20"/>
                <w:szCs w:val="20"/>
                <w:lang w:val="en-AU" w:eastAsia="en-AU"/>
              </w:rPr>
            </w:r>
          </w:p>
        </w:tc>
        <w:tc>
          <w:tcPr>
            <w:tcW w:w="2098"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sz w:val="20"/>
                <w:szCs w:val="20"/>
                <w:lang w:val="en-AU" w:eastAsia="en-AU"/>
              </w:rPr>
            </w:pPr>
            <w:r>
              <w:rPr>
                <w:sz w:val="20"/>
                <w:szCs w:val="20"/>
                <w:lang w:val="en-AU" w:eastAsia="en-AU"/>
              </w:rPr>
            </w:r>
          </w:p>
        </w:tc>
        <w:tc>
          <w:tcPr>
            <w:tcW w:w="1200"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sz w:val="20"/>
                <w:szCs w:val="20"/>
                <w:lang w:val="en-AU" w:eastAsia="en-AU"/>
              </w:rPr>
            </w:pPr>
            <w:r>
              <w:rPr>
                <w:sz w:val="20"/>
                <w:szCs w:val="20"/>
                <w:lang w:val="en-AU" w:eastAsia="en-AU"/>
              </w:rPr>
            </w:r>
          </w:p>
        </w:tc>
        <w:tc>
          <w:tcPr>
            <w:tcW w:w="1200" w:type="dxa"/>
            <w:tcBorders>
              <w:top w:val="single" w:sz="4" w:space="0" w:color="000000"/>
              <w:start w:val="single" w:sz="4" w:space="0" w:color="000000"/>
              <w:bottom w:val="single" w:sz="4" w:space="0" w:color="000000"/>
              <w:end w:val="single" w:sz="4" w:space="0" w:color="000000"/>
            </w:tcBorders>
            <w:tcMar>
              <w:top w:w="15" w:type="dxa"/>
              <w:start w:w="15" w:type="dxa"/>
              <w:bottom w:w="15" w:type="dxa"/>
              <w:end w:w="15" w:type="dxa"/>
            </w:tcMar>
          </w:tcPr>
          <w:p>
            <w:pPr>
              <w:pStyle w:val="Normal"/>
              <w:spacing w:before="0" w:after="160"/>
              <w:rPr>
                <w:sz w:val="20"/>
                <w:szCs w:val="20"/>
                <w:lang w:val="en-AU" w:eastAsia="en-AU"/>
              </w:rPr>
            </w:pPr>
            <w:r>
              <w:rPr>
                <w:sz w:val="20"/>
                <w:szCs w:val="20"/>
                <w:lang w:val="en-AU" w:eastAsia="en-AU"/>
              </w:rPr>
            </w:r>
          </w:p>
        </w:tc>
        <w:tc>
          <w:tcPr>
            <w:tcW w:w="1344" w:type="dxa"/>
            <w:tcBorders>
              <w:top w:val="single" w:sz="4" w:space="0" w:color="000000"/>
              <w:start w:val="single" w:sz="4" w:space="0" w:color="000000"/>
              <w:bottom w:val="single" w:sz="4" w:space="0" w:color="000000"/>
              <w:end w:val="single" w:sz="4" w:space="0" w:color="000000"/>
            </w:tcBorders>
            <w:tcMar>
              <w:top w:w="15" w:type="dxa"/>
              <w:start w:w="15" w:type="dxa"/>
              <w:bottom w:w="15" w:type="dxa"/>
              <w:end w:w="15" w:type="dxa"/>
            </w:tcMar>
          </w:tcPr>
          <w:p>
            <w:pPr>
              <w:pStyle w:val="Normal"/>
              <w:spacing w:before="0" w:after="160"/>
              <w:rPr>
                <w:sz w:val="20"/>
                <w:szCs w:val="20"/>
                <w:lang w:val="en-AU" w:eastAsia="en-AU"/>
              </w:rPr>
            </w:pPr>
            <w:r>
              <w:rPr>
                <w:sz w:val="20"/>
                <w:szCs w:val="20"/>
                <w:lang w:val="en-AU" w:eastAsia="en-AU"/>
              </w:rPr>
            </w:r>
          </w:p>
        </w:tc>
      </w:tr>
      <w:tr>
        <w:trPr/>
        <w:tc>
          <w:tcPr>
            <w:tcW w:w="1227"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sz w:val="20"/>
                <w:szCs w:val="20"/>
                <w:lang w:val="en-AU" w:eastAsia="en-AU"/>
              </w:rPr>
            </w:pPr>
            <w:r>
              <w:rPr>
                <w:sz w:val="20"/>
                <w:szCs w:val="20"/>
                <w:lang w:eastAsia="en-AU"/>
              </w:rPr>
              <w:t>{{gap.domain}}</w:t>
            </w:r>
          </w:p>
        </w:tc>
        <w:tc>
          <w:tcPr>
            <w:tcW w:w="1957"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sz w:val="20"/>
                <w:szCs w:val="20"/>
                <w:lang w:val="en-AU" w:eastAsia="en-AU"/>
              </w:rPr>
            </w:pPr>
            <w:r>
              <w:rPr>
                <w:sz w:val="20"/>
                <w:szCs w:val="20"/>
                <w:lang w:eastAsia="en-AU"/>
              </w:rPr>
              <w:t>{{gap.existing_controls}}</w:t>
            </w:r>
          </w:p>
        </w:tc>
        <w:tc>
          <w:tcPr>
            <w:tcW w:w="2098"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sz w:val="20"/>
                <w:szCs w:val="20"/>
                <w:lang w:val="en-AU" w:eastAsia="en-AU"/>
              </w:rPr>
            </w:pPr>
            <w:r>
              <w:rPr>
                <w:sz w:val="20"/>
                <w:szCs w:val="20"/>
                <w:lang w:eastAsia="en-AU"/>
              </w:rPr>
              <w:t>{{gap.gaps}}</w:t>
            </w:r>
          </w:p>
        </w:tc>
        <w:tc>
          <w:tcPr>
            <w:tcW w:w="1200"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sz w:val="20"/>
                <w:szCs w:val="20"/>
                <w:lang w:val="en-AU" w:eastAsia="en-AU"/>
              </w:rPr>
            </w:pPr>
            <w:r>
              <w:rPr>
                <w:sz w:val="20"/>
                <w:szCs w:val="20"/>
                <w:lang w:eastAsia="en-AU"/>
              </w:rPr>
              <w:t>{{gap.priority}}</w:t>
            </w:r>
          </w:p>
        </w:tc>
        <w:tc>
          <w:tcPr>
            <w:tcW w:w="1200" w:type="dxa"/>
            <w:tcBorders>
              <w:top w:val="single" w:sz="4" w:space="0" w:color="000000"/>
              <w:start w:val="single" w:sz="4" w:space="0" w:color="000000"/>
              <w:bottom w:val="single" w:sz="4" w:space="0" w:color="000000"/>
              <w:end w:val="single" w:sz="4" w:space="0" w:color="000000"/>
            </w:tcBorders>
            <w:tcMar>
              <w:top w:w="15" w:type="dxa"/>
              <w:start w:w="15" w:type="dxa"/>
              <w:bottom w:w="15" w:type="dxa"/>
              <w:end w:w="15" w:type="dxa"/>
            </w:tcMar>
          </w:tcPr>
          <w:p>
            <w:pPr>
              <w:pStyle w:val="Normal"/>
              <w:spacing w:before="0" w:after="160"/>
              <w:rPr>
                <w:sz w:val="20"/>
                <w:szCs w:val="20"/>
                <w:lang w:eastAsia="en-AU"/>
              </w:rPr>
            </w:pPr>
            <w:r>
              <w:rPr>
                <w:sz w:val="20"/>
                <w:szCs w:val="20"/>
                <w:lang w:eastAsia="en-AU"/>
              </w:rPr>
              <w:t>{{gap.risk_score}}</w:t>
            </w:r>
          </w:p>
        </w:tc>
        <w:tc>
          <w:tcPr>
            <w:tcW w:w="1344" w:type="dxa"/>
            <w:tcBorders>
              <w:top w:val="single" w:sz="4" w:space="0" w:color="000000"/>
              <w:start w:val="single" w:sz="4" w:space="0" w:color="000000"/>
              <w:bottom w:val="single" w:sz="4" w:space="0" w:color="000000"/>
              <w:end w:val="single" w:sz="4" w:space="0" w:color="000000"/>
            </w:tcBorders>
            <w:tcMar>
              <w:top w:w="15" w:type="dxa"/>
              <w:start w:w="15" w:type="dxa"/>
              <w:bottom w:w="15" w:type="dxa"/>
              <w:end w:w="15" w:type="dxa"/>
            </w:tcMar>
          </w:tcPr>
          <w:p>
            <w:pPr>
              <w:pStyle w:val="Normal"/>
              <w:spacing w:before="0" w:after="160"/>
              <w:rPr>
                <w:sz w:val="20"/>
                <w:szCs w:val="20"/>
                <w:lang w:eastAsia="en-AU"/>
              </w:rPr>
            </w:pPr>
            <w:r>
              <w:rPr>
                <w:sz w:val="20"/>
                <w:szCs w:val="20"/>
                <w:lang w:eastAsia="en-AU"/>
              </w:rPr>
              <w:t>{{gap.control_effectiveness}}</w:t>
            </w:r>
          </w:p>
        </w:tc>
      </w:tr>
      <w:tr>
        <w:trPr/>
        <w:tc>
          <w:tcPr>
            <w:tcW w:w="1227"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sz w:val="20"/>
                <w:szCs w:val="20"/>
                <w:lang w:val="en-AU" w:eastAsia="en-AU"/>
              </w:rPr>
            </w:pPr>
            <w:r>
              <w:rPr>
                <w:sz w:val="20"/>
                <w:szCs w:val="20"/>
                <w:lang w:eastAsia="en-AU"/>
              </w:rPr>
              <w:t>{%tr endfor %}</w:t>
            </w:r>
          </w:p>
        </w:tc>
        <w:tc>
          <w:tcPr>
            <w:tcW w:w="1957"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sz w:val="20"/>
                <w:szCs w:val="20"/>
                <w:lang w:val="en-AU" w:eastAsia="en-AU"/>
              </w:rPr>
            </w:pPr>
            <w:r>
              <w:rPr>
                <w:sz w:val="20"/>
                <w:szCs w:val="20"/>
                <w:lang w:val="en-AU" w:eastAsia="en-AU"/>
              </w:rPr>
            </w:r>
          </w:p>
        </w:tc>
        <w:tc>
          <w:tcPr>
            <w:tcW w:w="2098"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sz w:val="20"/>
                <w:szCs w:val="20"/>
                <w:lang w:val="en-AU" w:eastAsia="en-AU"/>
              </w:rPr>
            </w:pPr>
            <w:r>
              <w:rPr>
                <w:sz w:val="20"/>
                <w:szCs w:val="20"/>
                <w:lang w:val="en-AU" w:eastAsia="en-AU"/>
              </w:rPr>
            </w:r>
          </w:p>
        </w:tc>
        <w:tc>
          <w:tcPr>
            <w:tcW w:w="1200"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sz w:val="20"/>
                <w:szCs w:val="20"/>
                <w:lang w:val="en-AU" w:eastAsia="en-AU"/>
              </w:rPr>
            </w:pPr>
            <w:r>
              <w:rPr>
                <w:sz w:val="20"/>
                <w:szCs w:val="20"/>
                <w:lang w:val="en-AU" w:eastAsia="en-AU"/>
              </w:rPr>
            </w:r>
          </w:p>
        </w:tc>
        <w:tc>
          <w:tcPr>
            <w:tcW w:w="1200" w:type="dxa"/>
            <w:tcBorders>
              <w:top w:val="single" w:sz="4" w:space="0" w:color="000000"/>
              <w:start w:val="single" w:sz="4" w:space="0" w:color="000000"/>
              <w:bottom w:val="single" w:sz="4" w:space="0" w:color="000000"/>
              <w:end w:val="single" w:sz="4" w:space="0" w:color="000000"/>
            </w:tcBorders>
            <w:tcMar>
              <w:top w:w="15" w:type="dxa"/>
              <w:start w:w="15" w:type="dxa"/>
              <w:bottom w:w="15" w:type="dxa"/>
              <w:end w:w="15" w:type="dxa"/>
            </w:tcMar>
          </w:tcPr>
          <w:p>
            <w:pPr>
              <w:pStyle w:val="Normal"/>
              <w:spacing w:before="0" w:after="160"/>
              <w:rPr>
                <w:sz w:val="20"/>
                <w:szCs w:val="20"/>
                <w:lang w:val="en-AU" w:eastAsia="en-AU"/>
              </w:rPr>
            </w:pPr>
            <w:r>
              <w:rPr>
                <w:sz w:val="20"/>
                <w:szCs w:val="20"/>
                <w:lang w:val="en-AU" w:eastAsia="en-AU"/>
              </w:rPr>
            </w:r>
          </w:p>
        </w:tc>
        <w:tc>
          <w:tcPr>
            <w:tcW w:w="1344" w:type="dxa"/>
            <w:tcBorders>
              <w:top w:val="single" w:sz="4" w:space="0" w:color="000000"/>
              <w:start w:val="single" w:sz="4" w:space="0" w:color="000000"/>
              <w:bottom w:val="single" w:sz="4" w:space="0" w:color="000000"/>
              <w:end w:val="single" w:sz="4" w:space="0" w:color="000000"/>
            </w:tcBorders>
            <w:tcMar>
              <w:top w:w="15" w:type="dxa"/>
              <w:start w:w="15" w:type="dxa"/>
              <w:bottom w:w="15" w:type="dxa"/>
              <w:end w:w="15" w:type="dxa"/>
            </w:tcMar>
          </w:tcPr>
          <w:p>
            <w:pPr>
              <w:pStyle w:val="Normal"/>
              <w:keepNext w:val="true"/>
              <w:spacing w:before="0" w:after="160"/>
              <w:rPr>
                <w:sz w:val="20"/>
                <w:szCs w:val="20"/>
                <w:lang w:val="en-AU" w:eastAsia="en-AU"/>
              </w:rPr>
            </w:pPr>
            <w:r>
              <w:rPr>
                <w:sz w:val="20"/>
                <w:szCs w:val="20"/>
                <w:lang w:val="en-AU" w:eastAsia="en-AU"/>
              </w:rPr>
            </w:r>
          </w:p>
        </w:tc>
      </w:tr>
    </w:tbl>
    <w:p>
      <w:pPr>
        <w:pStyle w:val="Caption"/>
        <w:rPr>
          <w:lang w:val="en-AU" w:eastAsia="en-AU"/>
        </w:rPr>
      </w:pPr>
      <w:r>
        <w:rPr/>
        <w:t xml:space="preserve">Table </w:t>
      </w:r>
      <w:r>
        <w:rPr/>
        <w:fldChar w:fldCharType="begin"/>
      </w:r>
      <w:r>
        <w:rPr/>
        <w:instrText xml:space="preserve"> SEQ Table \* ARABIC </w:instrText>
      </w:r>
      <w:r>
        <w:rPr/>
        <w:fldChar w:fldCharType="separate"/>
      </w:r>
      <w:r>
        <w:rPr/>
        <w:t>15</w:t>
      </w:r>
      <w:r>
        <w:rPr/>
        <w:fldChar w:fldCharType="end"/>
      </w:r>
      <w:r>
        <w:rPr/>
        <w:t xml:space="preserve"> - Existing Controls and Identified Gaps</w:t>
      </w:r>
    </w:p>
    <w:p>
      <w:pPr>
        <w:pStyle w:val="Normal"/>
        <w:rPr>
          <w:lang w:val="en-AU" w:eastAsia="en-AU"/>
        </w:rPr>
      </w:pPr>
      <w:r>
        <w:rPr>
          <w:highlight w:val="yellow"/>
          <w:lang w:val="en-AU" w:eastAsia="en-AU"/>
        </w:rPr>
        <w:t>{{ai.f_gap_and_next_steps_summary}}</w:t>
      </w:r>
    </w:p>
    <w:p>
      <w:pPr>
        <w:pStyle w:val="Normal"/>
        <w:rPr>
          <w:lang w:val="en-AU" w:eastAsia="en-AU"/>
        </w:rPr>
      </w:pPr>
      <w:r>
        <w:rPr>
          <w:lang w:eastAsia="en-AU"/>
        </w:rPr>
        <w:t>Addressing identified gaps through proportionate and targeted controls can help reduce residual AI risk over time while supporting responsible and trusted use of AI systems.</w:t>
      </w:r>
    </w:p>
    <w:p>
      <w:pPr>
        <w:pStyle w:val="Heading01"/>
        <w:numPr>
          <w:ilvl w:val="0"/>
          <w:numId w:val="1"/>
        </w:numPr>
        <w:rPr>
          <w:lang w:val="en-AU" w:eastAsia="en-AU"/>
        </w:rPr>
      </w:pPr>
      <w:bookmarkStart w:id="34" w:name="_Toc220351621"/>
      <w:r>
        <w:rPr>
          <w:lang w:val="en-AU" w:eastAsia="en-AU"/>
        </w:rPr>
        <w:t>Governance and Assurance Posture</w:t>
      </w:r>
      <w:bookmarkEnd w:id="34"/>
    </w:p>
    <w:p>
      <w:pPr>
        <w:pStyle w:val="Normal"/>
        <w:rPr>
          <w:lang w:eastAsia="en-AU"/>
        </w:rPr>
      </w:pPr>
      <w:r>
        <w:rPr>
          <w:lang w:eastAsia="en-AU"/>
        </w:rPr>
        <w:t>This section provides an overall view of the governance and assurance posture associated with the assessed AI system, drawing together key observations from the FAIRA assessment. It focuses on the maturity and coherence of governance arrangements, oversight mechanisms, and assurance practices relevant to responsible AI use, rather than restating individual domain scores or control recommendations.</w:t>
      </w:r>
    </w:p>
    <w:p>
      <w:pPr>
        <w:pStyle w:val="Normal"/>
        <w:rPr>
          <w:lang w:eastAsia="en-AU"/>
        </w:rPr>
      </w:pPr>
      <w:r>
        <w:rPr>
          <w:lang w:eastAsia="en-AU"/>
        </w:rPr>
        <w:t>For {{system_name}}, the overall governance and assurance posture reflects the combined effect of domain-level risk results, existing controls, and identified gaps. Areas of stronger governance alignment are evident where accountability, oversight, and review mechanisms are more clearly defined, while areas requiring further assurance typically align with domains exhibiting higher residual risk or less mature control coverage. This posture provides an indication of how well current arrangements support responsible AI use over time.</w:t>
      </w:r>
    </w:p>
    <w:p>
      <w:pPr>
        <w:pStyle w:val="Normal"/>
        <w:rPr>
          <w:lang w:val="en-AU" w:eastAsia="en-AU"/>
        </w:rPr>
      </w:pPr>
      <w:r>
        <w:rPr>
          <w:highlight w:val="yellow"/>
          <w:lang w:val="en-AU" w:eastAsia="en-AU"/>
        </w:rPr>
        <w:t>{{ai.f_governance_assurance_posture}}</w:t>
      </w:r>
    </w:p>
    <w:p>
      <w:pPr>
        <w:pStyle w:val="Heading01"/>
        <w:numPr>
          <w:ilvl w:val="0"/>
          <w:numId w:val="1"/>
        </w:numPr>
        <w:rPr>
          <w:lang w:val="en-AU" w:eastAsia="en-AU"/>
        </w:rPr>
      </w:pPr>
      <w:bookmarkStart w:id="35" w:name="_Toc220351622"/>
      <w:r>
        <w:rPr>
          <w:lang w:val="en-AU" w:eastAsia="en-AU"/>
        </w:rPr>
        <w:t>Decision and Next Steps</w:t>
      </w:r>
      <w:bookmarkEnd w:id="35"/>
    </w:p>
    <w:p>
      <w:pPr>
        <w:pStyle w:val="Normal"/>
        <w:rPr>
          <w:lang w:eastAsia="en-AU"/>
        </w:rPr>
      </w:pPr>
      <w:r>
        <w:rPr>
          <w:lang w:eastAsia="en-AU"/>
        </w:rPr>
        <w:t>This section summarises key considerations arising from the FAIRA assessment to support informed decision-making regarding the continued use, governance, and oversight of the AI system. It does not prescribe specific actions, but rather outlines considerations and potential next steps based on the assessed risk profile and identified control priorities.</w:t>
      </w:r>
    </w:p>
    <w:p>
      <w:pPr>
        <w:pStyle w:val="Normal"/>
        <w:rPr>
          <w:lang w:eastAsia="en-AU"/>
        </w:rPr>
      </w:pPr>
      <w:r>
        <w:rPr>
          <w:lang w:eastAsia="en-AU"/>
        </w:rPr>
        <w:t xml:space="preserve">Decisions relating to </w:t>
      </w:r>
      <w:r>
        <w:rPr>
          <w:b/>
          <w:bCs/>
          <w:lang w:eastAsia="en-AU"/>
        </w:rPr>
        <w:t>{{system_name}}</w:t>
      </w:r>
      <w:r>
        <w:rPr>
          <w:lang w:eastAsia="en-AU"/>
        </w:rPr>
        <w:t xml:space="preserve"> should take into account the overall AI risk level (</w:t>
      </w:r>
      <w:r>
        <w:rPr>
          <w:b/>
          <w:bCs/>
          <w:lang w:eastAsia="en-AU"/>
        </w:rPr>
        <w:t>{{overall_risk_level}}</w:t>
      </w:r>
      <w:r>
        <w:rPr>
          <w:lang w:eastAsia="en-AU"/>
        </w:rPr>
        <w:t>), the domains identified as top risk areas, and the feasibility of implementing recommended controls within the organisation's operating context. Potential next steps may include confirming risk acceptance, prioritising selected control improvements, or incorporating the assessment outcomes into broader AI governance and assurance activities.</w:t>
      </w:r>
    </w:p>
    <w:p>
      <w:pPr>
        <w:pStyle w:val="Normal"/>
        <w:rPr>
          <w:lang w:eastAsia="en-AU"/>
        </w:rPr>
      </w:pPr>
      <w:r>
        <w:rPr>
          <w:lang w:eastAsia="en-AU"/>
        </w:rPr>
        <w:t>These considerations support a proportionate and defensible approach to AI risk management.</w:t>
      </w:r>
    </w:p>
    <w:p>
      <w:pPr>
        <w:pStyle w:val="Normal"/>
        <w:rPr>
          <w:lang w:val="en-AU" w:eastAsia="en-AU"/>
        </w:rPr>
      </w:pPr>
      <w:r>
        <w:rPr>
          <w:highlight w:val="yellow"/>
          <w:lang w:val="en-AU" w:eastAsia="en-AU"/>
        </w:rPr>
        <w:t>{{ai.f_decision_next_steps_summary}}</w:t>
      </w:r>
    </w:p>
    <w:p>
      <w:pPr>
        <w:pStyle w:val="Heading01"/>
        <w:numPr>
          <w:ilvl w:val="0"/>
          <w:numId w:val="1"/>
        </w:numPr>
        <w:rPr>
          <w:lang w:val="en-AU" w:eastAsia="en-AU"/>
        </w:rPr>
      </w:pPr>
      <w:bookmarkStart w:id="36" w:name="_Toc220351623"/>
      <w:r>
        <w:rPr>
          <w:lang w:val="en-AU" w:eastAsia="en-AU"/>
        </w:rPr>
        <w:t>Appendix A – Supporting Artefacts</w:t>
      </w:r>
      <w:bookmarkEnd w:id="36"/>
    </w:p>
    <w:p>
      <w:pPr>
        <w:pStyle w:val="Normal"/>
        <w:rPr>
          <w:lang w:val="en-AU" w:eastAsia="en-AU"/>
        </w:rPr>
      </w:pPr>
      <w:r>
        <w:rPr>
          <w:lang w:eastAsia="en-AU"/>
        </w:rPr>
        <w:t>This appendix lists supporting artefacts referenced or reviewed as part of the FAIRA assessment. These artefacts provide additional context and evidence relevant to the assessment but are not independently assessed or validated as part of this report. Inclusion of an artefact does not imply endorsement or assurance of its contents.</w:t>
      </w:r>
    </w:p>
    <w:p>
      <w:pPr>
        <w:pStyle w:val="Normal"/>
        <w:rPr>
          <w:b/>
          <w:bCs/>
          <w:lang w:eastAsia="en-AU"/>
        </w:rPr>
      </w:pPr>
      <w:r>
        <w:rPr>
          <w:b/>
          <w:bCs/>
          <w:lang w:eastAsia="en-AU"/>
        </w:rPr>
        <w:t>Artefact List</w:t>
      </w:r>
    </w:p>
    <w:tbl>
      <w:tblPr>
        <w:tblW w:w="5000" w:type="pct"/>
        <w:jc w:val="start"/>
        <w:tblInd w:w="0" w:type="dxa"/>
        <w:tblLayout w:type="fixed"/>
        <w:tblCellMar>
          <w:top w:w="43" w:type="dxa"/>
          <w:start w:w="43" w:type="dxa"/>
          <w:bottom w:w="43" w:type="dxa"/>
          <w:end w:w="43" w:type="dxa"/>
        </w:tblCellMar>
        <w:tblLook w:firstRow="1" w:noVBand="1" w:lastRow="0" w:firstColumn="1" w:lastColumn="0" w:noHBand="0" w:val="04a0"/>
      </w:tblPr>
      <w:tblGrid>
        <w:gridCol w:w="2423"/>
        <w:gridCol w:w="3169"/>
        <w:gridCol w:w="3434"/>
      </w:tblGrid>
      <w:tr>
        <w:trPr>
          <w:tblHeader w:val="true"/>
        </w:trPr>
        <w:tc>
          <w:tcPr>
            <w:tcW w:w="2423" w:type="dxa"/>
            <w:tcBorders>
              <w:top w:val="single" w:sz="4" w:space="0" w:color="000000"/>
              <w:start w:val="single" w:sz="4" w:space="0" w:color="000000"/>
              <w:bottom w:val="single" w:sz="4" w:space="0" w:color="000000"/>
              <w:end w:val="single" w:sz="4" w:space="0" w:color="000000"/>
            </w:tcBorders>
            <w:shd w:color="auto" w:fill="D9D9D9" w:themeFill="background1" w:themeFillShade="d9" w:val="clear"/>
            <w:vAlign w:val="center"/>
          </w:tcPr>
          <w:p>
            <w:pPr>
              <w:pStyle w:val="Normal"/>
              <w:spacing w:before="0" w:after="160"/>
              <w:rPr>
                <w:b/>
                <w:bCs/>
                <w:sz w:val="20"/>
                <w:szCs w:val="20"/>
                <w:lang w:val="en-AU" w:eastAsia="en-AU"/>
              </w:rPr>
            </w:pPr>
            <w:r>
              <w:rPr>
                <w:b/>
                <w:bCs/>
                <w:sz w:val="20"/>
                <w:szCs w:val="20"/>
                <w:lang w:val="en-AU" w:eastAsia="en-AU"/>
              </w:rPr>
              <w:t>Artefact</w:t>
            </w:r>
          </w:p>
        </w:tc>
        <w:tc>
          <w:tcPr>
            <w:tcW w:w="3169" w:type="dxa"/>
            <w:tcBorders>
              <w:top w:val="single" w:sz="4" w:space="0" w:color="000000"/>
              <w:start w:val="single" w:sz="4" w:space="0" w:color="000000"/>
              <w:bottom w:val="single" w:sz="4" w:space="0" w:color="000000"/>
              <w:end w:val="single" w:sz="4" w:space="0" w:color="000000"/>
            </w:tcBorders>
            <w:shd w:color="auto" w:fill="D9D9D9" w:themeFill="background1" w:themeFillShade="d9" w:val="clear"/>
            <w:vAlign w:val="center"/>
          </w:tcPr>
          <w:p>
            <w:pPr>
              <w:pStyle w:val="Normal"/>
              <w:spacing w:before="0" w:after="160"/>
              <w:rPr>
                <w:b/>
                <w:bCs/>
                <w:sz w:val="20"/>
                <w:szCs w:val="20"/>
                <w:lang w:val="en-AU" w:eastAsia="en-AU"/>
              </w:rPr>
            </w:pPr>
            <w:r>
              <w:rPr>
                <w:b/>
                <w:bCs/>
                <w:sz w:val="20"/>
                <w:szCs w:val="20"/>
                <w:lang w:val="en-AU" w:eastAsia="en-AU"/>
              </w:rPr>
              <w:t>Description</w:t>
            </w:r>
          </w:p>
        </w:tc>
        <w:tc>
          <w:tcPr>
            <w:tcW w:w="3434" w:type="dxa"/>
            <w:tcBorders>
              <w:top w:val="single" w:sz="4" w:space="0" w:color="000000"/>
              <w:start w:val="single" w:sz="4" w:space="0" w:color="000000"/>
              <w:bottom w:val="single" w:sz="4" w:space="0" w:color="000000"/>
              <w:end w:val="single" w:sz="4" w:space="0" w:color="000000"/>
            </w:tcBorders>
            <w:shd w:color="auto" w:fill="D9D9D9" w:themeFill="background1" w:themeFillShade="d9" w:val="clear"/>
            <w:vAlign w:val="center"/>
          </w:tcPr>
          <w:p>
            <w:pPr>
              <w:pStyle w:val="Normal"/>
              <w:spacing w:before="0" w:after="160"/>
              <w:rPr>
                <w:b/>
                <w:bCs/>
                <w:sz w:val="20"/>
                <w:szCs w:val="20"/>
                <w:lang w:val="en-AU" w:eastAsia="en-AU"/>
              </w:rPr>
            </w:pPr>
            <w:r>
              <w:rPr>
                <w:b/>
                <w:bCs/>
                <w:sz w:val="20"/>
                <w:szCs w:val="20"/>
                <w:lang w:val="en-AU" w:eastAsia="en-AU"/>
              </w:rPr>
              <w:t>Domain(s) Referenced</w:t>
            </w:r>
          </w:p>
        </w:tc>
      </w:tr>
      <w:tr>
        <w:trPr/>
        <w:tc>
          <w:tcPr>
            <w:tcW w:w="2423"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sz w:val="20"/>
                <w:szCs w:val="20"/>
                <w:lang w:val="en-AU" w:eastAsia="en-AU"/>
              </w:rPr>
            </w:pPr>
            <w:r>
              <w:rPr>
                <w:sz w:val="20"/>
                <w:szCs w:val="20"/>
                <w:lang w:val="en-AU" w:eastAsia="en-AU"/>
              </w:rPr>
              <w:t>{{artefact.name}}</w:t>
            </w:r>
          </w:p>
        </w:tc>
        <w:tc>
          <w:tcPr>
            <w:tcW w:w="3169"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sz w:val="20"/>
                <w:szCs w:val="20"/>
                <w:lang w:val="en-AU" w:eastAsia="en-AU"/>
              </w:rPr>
            </w:pPr>
            <w:r>
              <w:rPr>
                <w:sz w:val="20"/>
                <w:szCs w:val="20"/>
                <w:lang w:val="en-AU" w:eastAsia="en-AU"/>
              </w:rPr>
              <w:t>{{artefact.description}}</w:t>
            </w:r>
          </w:p>
        </w:tc>
        <w:tc>
          <w:tcPr>
            <w:tcW w:w="3434"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sz w:val="20"/>
                <w:szCs w:val="20"/>
                <w:lang w:val="en-AU" w:eastAsia="en-AU"/>
              </w:rPr>
            </w:pPr>
            <w:r>
              <w:rPr>
                <w:sz w:val="20"/>
                <w:szCs w:val="20"/>
                <w:lang w:val="en-AU" w:eastAsia="en-AU"/>
              </w:rPr>
              <w:t>{{artefact.domains}}</w:t>
            </w:r>
          </w:p>
        </w:tc>
      </w:tr>
    </w:tbl>
    <w:p>
      <w:pPr>
        <w:pStyle w:val="Normal"/>
        <w:rPr>
          <w:lang w:val="en-AU" w:eastAsia="en-AU"/>
        </w:rPr>
      </w:pPr>
      <w:r>
        <w:rPr>
          <w:lang w:val="en-AU" w:eastAsia="en-AU"/>
        </w:rPr>
      </w:r>
    </w:p>
    <w:p>
      <w:pPr>
        <w:pStyle w:val="Normal"/>
        <w:spacing w:lineRule="auto" w:line="240" w:before="0" w:after="0"/>
        <w:rPr>
          <w:rFonts w:cs="Arial"/>
        </w:rPr>
      </w:pPr>
      <w:r>
        <w:rPr>
          <w:rFonts w:cs="Arial"/>
          <w:highlight w:val="yellow"/>
        </w:rPr>
        <w:t>{{ai.f_supporting_artefacts_summary}}</w:t>
      </w:r>
      <w:r>
        <w:rPr>
          <w:rFonts w:cs="Arial"/>
        </w:rPr>
        <w:t xml:space="preserve"> </w:t>
      </w:r>
    </w:p>
    <w:p>
      <w:pPr>
        <w:pStyle w:val="Normal"/>
        <w:spacing w:lineRule="auto" w:line="240" w:before="0" w:after="0"/>
        <w:rPr>
          <w:rFonts w:cs="Arial"/>
        </w:rPr>
      </w:pPr>
      <w:r>
        <w:rPr>
          <w:rFonts w:cs="Arial"/>
        </w:rPr>
      </w:r>
    </w:p>
    <w:p>
      <w:pPr>
        <w:pStyle w:val="Normal"/>
        <w:spacing w:lineRule="auto" w:line="240" w:before="0" w:after="0"/>
        <w:rPr>
          <w:rFonts w:cs="Arial"/>
        </w:rPr>
      </w:pPr>
      <w:r>
        <w:rPr>
          <w:rFonts w:cs="Arial"/>
        </w:rPr>
      </w:r>
    </w:p>
    <w:p>
      <w:pPr>
        <w:pStyle w:val="Normal"/>
        <w:spacing w:lineRule="auto" w:line="240" w:before="0" w:after="0"/>
        <w:rPr>
          <w:rFonts w:cs="Arial"/>
          <w:color w:themeColor="background1" w:themeShade="80" w:val="808080"/>
          <w:sz w:val="18"/>
          <w:szCs w:val="18"/>
        </w:rPr>
      </w:pPr>
      <w:r>
        <w:rPr>
          <w:rFonts w:cs="Arial"/>
          <w:color w:themeColor="background1" w:themeShade="80" w:val="808080"/>
          <w:sz w:val="18"/>
          <w:szCs w:val="18"/>
        </w:rPr>
        <w:t>Document Control: FAIRA Risk Assessment Report | Template v1.0 | Generated via AM AI SAFE | {{generation_date}}</w:t>
      </w:r>
    </w:p>
    <w:sectPr>
      <w:headerReference w:type="even" r:id="rId3"/>
      <w:headerReference w:type="default" r:id="rId4"/>
      <w:headerReference w:type="first" r:id="rId5"/>
      <w:footerReference w:type="even" r:id="rId6"/>
      <w:footerReference w:type="default" r:id="rId7"/>
      <w:footerReference w:type="first" r:id="rId8"/>
      <w:type w:val="nextPage"/>
      <w:pgSz w:w="11906" w:h="16838"/>
      <w:pgMar w:left="1440" w:right="1440" w:gutter="0" w:header="576" w:top="1440" w:footer="288" w:bottom="1440"/>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Verdana">
    <w:charset w:val="00" w:characterSet="windows-1252"/>
    <w:family w:val="swiss"/>
    <w:pitch w:val="variable"/>
  </w:font>
  <w:font w:name="Aptos Display">
    <w:charset w:val="00" w:characterSet="windows-1252"/>
    <w:family w:val="swiss"/>
    <w:pitch w:val="variable"/>
  </w:font>
  <w:font w:name="Aptos">
    <w:charset w:val="00" w:characterSet="windows-1252"/>
    <w:family w:val="swiss"/>
    <w:pitch w:val="variable"/>
  </w:font>
  <w:font w:name="Consolas">
    <w:charset w:val="00" w:characterSet="windows-1252"/>
    <w:family w:val="swiss"/>
    <w:pitch w:val="variable"/>
  </w:font>
  <w:font w:name="Liberation Sans">
    <w:altName w:val="Arial"/>
    <w:charset w:val="00" w:characterSet="windows-1252"/>
    <w:family w:val="swiss"/>
    <w:pitch w:val="variable"/>
  </w:font>
  <w:font w:name="Arial">
    <w:charset w:val="01"/>
    <w:family w:val="swiss"/>
    <w:pitch w:val="variable"/>
  </w:font>
  <w:font w:name="Courier New">
    <w:charset w:val="01"/>
    <w:family w:val="modern"/>
    <w:pitch w:val="fixed"/>
  </w:font>
  <w:font w:name="Wingdings">
    <w:charset w:val="02"/>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sdtPr>
    <w:sdtContent>
      <w:p>
        <w:pPr>
          <w:pStyle w:val="Footer"/>
          <w:jc w:val="center"/>
          <w:rPr/>
        </w:pPr>
        <w:r>
          <w:rPr/>
          <mc:AlternateContent>
            <mc:Choice Requires="wps">
              <w:drawing>
                <wp:anchor behindDoc="1" distT="0" distB="0" distL="0" distR="0" simplePos="0" locked="0" layoutInCell="1" allowOverlap="1" relativeHeight="309" wp14:anchorId="6BF70F8E">
                  <wp:simplePos x="0" y="0"/>
                  <wp:positionH relativeFrom="column">
                    <wp:posOffset>-914400</wp:posOffset>
                  </wp:positionH>
                  <wp:positionV relativeFrom="paragraph">
                    <wp:posOffset>-214630</wp:posOffset>
                  </wp:positionV>
                  <wp:extent cx="7616825" cy="18415"/>
                  <wp:effectExtent l="0" t="0" r="0" b="0"/>
                  <wp:wrapNone/>
                  <wp:docPr id="22" name="Rectangle 4"/>
                  <a:graphic xmlns:a="http://schemas.openxmlformats.org/drawingml/2006/main">
                    <a:graphicData uri="http://schemas.microsoft.com/office/word/2010/wordprocessingShape">
                      <wps:wsp>
                        <wps:cNvSpPr/>
                        <wps:spPr>
                          <a:xfrm>
                            <a:off x="0" y="0"/>
                            <a:ext cx="7616880" cy="18360"/>
                          </a:xfrm>
                          <a:prstGeom prst="rect">
                            <a:avLst/>
                          </a:prstGeom>
                          <a:gradFill rotWithShape="0">
                            <a:gsLst>
                              <a:gs pos="0">
                                <a:srgbClr val="ea580c"/>
                              </a:gs>
                              <a:gs pos="100000">
                                <a:schemeClr val="bg1"/>
                              </a:gs>
                            </a:gsLst>
                            <a:lin ang="0"/>
                          </a:gradFill>
                          <a:ln w="0">
                            <a:noFill/>
                          </a:ln>
                        </wps:spPr>
                        <wps:style>
                          <a:lnRef idx="0"/>
                          <a:fillRef idx="0"/>
                          <a:effectRef idx="0"/>
                          <a:fontRef idx="minor"/>
                        </wps:style>
                        <wps:bodyPr/>
                      </wps:wsp>
                    </a:graphicData>
                  </a:graphic>
                </wp:anchor>
              </w:drawing>
            </mc:Choice>
            <mc:Fallback>
              <w:pict>
                <v:rect id="shape_0" fillcolor="#ea580c" stroked="f" o:allowincell="f" style="position:absolute;margin-left:-72pt;margin-top:-16.9pt;width:599.7pt;height:1.4pt;mso-wrap-style:none;v-text-anchor:middle" wp14:anchorId="6BF70F8E">
                  <v:fill o:detectmouseclick="t" color2="white"/>
                  <v:stroke color="#3465a4" joinstyle="round" endcap="flat"/>
                  <w10:wrap type="none"/>
                </v:rect>
              </w:pict>
            </mc:Fallback>
          </mc:AlternateContent>
          <mc:AlternateContent>
            <mc:Choice Requires="wps">
              <w:drawing>
                <wp:anchor behindDoc="1" distT="0" distB="0" distL="0" distR="0" simplePos="0" locked="0" layoutInCell="1" allowOverlap="1" relativeHeight="396" wp14:anchorId="79253A5B">
                  <wp:simplePos x="0" y="0"/>
                  <wp:positionH relativeFrom="column">
                    <wp:posOffset>-76200</wp:posOffset>
                  </wp:positionH>
                  <wp:positionV relativeFrom="paragraph">
                    <wp:posOffset>-5080</wp:posOffset>
                  </wp:positionV>
                  <wp:extent cx="2362200" cy="400050"/>
                  <wp:effectExtent l="0" t="0" r="0" b="0"/>
                  <wp:wrapNone/>
                  <wp:docPr id="23" name="Text Box 4"/>
                  <a:graphic xmlns:a="http://schemas.openxmlformats.org/drawingml/2006/main">
                    <a:graphicData uri="http://schemas.microsoft.com/office/word/2010/wordprocessingShape">
                      <wps:wsp>
                        <wps:cNvSpPr/>
                        <wps:spPr>
                          <a:xfrm>
                            <a:off x="0" y="0"/>
                            <a:ext cx="2362320" cy="399960"/>
                          </a:xfrm>
                          <a:prstGeom prst="rect">
                            <a:avLst/>
                          </a:prstGeom>
                          <a:noFill/>
                          <a:ln w="6350">
                            <a:noFill/>
                          </a:ln>
                        </wps:spPr>
                        <wps:style>
                          <a:lnRef idx="0"/>
                          <a:fillRef idx="0"/>
                          <a:effectRef idx="0"/>
                          <a:fontRef idx="minor"/>
                        </wps:style>
                        <wps:txbx>
                          <w:txbxContent>
                            <w:p>
                              <w:pPr>
                                <w:pStyle w:val="FrameContents"/>
                                <w:spacing w:before="0" w:after="160"/>
                                <w:rPr>
                                  <w:color w:themeColor="background1" w:themeShade="a6" w:val="A6A6A6"/>
                                  <w:sz w:val="18"/>
                                  <w:szCs w:val="18"/>
                                </w:rPr>
                              </w:pPr>
                              <w:r>
                                <w:rPr>
                                  <w:color w:themeColor="background1" w:themeShade="a6" w:val="A6A6A6"/>
                                  <w:sz w:val="18"/>
                                  <w:szCs w:val="18"/>
                                </w:rPr>
                                <w:t>Assessment Date: {{assessment.date}}</w:t>
                              </w:r>
                            </w:p>
                          </w:txbxContent>
                        </wps:txbx>
                        <wps:bodyPr anchor="t">
                          <a:prstTxWarp prst="textNoShape"/>
                          <a:noAutofit/>
                        </wps:bodyPr>
                      </wps:wsp>
                    </a:graphicData>
                  </a:graphic>
                </wp:anchor>
              </w:drawing>
            </mc:Choice>
            <mc:Fallback>
              <w:pict>
                <v:rect id="shape_0" stroked="f" o:allowincell="f" style="position:absolute;margin-left:-6pt;margin-top:-0.4pt;width:185.95pt;height:31.45pt;mso-wrap-style:square;v-text-anchor:top" wp14:anchorId="79253A5B">
                  <v:fill o:detectmouseclick="t" on="false"/>
                  <v:stroke color="#3465a4" weight="6480" joinstyle="round" endcap="flat"/>
                  <v:textbox>
                    <w:txbxContent>
                      <w:p>
                        <w:pPr>
                          <w:pStyle w:val="FrameContents"/>
                          <w:spacing w:before="0" w:after="160"/>
                          <w:rPr>
                            <w:color w:themeColor="background1" w:themeShade="a6" w:val="A6A6A6"/>
                            <w:sz w:val="18"/>
                            <w:szCs w:val="18"/>
                          </w:rPr>
                        </w:pPr>
                        <w:r>
                          <w:rPr>
                            <w:color w:themeColor="background1" w:themeShade="a6" w:val="A6A6A6"/>
                            <w:sz w:val="18"/>
                            <w:szCs w:val="18"/>
                          </w:rPr>
                          <w:t>Assessment Date: {{assessment.date}}</w:t>
                        </w:r>
                      </w:p>
                    </w:txbxContent>
                  </v:textbox>
                  <w10:wrap type="none"/>
                </v:rect>
              </w:pict>
            </mc:Fallback>
          </mc:AlternateContent>
          <mc:AlternateContent>
            <mc:Choice Requires="wps">
              <w:drawing>
                <wp:anchor behindDoc="1" distT="0" distB="0" distL="0" distR="0" simplePos="0" locked="0" layoutInCell="1" allowOverlap="1" relativeHeight="484" wp14:anchorId="5048B8BD">
                  <wp:simplePos x="0" y="0"/>
                  <wp:positionH relativeFrom="column">
                    <wp:posOffset>3429000</wp:posOffset>
                  </wp:positionH>
                  <wp:positionV relativeFrom="paragraph">
                    <wp:posOffset>-5080</wp:posOffset>
                  </wp:positionV>
                  <wp:extent cx="2362200" cy="228600"/>
                  <wp:effectExtent l="0" t="0" r="0" b="0"/>
                  <wp:wrapNone/>
                  <wp:docPr id="24" name="Text Box 4"/>
                  <a:graphic xmlns:a="http://schemas.openxmlformats.org/drawingml/2006/main">
                    <a:graphicData uri="http://schemas.microsoft.com/office/word/2010/wordprocessingShape">
                      <wps:wsp>
                        <wps:cNvSpPr/>
                        <wps:spPr>
                          <a:xfrm>
                            <a:off x="0" y="0"/>
                            <a:ext cx="2362320" cy="228600"/>
                          </a:xfrm>
                          <a:prstGeom prst="rect">
                            <a:avLst/>
                          </a:prstGeom>
                          <a:noFill/>
                          <a:ln w="6350">
                            <a:noFill/>
                          </a:ln>
                        </wps:spPr>
                        <wps:style>
                          <a:lnRef idx="0"/>
                          <a:fillRef idx="0"/>
                          <a:effectRef idx="0"/>
                          <a:fontRef idx="minor"/>
                        </wps:style>
                        <wps:txbx>
                          <w:txbxContent>
                            <w:p>
                              <w:pPr>
                                <w:pStyle w:val="FrameContents"/>
                                <w:spacing w:before="0" w:after="160"/>
                                <w:jc w:val="end"/>
                                <w:rPr>
                                  <w:color w:themeColor="background1" w:themeShade="a6" w:val="A6A6A6"/>
                                  <w:sz w:val="18"/>
                                  <w:szCs w:val="18"/>
                                </w:rPr>
                              </w:pPr>
                              <w:r>
                                <w:rPr>
                                  <w:color w:themeColor="background1" w:themeShade="a6" w:val="A6A6A6"/>
                                  <w:sz w:val="18"/>
                                  <w:szCs w:val="18"/>
                                </w:rPr>
                                <w:t>AM AI SAFE - FAIRA</w:t>
                              </w:r>
                            </w:p>
                          </w:txbxContent>
                        </wps:txbx>
                        <wps:bodyPr anchor="t">
                          <a:prstTxWarp prst="textNoShape"/>
                          <a:noAutofit/>
                        </wps:bodyPr>
                      </wps:wsp>
                    </a:graphicData>
                  </a:graphic>
                </wp:anchor>
              </w:drawing>
            </mc:Choice>
            <mc:Fallback>
              <w:pict>
                <v:rect id="shape_0" stroked="f" o:allowincell="f" style="position:absolute;margin-left:270pt;margin-top:-0.4pt;width:185.95pt;height:17.95pt;mso-wrap-style:square;v-text-anchor:top" wp14:anchorId="5048B8BD">
                  <v:fill o:detectmouseclick="t" on="false"/>
                  <v:stroke color="#3465a4" weight="6480" joinstyle="round" endcap="flat"/>
                  <v:textbox>
                    <w:txbxContent>
                      <w:p>
                        <w:pPr>
                          <w:pStyle w:val="FrameContents"/>
                          <w:spacing w:before="0" w:after="160"/>
                          <w:jc w:val="end"/>
                          <w:rPr>
                            <w:color w:themeColor="background1" w:themeShade="a6" w:val="A6A6A6"/>
                            <w:sz w:val="18"/>
                            <w:szCs w:val="18"/>
                          </w:rPr>
                        </w:pPr>
                        <w:r>
                          <w:rPr>
                            <w:color w:themeColor="background1" w:themeShade="a6" w:val="A6A6A6"/>
                            <w:sz w:val="18"/>
                            <w:szCs w:val="18"/>
                          </w:rPr>
                          <w:t>AM AI SAFE - FAIRA</w:t>
                        </w:r>
                      </w:p>
                    </w:txbxContent>
                  </v:textbox>
                  <w10:wrap type="none"/>
                </v:rect>
              </w:pict>
            </mc:Fallback>
          </mc:AlternateContent>
          <w:fldChar w:fldCharType="begin"/>
        </w:r>
        <w:r>
          <w:rPr/>
          <w:instrText xml:space="preserve"> PAGE </w:instrText>
        </w:r>
        <w:r>
          <w:rPr/>
          <w:fldChar w:fldCharType="separate"/>
        </w:r>
        <w:r>
          <w:rPr/>
          <w:t>45</w:t>
        </w:r>
        <w:r>
          <w:rPr/>
          <w:fldChar w:fldCharType="end"/>
        </w:r>
      </w:p>
      <w:p>
        <w:pPr>
          <w:pStyle w:val="Footer"/>
          <w:tabs>
            <w:tab w:val="clear" w:pos="4513"/>
            <w:tab w:val="clear" w:pos="9026"/>
            <w:tab w:val="left" w:pos="1785" w:leader="none"/>
          </w:tabs>
          <w:rPr/>
        </w:pPr>
        <w:r>
          <w:rPr/>
        </w:r>
      </w:p>
    </w:sdtContent>
  </w:sdt>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
  </w:p>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mc:AlternateContent>
        <mc:Choice Requires="wps">
          <w:drawing>
            <wp:anchor behindDoc="1" distT="0" distB="0" distL="0" distR="0" simplePos="0" locked="0" layoutInCell="1" allowOverlap="1" relativeHeight="88" wp14:anchorId="431E5385">
              <wp:simplePos x="0" y="0"/>
              <wp:positionH relativeFrom="column">
                <wp:posOffset>-76200</wp:posOffset>
              </wp:positionH>
              <wp:positionV relativeFrom="paragraph">
                <wp:posOffset>148590</wp:posOffset>
              </wp:positionV>
              <wp:extent cx="6019800" cy="400050"/>
              <wp:effectExtent l="0" t="0" r="0" b="0"/>
              <wp:wrapNone/>
              <wp:docPr id="18" name="Text Box 4"/>
              <a:graphic xmlns:a="http://schemas.openxmlformats.org/drawingml/2006/main">
                <a:graphicData uri="http://schemas.microsoft.com/office/word/2010/wordprocessingShape">
                  <wps:wsp>
                    <wps:cNvSpPr/>
                    <wps:spPr>
                      <a:xfrm>
                        <a:off x="0" y="0"/>
                        <a:ext cx="6019920" cy="399960"/>
                      </a:xfrm>
                      <a:prstGeom prst="rect">
                        <a:avLst/>
                      </a:prstGeom>
                      <a:noFill/>
                      <a:ln w="6350">
                        <a:noFill/>
                      </a:ln>
                    </wps:spPr>
                    <wps:style>
                      <a:lnRef idx="0"/>
                      <a:fillRef idx="0"/>
                      <a:effectRef idx="0"/>
                      <a:fontRef idx="minor"/>
                    </wps:style>
                    <wps:txbx>
                      <w:txbxContent>
                        <w:p>
                          <w:pPr>
                            <w:pStyle w:val="FrameContents"/>
                            <w:spacing w:before="0" w:after="160"/>
                            <w:rPr>
                              <w:color w:themeColor="background1" w:themeShade="a6" w:val="A6A6A6"/>
                              <w:sz w:val="18"/>
                              <w:szCs w:val="18"/>
                            </w:rPr>
                          </w:pPr>
                          <w:r>
                            <w:rPr>
                              <w:color w:themeColor="background1" w:themeShade="a6" w:val="A6A6A6"/>
                              <w:sz w:val="18"/>
                              <w:szCs w:val="18"/>
                            </w:rPr>
                            <w:t>{{system_name}} — FAIRA Risk Assessment</w:t>
                          </w:r>
                        </w:p>
                      </w:txbxContent>
                    </wps:txbx>
                    <wps:bodyPr anchor="t">
                      <a:prstTxWarp prst="textNoShape"/>
                      <a:noAutofit/>
                    </wps:bodyPr>
                  </wps:wsp>
                </a:graphicData>
              </a:graphic>
            </wp:anchor>
          </w:drawing>
        </mc:Choice>
        <mc:Fallback>
          <w:pict>
            <v:rect id="shape_0" stroked="f" o:allowincell="f" style="position:absolute;margin-left:-6pt;margin-top:11.7pt;width:473.95pt;height:31.45pt;mso-wrap-style:square;v-text-anchor:top" wp14:anchorId="431E5385">
              <v:fill o:detectmouseclick="t" on="false"/>
              <v:stroke color="#3465a4" weight="6480" joinstyle="round" endcap="flat"/>
              <v:textbox>
                <w:txbxContent>
                  <w:p>
                    <w:pPr>
                      <w:pStyle w:val="FrameContents"/>
                      <w:spacing w:before="0" w:after="160"/>
                      <w:rPr>
                        <w:color w:themeColor="background1" w:themeShade="a6" w:val="A6A6A6"/>
                        <w:sz w:val="18"/>
                        <w:szCs w:val="18"/>
                      </w:rPr>
                    </w:pPr>
                    <w:r>
                      <w:rPr>
                        <w:color w:themeColor="background1" w:themeShade="a6" w:val="A6A6A6"/>
                        <w:sz w:val="18"/>
                        <w:szCs w:val="18"/>
                      </w:rPr>
                      <w:t>{{system_name}} — FAIRA Risk Assessment</w:t>
                    </w:r>
                  </w:p>
                </w:txbxContent>
              </v:textbox>
              <w10:wrap type="none"/>
            </v:rect>
          </w:pict>
        </mc:Fallback>
      </mc:AlternateContent>
      <w:drawing>
        <wp:anchor behindDoc="1" distT="0" distB="0" distL="0" distR="0" simplePos="0" locked="0" layoutInCell="1" allowOverlap="1" relativeHeight="133">
          <wp:simplePos x="0" y="0"/>
          <wp:positionH relativeFrom="column">
            <wp:posOffset>-762000</wp:posOffset>
          </wp:positionH>
          <wp:positionV relativeFrom="paragraph">
            <wp:posOffset>-247650</wp:posOffset>
          </wp:positionV>
          <wp:extent cx="1752600" cy="401320"/>
          <wp:effectExtent l="0" t="0" r="0" b="0"/>
          <wp:wrapNone/>
          <wp:docPr id="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3"/>
                  <pic:cNvPicPr>
                    <a:picLocks noChangeAspect="1" noChangeArrowheads="1"/>
                  </pic:cNvPicPr>
                </pic:nvPicPr>
                <pic:blipFill>
                  <a:blip r:embed="rId1"/>
                  <a:stretch>
                    <a:fillRect/>
                  </a:stretch>
                </pic:blipFill>
                <pic:spPr bwMode="auto">
                  <a:xfrm>
                    <a:off x="0" y="0"/>
                    <a:ext cx="1752600" cy="401320"/>
                  </a:xfrm>
                  <a:prstGeom prst="rect">
                    <a:avLst/>
                  </a:prstGeom>
                  <a:noFill/>
                </pic:spPr>
              </pic:pic>
            </a:graphicData>
          </a:graphic>
        </wp:anchor>
      </w:drawing>
      <mc:AlternateContent>
        <mc:Choice Requires="wps">
          <w:drawing>
            <wp:anchor behindDoc="1" distT="0" distB="0" distL="0" distR="0" simplePos="0" locked="0" layoutInCell="1" allowOverlap="1" relativeHeight="177" wp14:anchorId="24CFDC52">
              <wp:simplePos x="0" y="0"/>
              <wp:positionH relativeFrom="column">
                <wp:posOffset>-914400</wp:posOffset>
              </wp:positionH>
              <wp:positionV relativeFrom="paragraph">
                <wp:posOffset>412750</wp:posOffset>
              </wp:positionV>
              <wp:extent cx="7616825" cy="18415"/>
              <wp:effectExtent l="0" t="0" r="0" b="0"/>
              <wp:wrapNone/>
              <wp:docPr id="20" name="Rectangle 4"/>
              <a:graphic xmlns:a="http://schemas.openxmlformats.org/drawingml/2006/main">
                <a:graphicData uri="http://schemas.microsoft.com/office/word/2010/wordprocessingShape">
                  <wps:wsp>
                    <wps:cNvSpPr/>
                    <wps:spPr>
                      <a:xfrm>
                        <a:off x="0" y="0"/>
                        <a:ext cx="7616880" cy="18360"/>
                      </a:xfrm>
                      <a:prstGeom prst="rect">
                        <a:avLst/>
                      </a:prstGeom>
                      <a:gradFill rotWithShape="0">
                        <a:gsLst>
                          <a:gs pos="0">
                            <a:srgbClr val="ea580c"/>
                          </a:gs>
                          <a:gs pos="100000">
                            <a:schemeClr val="bg1"/>
                          </a:gs>
                        </a:gsLst>
                        <a:lin ang="0"/>
                      </a:gradFill>
                      <a:ln w="0">
                        <a:noFill/>
                      </a:ln>
                    </wps:spPr>
                    <wps:style>
                      <a:lnRef idx="0"/>
                      <a:fillRef idx="0"/>
                      <a:effectRef idx="0"/>
                      <a:fontRef idx="minor"/>
                    </wps:style>
                    <wps:bodyPr/>
                  </wps:wsp>
                </a:graphicData>
              </a:graphic>
            </wp:anchor>
          </w:drawing>
        </mc:Choice>
        <mc:Fallback>
          <w:pict>
            <v:rect id="shape_0" fillcolor="#ea580c" stroked="f" o:allowincell="f" style="position:absolute;margin-left:-72pt;margin-top:32.5pt;width:599.7pt;height:1.4pt;mso-wrap-style:none;v-text-anchor:middle" wp14:anchorId="24CFDC52">
              <v:fill o:detectmouseclick="t" color2="white"/>
              <v:stroke color="#3465a4" joinstyle="round" endcap="flat"/>
              <w10:wrap type="none"/>
            </v:rect>
          </w:pict>
        </mc:Fallback>
      </mc:AlternateContent>
      <mc:AlternateContent>
        <mc:Choice Requires="wps">
          <w:drawing>
            <wp:anchor behindDoc="1" distT="0" distB="0" distL="0" distR="0" simplePos="0" locked="0" layoutInCell="1" allowOverlap="1" relativeHeight="264" wp14:anchorId="73783B0D">
              <wp:simplePos x="0" y="0"/>
              <wp:positionH relativeFrom="column">
                <wp:posOffset>1371600</wp:posOffset>
              </wp:positionH>
              <wp:positionV relativeFrom="paragraph">
                <wp:posOffset>-251460</wp:posOffset>
              </wp:positionV>
              <wp:extent cx="4953000" cy="400685"/>
              <wp:effectExtent l="0" t="0" r="0" b="0"/>
              <wp:wrapNone/>
              <wp:docPr id="21" name="Text Box 6"/>
              <a:graphic xmlns:a="http://schemas.openxmlformats.org/drawingml/2006/main">
                <a:graphicData uri="http://schemas.microsoft.com/office/word/2010/wordprocessingShape">
                  <wps:wsp>
                    <wps:cNvSpPr/>
                    <wps:spPr>
                      <a:xfrm>
                        <a:off x="0" y="0"/>
                        <a:ext cx="4952880" cy="400680"/>
                      </a:xfrm>
                      <a:prstGeom prst="rect">
                        <a:avLst/>
                      </a:prstGeom>
                      <a:solidFill>
                        <a:schemeClr val="lt1"/>
                      </a:solidFill>
                      <a:ln w="6350">
                        <a:noFill/>
                      </a:ln>
                    </wps:spPr>
                    <wps:style>
                      <a:lnRef idx="0"/>
                      <a:fillRef idx="0"/>
                      <a:effectRef idx="0"/>
                      <a:fontRef idx="minor"/>
                    </wps:style>
                    <wps:txbx>
                      <w:txbxContent>
                        <w:p>
                          <w:pPr>
                            <w:pStyle w:val="FrameContents"/>
                            <w:spacing w:before="0" w:after="160"/>
                            <w:rPr>
                              <w:b/>
                              <w:bCs/>
                              <w:color w:val="EA580C"/>
                              <w:sz w:val="36"/>
                              <w:szCs w:val="36"/>
                            </w:rPr>
                          </w:pPr>
                          <w:r>
                            <w:rPr>
                              <w:b/>
                              <w:bCs/>
                              <w:color w:val="EA580C"/>
                              <w:sz w:val="36"/>
                              <w:szCs w:val="36"/>
                            </w:rPr>
                            <w:t>FAIRA Risk Assessment</w:t>
                          </w:r>
                        </w:p>
                      </w:txbxContent>
                    </wps:txbx>
                    <wps:bodyPr anchor="t">
                      <a:prstTxWarp prst="textNoShape"/>
                      <a:noAutofit/>
                    </wps:bodyPr>
                  </wps:wsp>
                </a:graphicData>
              </a:graphic>
            </wp:anchor>
          </w:drawing>
        </mc:Choice>
        <mc:Fallback>
          <w:pict>
            <v:rect id="shape_0" fillcolor="white" stroked="f" o:allowincell="f" style="position:absolute;margin-left:108pt;margin-top:-19.8pt;width:389.95pt;height:31.5pt;mso-wrap-style:square;v-text-anchor:top" wp14:anchorId="73783B0D">
              <v:fill o:detectmouseclick="t" type="solid" color2="black"/>
              <v:stroke color="#3465a4" weight="6480" joinstyle="round" endcap="flat"/>
              <v:textbox>
                <w:txbxContent>
                  <w:p>
                    <w:pPr>
                      <w:pStyle w:val="FrameContents"/>
                      <w:spacing w:before="0" w:after="160"/>
                      <w:rPr>
                        <w:b/>
                        <w:bCs/>
                        <w:color w:val="EA580C"/>
                        <w:sz w:val="36"/>
                        <w:szCs w:val="36"/>
                      </w:rPr>
                    </w:pPr>
                    <w:r>
                      <w:rPr>
                        <w:b/>
                        <w:bCs/>
                        <w:color w:val="EA580C"/>
                        <w:sz w:val="36"/>
                        <w:szCs w:val="36"/>
                      </w:rPr>
                      <w:t>FAIRA Risk Assessment</w:t>
                    </w:r>
                  </w:p>
                </w:txbxContent>
              </v:textbox>
              <w10:wrap type="none"/>
            </v:rect>
          </w:pict>
        </mc:Fallback>
      </mc:AlternateContent>
    </w:r>
    <w:r>
      <w:rPr/>
      <w:tab/>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360" w:hanging="360"/>
      </w:pPr>
      <w:rPr/>
    </w:lvl>
    <w:lvl w:ilvl="1">
      <w:start w:val="1"/>
      <w:numFmt w:val="decimal"/>
      <w:lvlText w:val="%1.%2."/>
      <w:lvlJc w:val="start"/>
      <w:pPr>
        <w:tabs>
          <w:tab w:val="num" w:pos="0"/>
        </w:tabs>
        <w:ind w:start="792" w:hanging="432"/>
      </w:pPr>
      <w:rPr/>
    </w:lvl>
    <w:lvl w:ilvl="2">
      <w:start w:val="1"/>
      <w:numFmt w:val="decimal"/>
      <w:lvlText w:val="%1.%2.%3."/>
      <w:lvlJc w:val="start"/>
      <w:pPr>
        <w:tabs>
          <w:tab w:val="num" w:pos="0"/>
        </w:tabs>
        <w:ind w:start="1224" w:hanging="504"/>
      </w:pPr>
      <w:rPr>
        <w:i w:val="false"/>
        <w:iCs w:val="false"/>
      </w:rPr>
    </w:lvl>
    <w:lvl w:ilvl="3">
      <w:start w:val="1"/>
      <w:numFmt w:val="decimal"/>
      <w:lvlText w:val="%1.%2.%3.%4."/>
      <w:lvlJc w:val="start"/>
      <w:pPr>
        <w:tabs>
          <w:tab w:val="num" w:pos="0"/>
        </w:tabs>
        <w:ind w:start="1728" w:hanging="648"/>
      </w:pPr>
      <w:rPr/>
    </w:lvl>
    <w:lvl w:ilvl="4">
      <w:start w:val="1"/>
      <w:numFmt w:val="decimal"/>
      <w:lvlText w:val="%1.%2.%3.%4.%5."/>
      <w:lvlJc w:val="start"/>
      <w:pPr>
        <w:tabs>
          <w:tab w:val="num" w:pos="0"/>
        </w:tabs>
        <w:ind w:start="2232" w:hanging="792"/>
      </w:pPr>
      <w:rPr/>
    </w:lvl>
    <w:lvl w:ilvl="5">
      <w:start w:val="1"/>
      <w:numFmt w:val="decimal"/>
      <w:lvlText w:val="%1.%2.%3.%4.%5.%6."/>
      <w:lvlJc w:val="start"/>
      <w:pPr>
        <w:tabs>
          <w:tab w:val="num" w:pos="0"/>
        </w:tabs>
        <w:ind w:start="2736" w:hanging="936"/>
      </w:pPr>
      <w:rPr/>
    </w:lvl>
    <w:lvl w:ilvl="6">
      <w:start w:val="1"/>
      <w:numFmt w:val="decimal"/>
      <w:lvlText w:val="%1.%2.%3.%4.%5.%6.%7."/>
      <w:lvlJc w:val="start"/>
      <w:pPr>
        <w:tabs>
          <w:tab w:val="num" w:pos="0"/>
        </w:tabs>
        <w:ind w:start="3240" w:hanging="1080"/>
      </w:pPr>
      <w:rPr/>
    </w:lvl>
    <w:lvl w:ilvl="7">
      <w:start w:val="1"/>
      <w:numFmt w:val="decimal"/>
      <w:lvlText w:val="%1.%2.%3.%4.%5.%6.%7.%8."/>
      <w:lvlJc w:val="start"/>
      <w:pPr>
        <w:tabs>
          <w:tab w:val="num" w:pos="0"/>
        </w:tabs>
        <w:ind w:start="3744" w:hanging="1224"/>
      </w:pPr>
      <w:rPr/>
    </w:lvl>
    <w:lvl w:ilvl="8">
      <w:start w:val="1"/>
      <w:numFmt w:val="decimal"/>
      <w:lvlText w:val="%1.%2.%3.%4.%5.%6.%7.%8.%9."/>
      <w:lvlJc w:val="start"/>
      <w:pPr>
        <w:tabs>
          <w:tab w:val="num" w:pos="0"/>
        </w:tabs>
        <w:ind w:start="4320" w:hanging="1440"/>
      </w:pPr>
      <w:rPr/>
    </w:lvl>
  </w:abstractNum>
  <w:abstractNum w:abstractNumId="2">
    <w:lvl w:ilvl="0">
      <w:numFmt w:val="bullet"/>
      <w:lvlText w:val="•"/>
      <w:lvlJc w:val="start"/>
      <w:pPr>
        <w:tabs>
          <w:tab w:val="num" w:pos="0"/>
        </w:tabs>
        <w:ind w:start="720" w:hanging="360"/>
      </w:pPr>
      <w:rPr>
        <w:rFonts w:ascii="Arial" w:hAnsi="Arial" w:cs="Aria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3">
    <w:lvl w:ilvl="0">
      <w:numFmt w:val="bullet"/>
      <w:lvlText w:val="•"/>
      <w:lvlJc w:val="start"/>
      <w:pPr>
        <w:tabs>
          <w:tab w:val="num" w:pos="0"/>
        </w:tabs>
        <w:ind w:start="1080" w:hanging="360"/>
      </w:pPr>
      <w:rPr>
        <w:rFonts w:ascii="Arial" w:hAnsi="Arial" w:cs="Arial" w:hint="default"/>
      </w:rPr>
    </w:lvl>
    <w:lvl w:ilvl="1">
      <w:start w:val="1"/>
      <w:numFmt w:val="bullet"/>
      <w:lvlText w:val="o"/>
      <w:lvlJc w:val="start"/>
      <w:pPr>
        <w:tabs>
          <w:tab w:val="num" w:pos="0"/>
        </w:tabs>
        <w:ind w:start="1800" w:hanging="360"/>
      </w:pPr>
      <w:rPr>
        <w:rFonts w:ascii="Courier New" w:hAnsi="Courier New" w:cs="Courier New" w:hint="default"/>
      </w:rPr>
    </w:lvl>
    <w:lvl w:ilvl="2">
      <w:start w:val="1"/>
      <w:numFmt w:val="bullet"/>
      <w:lvlText w:val=""/>
      <w:lvlJc w:val="start"/>
      <w:pPr>
        <w:tabs>
          <w:tab w:val="num" w:pos="0"/>
        </w:tabs>
        <w:ind w:start="2520" w:hanging="360"/>
      </w:pPr>
      <w:rPr>
        <w:rFonts w:ascii="Wingdings" w:hAnsi="Wingdings" w:cs="Wingdings" w:hint="default"/>
      </w:rPr>
    </w:lvl>
    <w:lvl w:ilvl="3">
      <w:start w:val="1"/>
      <w:numFmt w:val="bullet"/>
      <w:lvlText w:val=""/>
      <w:lvlJc w:val="start"/>
      <w:pPr>
        <w:tabs>
          <w:tab w:val="num" w:pos="0"/>
        </w:tabs>
        <w:ind w:start="3240" w:hanging="360"/>
      </w:pPr>
      <w:rPr>
        <w:rFonts w:ascii="Symbol" w:hAnsi="Symbol" w:cs="Symbol" w:hint="default"/>
      </w:rPr>
    </w:lvl>
    <w:lvl w:ilvl="4">
      <w:start w:val="1"/>
      <w:numFmt w:val="bullet"/>
      <w:lvlText w:val="o"/>
      <w:lvlJc w:val="start"/>
      <w:pPr>
        <w:tabs>
          <w:tab w:val="num" w:pos="0"/>
        </w:tabs>
        <w:ind w:start="3960" w:hanging="360"/>
      </w:pPr>
      <w:rPr>
        <w:rFonts w:ascii="Courier New" w:hAnsi="Courier New" w:cs="Courier New" w:hint="default"/>
      </w:rPr>
    </w:lvl>
    <w:lvl w:ilvl="5">
      <w:start w:val="1"/>
      <w:numFmt w:val="bullet"/>
      <w:lvlText w:val=""/>
      <w:lvlJc w:val="start"/>
      <w:pPr>
        <w:tabs>
          <w:tab w:val="num" w:pos="0"/>
        </w:tabs>
        <w:ind w:start="4680" w:hanging="360"/>
      </w:pPr>
      <w:rPr>
        <w:rFonts w:ascii="Wingdings" w:hAnsi="Wingdings" w:cs="Wingdings" w:hint="default"/>
      </w:rPr>
    </w:lvl>
    <w:lvl w:ilvl="6">
      <w:start w:val="1"/>
      <w:numFmt w:val="bullet"/>
      <w:lvlText w:val=""/>
      <w:lvlJc w:val="start"/>
      <w:pPr>
        <w:tabs>
          <w:tab w:val="num" w:pos="0"/>
        </w:tabs>
        <w:ind w:start="5400" w:hanging="360"/>
      </w:pPr>
      <w:rPr>
        <w:rFonts w:ascii="Symbol" w:hAnsi="Symbol" w:cs="Symbol" w:hint="default"/>
      </w:rPr>
    </w:lvl>
    <w:lvl w:ilvl="7">
      <w:start w:val="1"/>
      <w:numFmt w:val="bullet"/>
      <w:lvlText w:val="o"/>
      <w:lvlJc w:val="start"/>
      <w:pPr>
        <w:tabs>
          <w:tab w:val="num" w:pos="0"/>
        </w:tabs>
        <w:ind w:start="6120" w:hanging="360"/>
      </w:pPr>
      <w:rPr>
        <w:rFonts w:ascii="Courier New" w:hAnsi="Courier New" w:cs="Courier New" w:hint="default"/>
      </w:rPr>
    </w:lvl>
    <w:lvl w:ilvl="8">
      <w:start w:val="1"/>
      <w:numFmt w:val="bullet"/>
      <w:lvlText w:val=""/>
      <w:lvlJc w:val="start"/>
      <w:pPr>
        <w:tabs>
          <w:tab w:val="num" w:pos="0"/>
        </w:tabs>
        <w:ind w:start="6840" w:hanging="360"/>
      </w:pPr>
      <w:rPr>
        <w:rFonts w:ascii="Wingdings" w:hAnsi="Wingdings" w:cs="Wingdings" w:hint="default"/>
      </w:rPr>
    </w:lvl>
  </w:abstractNum>
  <w:abstractNum w:abstractNumId="4">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5">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6">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7">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8">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9">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0">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1">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2">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3">
    <w:lvl w:ilvl="0">
      <w:start w:val="1"/>
      <w:numFmt w:val="bullet"/>
      <w:lvlText w:val=""/>
      <w:lvlJc w:val="start"/>
      <w:pPr>
        <w:tabs>
          <w:tab w:val="num" w:pos="0"/>
        </w:tabs>
        <w:ind w:start="360" w:hanging="360"/>
      </w:pPr>
      <w:rPr>
        <w:rFonts w:ascii="Symbol" w:hAnsi="Symbol" w:cs="Symbol" w:hint="default"/>
      </w:rPr>
    </w:lvl>
    <w:lvl w:ilvl="1">
      <w:start w:val="1"/>
      <w:numFmt w:val="bullet"/>
      <w:lvlText w:val="o"/>
      <w:lvlJc w:val="start"/>
      <w:pPr>
        <w:tabs>
          <w:tab w:val="num" w:pos="0"/>
        </w:tabs>
        <w:ind w:start="1080" w:hanging="360"/>
      </w:pPr>
      <w:rPr>
        <w:rFonts w:ascii="Courier New" w:hAnsi="Courier New" w:cs="Courier New" w:hint="default"/>
      </w:rPr>
    </w:lvl>
    <w:lvl w:ilvl="2">
      <w:start w:val="1"/>
      <w:numFmt w:val="bullet"/>
      <w:lvlText w:val=""/>
      <w:lvlJc w:val="start"/>
      <w:pPr>
        <w:tabs>
          <w:tab w:val="num" w:pos="0"/>
        </w:tabs>
        <w:ind w:start="1800" w:hanging="360"/>
      </w:pPr>
      <w:rPr>
        <w:rFonts w:ascii="Wingdings" w:hAnsi="Wingdings" w:cs="Wingdings" w:hint="default"/>
      </w:rPr>
    </w:lvl>
    <w:lvl w:ilvl="3">
      <w:start w:val="1"/>
      <w:numFmt w:val="bullet"/>
      <w:lvlText w:val=""/>
      <w:lvlJc w:val="start"/>
      <w:pPr>
        <w:tabs>
          <w:tab w:val="num" w:pos="0"/>
        </w:tabs>
        <w:ind w:start="2520" w:hanging="360"/>
      </w:pPr>
      <w:rPr>
        <w:rFonts w:ascii="Symbol" w:hAnsi="Symbol" w:cs="Symbol" w:hint="default"/>
      </w:rPr>
    </w:lvl>
    <w:lvl w:ilvl="4">
      <w:start w:val="1"/>
      <w:numFmt w:val="bullet"/>
      <w:lvlText w:val="o"/>
      <w:lvlJc w:val="start"/>
      <w:pPr>
        <w:tabs>
          <w:tab w:val="num" w:pos="0"/>
        </w:tabs>
        <w:ind w:start="3240" w:hanging="360"/>
      </w:pPr>
      <w:rPr>
        <w:rFonts w:ascii="Courier New" w:hAnsi="Courier New" w:cs="Courier New" w:hint="default"/>
      </w:rPr>
    </w:lvl>
    <w:lvl w:ilvl="5">
      <w:start w:val="1"/>
      <w:numFmt w:val="bullet"/>
      <w:lvlText w:val=""/>
      <w:lvlJc w:val="start"/>
      <w:pPr>
        <w:tabs>
          <w:tab w:val="num" w:pos="0"/>
        </w:tabs>
        <w:ind w:start="3960" w:hanging="360"/>
      </w:pPr>
      <w:rPr>
        <w:rFonts w:ascii="Wingdings" w:hAnsi="Wingdings" w:cs="Wingdings" w:hint="default"/>
      </w:rPr>
    </w:lvl>
    <w:lvl w:ilvl="6">
      <w:start w:val="1"/>
      <w:numFmt w:val="bullet"/>
      <w:lvlText w:val=""/>
      <w:lvlJc w:val="start"/>
      <w:pPr>
        <w:tabs>
          <w:tab w:val="num" w:pos="0"/>
        </w:tabs>
        <w:ind w:start="4680" w:hanging="360"/>
      </w:pPr>
      <w:rPr>
        <w:rFonts w:ascii="Symbol" w:hAnsi="Symbol" w:cs="Symbol" w:hint="default"/>
      </w:rPr>
    </w:lvl>
    <w:lvl w:ilvl="7">
      <w:start w:val="1"/>
      <w:numFmt w:val="bullet"/>
      <w:lvlText w:val="o"/>
      <w:lvlJc w:val="start"/>
      <w:pPr>
        <w:tabs>
          <w:tab w:val="num" w:pos="0"/>
        </w:tabs>
        <w:ind w:start="5400" w:hanging="360"/>
      </w:pPr>
      <w:rPr>
        <w:rFonts w:ascii="Courier New" w:hAnsi="Courier New" w:cs="Courier New" w:hint="default"/>
      </w:rPr>
    </w:lvl>
    <w:lvl w:ilvl="8">
      <w:start w:val="1"/>
      <w:numFmt w:val="bullet"/>
      <w:lvlText w:val=""/>
      <w:lvlJc w:val="start"/>
      <w:pPr>
        <w:tabs>
          <w:tab w:val="num" w:pos="0"/>
        </w:tabs>
        <w:ind w:start="6120" w:hanging="360"/>
      </w:pPr>
      <w:rPr>
        <w:rFonts w:ascii="Wingdings" w:hAnsi="Wingdings" w:cs="Wingdings" w:hint="default"/>
      </w:rPr>
    </w:lvl>
  </w:abstractNum>
  <w:abstractNum w:abstractNumId="14">
    <w:lvl w:ilvl="0">
      <w:start w:val="1"/>
      <w:numFmt w:val="bullet"/>
      <w:lvlText w:val=""/>
      <w:lvlJc w:val="start"/>
      <w:pPr>
        <w:tabs>
          <w:tab w:val="num" w:pos="0"/>
        </w:tabs>
        <w:ind w:start="360" w:hanging="360"/>
      </w:pPr>
      <w:rPr>
        <w:rFonts w:ascii="Symbol" w:hAnsi="Symbol" w:cs="Symbol" w:hint="default"/>
      </w:rPr>
    </w:lvl>
    <w:lvl w:ilvl="1">
      <w:start w:val="1"/>
      <w:numFmt w:val="bullet"/>
      <w:lvlText w:val="o"/>
      <w:lvlJc w:val="start"/>
      <w:pPr>
        <w:tabs>
          <w:tab w:val="num" w:pos="0"/>
        </w:tabs>
        <w:ind w:start="1080" w:hanging="360"/>
      </w:pPr>
      <w:rPr>
        <w:rFonts w:ascii="Courier New" w:hAnsi="Courier New" w:cs="Courier New" w:hint="default"/>
      </w:rPr>
    </w:lvl>
    <w:lvl w:ilvl="2">
      <w:start w:val="1"/>
      <w:numFmt w:val="bullet"/>
      <w:lvlText w:val=""/>
      <w:lvlJc w:val="start"/>
      <w:pPr>
        <w:tabs>
          <w:tab w:val="num" w:pos="0"/>
        </w:tabs>
        <w:ind w:start="1800" w:hanging="360"/>
      </w:pPr>
      <w:rPr>
        <w:rFonts w:ascii="Wingdings" w:hAnsi="Wingdings" w:cs="Wingdings" w:hint="default"/>
      </w:rPr>
    </w:lvl>
    <w:lvl w:ilvl="3">
      <w:start w:val="1"/>
      <w:numFmt w:val="bullet"/>
      <w:lvlText w:val=""/>
      <w:lvlJc w:val="start"/>
      <w:pPr>
        <w:tabs>
          <w:tab w:val="num" w:pos="0"/>
        </w:tabs>
        <w:ind w:start="2520" w:hanging="360"/>
      </w:pPr>
      <w:rPr>
        <w:rFonts w:ascii="Symbol" w:hAnsi="Symbol" w:cs="Symbol" w:hint="default"/>
      </w:rPr>
    </w:lvl>
    <w:lvl w:ilvl="4">
      <w:start w:val="1"/>
      <w:numFmt w:val="bullet"/>
      <w:lvlText w:val="o"/>
      <w:lvlJc w:val="start"/>
      <w:pPr>
        <w:tabs>
          <w:tab w:val="num" w:pos="0"/>
        </w:tabs>
        <w:ind w:start="3240" w:hanging="360"/>
      </w:pPr>
      <w:rPr>
        <w:rFonts w:ascii="Courier New" w:hAnsi="Courier New" w:cs="Courier New" w:hint="default"/>
      </w:rPr>
    </w:lvl>
    <w:lvl w:ilvl="5">
      <w:start w:val="1"/>
      <w:numFmt w:val="bullet"/>
      <w:lvlText w:val=""/>
      <w:lvlJc w:val="start"/>
      <w:pPr>
        <w:tabs>
          <w:tab w:val="num" w:pos="0"/>
        </w:tabs>
        <w:ind w:start="3960" w:hanging="360"/>
      </w:pPr>
      <w:rPr>
        <w:rFonts w:ascii="Wingdings" w:hAnsi="Wingdings" w:cs="Wingdings" w:hint="default"/>
      </w:rPr>
    </w:lvl>
    <w:lvl w:ilvl="6">
      <w:start w:val="1"/>
      <w:numFmt w:val="bullet"/>
      <w:lvlText w:val=""/>
      <w:lvlJc w:val="start"/>
      <w:pPr>
        <w:tabs>
          <w:tab w:val="num" w:pos="0"/>
        </w:tabs>
        <w:ind w:start="4680" w:hanging="360"/>
      </w:pPr>
      <w:rPr>
        <w:rFonts w:ascii="Symbol" w:hAnsi="Symbol" w:cs="Symbol" w:hint="default"/>
      </w:rPr>
    </w:lvl>
    <w:lvl w:ilvl="7">
      <w:start w:val="1"/>
      <w:numFmt w:val="bullet"/>
      <w:lvlText w:val="o"/>
      <w:lvlJc w:val="start"/>
      <w:pPr>
        <w:tabs>
          <w:tab w:val="num" w:pos="0"/>
        </w:tabs>
        <w:ind w:start="5400" w:hanging="360"/>
      </w:pPr>
      <w:rPr>
        <w:rFonts w:ascii="Courier New" w:hAnsi="Courier New" w:cs="Courier New" w:hint="default"/>
      </w:rPr>
    </w:lvl>
    <w:lvl w:ilvl="8">
      <w:start w:val="1"/>
      <w:numFmt w:val="bullet"/>
      <w:lvlText w:val=""/>
      <w:lvlJc w:val="start"/>
      <w:pPr>
        <w:tabs>
          <w:tab w:val="num" w:pos="0"/>
        </w:tabs>
        <w:ind w:start="6120" w:hanging="360"/>
      </w:pPr>
      <w:rPr>
        <w:rFonts w:ascii="Wingdings" w:hAnsi="Wingdings" w:cs="Wingdings" w:hint="default"/>
      </w:rPr>
    </w:lvl>
  </w:abstractNum>
  <w:abstractNum w:abstractNumId="15">
    <w:lvl w:ilvl="0">
      <w:start w:val="1"/>
      <w:numFmt w:val="bullet"/>
      <w:lvlText w:val=""/>
      <w:lvlJc w:val="start"/>
      <w:pPr>
        <w:tabs>
          <w:tab w:val="num" w:pos="0"/>
        </w:tabs>
        <w:ind w:start="360" w:hanging="360"/>
      </w:pPr>
      <w:rPr>
        <w:rFonts w:ascii="Symbol" w:hAnsi="Symbol" w:cs="Symbol" w:hint="default"/>
      </w:rPr>
    </w:lvl>
    <w:lvl w:ilvl="1">
      <w:start w:val="1"/>
      <w:numFmt w:val="bullet"/>
      <w:lvlText w:val="o"/>
      <w:lvlJc w:val="start"/>
      <w:pPr>
        <w:tabs>
          <w:tab w:val="num" w:pos="0"/>
        </w:tabs>
        <w:ind w:start="1080" w:hanging="360"/>
      </w:pPr>
      <w:rPr>
        <w:rFonts w:ascii="Courier New" w:hAnsi="Courier New" w:cs="Courier New" w:hint="default"/>
      </w:rPr>
    </w:lvl>
    <w:lvl w:ilvl="2">
      <w:start w:val="1"/>
      <w:numFmt w:val="bullet"/>
      <w:lvlText w:val=""/>
      <w:lvlJc w:val="start"/>
      <w:pPr>
        <w:tabs>
          <w:tab w:val="num" w:pos="0"/>
        </w:tabs>
        <w:ind w:start="1800" w:hanging="360"/>
      </w:pPr>
      <w:rPr>
        <w:rFonts w:ascii="Wingdings" w:hAnsi="Wingdings" w:cs="Wingdings" w:hint="default"/>
      </w:rPr>
    </w:lvl>
    <w:lvl w:ilvl="3">
      <w:start w:val="1"/>
      <w:numFmt w:val="bullet"/>
      <w:lvlText w:val=""/>
      <w:lvlJc w:val="start"/>
      <w:pPr>
        <w:tabs>
          <w:tab w:val="num" w:pos="0"/>
        </w:tabs>
        <w:ind w:start="2520" w:hanging="360"/>
      </w:pPr>
      <w:rPr>
        <w:rFonts w:ascii="Symbol" w:hAnsi="Symbol" w:cs="Symbol" w:hint="default"/>
      </w:rPr>
    </w:lvl>
    <w:lvl w:ilvl="4">
      <w:start w:val="1"/>
      <w:numFmt w:val="bullet"/>
      <w:lvlText w:val="o"/>
      <w:lvlJc w:val="start"/>
      <w:pPr>
        <w:tabs>
          <w:tab w:val="num" w:pos="0"/>
        </w:tabs>
        <w:ind w:start="3240" w:hanging="360"/>
      </w:pPr>
      <w:rPr>
        <w:rFonts w:ascii="Courier New" w:hAnsi="Courier New" w:cs="Courier New" w:hint="default"/>
      </w:rPr>
    </w:lvl>
    <w:lvl w:ilvl="5">
      <w:start w:val="1"/>
      <w:numFmt w:val="bullet"/>
      <w:lvlText w:val=""/>
      <w:lvlJc w:val="start"/>
      <w:pPr>
        <w:tabs>
          <w:tab w:val="num" w:pos="0"/>
        </w:tabs>
        <w:ind w:start="3960" w:hanging="360"/>
      </w:pPr>
      <w:rPr>
        <w:rFonts w:ascii="Wingdings" w:hAnsi="Wingdings" w:cs="Wingdings" w:hint="default"/>
      </w:rPr>
    </w:lvl>
    <w:lvl w:ilvl="6">
      <w:start w:val="1"/>
      <w:numFmt w:val="bullet"/>
      <w:lvlText w:val=""/>
      <w:lvlJc w:val="start"/>
      <w:pPr>
        <w:tabs>
          <w:tab w:val="num" w:pos="0"/>
        </w:tabs>
        <w:ind w:start="4680" w:hanging="360"/>
      </w:pPr>
      <w:rPr>
        <w:rFonts w:ascii="Symbol" w:hAnsi="Symbol" w:cs="Symbol" w:hint="default"/>
      </w:rPr>
    </w:lvl>
    <w:lvl w:ilvl="7">
      <w:start w:val="1"/>
      <w:numFmt w:val="bullet"/>
      <w:lvlText w:val="o"/>
      <w:lvlJc w:val="start"/>
      <w:pPr>
        <w:tabs>
          <w:tab w:val="num" w:pos="0"/>
        </w:tabs>
        <w:ind w:start="5400" w:hanging="360"/>
      </w:pPr>
      <w:rPr>
        <w:rFonts w:ascii="Courier New" w:hAnsi="Courier New" w:cs="Courier New" w:hint="default"/>
      </w:rPr>
    </w:lvl>
    <w:lvl w:ilvl="8">
      <w:start w:val="1"/>
      <w:numFmt w:val="bullet"/>
      <w:lvlText w:val=""/>
      <w:lvlJc w:val="start"/>
      <w:pPr>
        <w:tabs>
          <w:tab w:val="num" w:pos="0"/>
        </w:tabs>
        <w:ind w:start="6120" w:hanging="360"/>
      </w:pPr>
      <w:rPr>
        <w:rFonts w:ascii="Wingdings" w:hAnsi="Wingdings" w:cs="Wingdings" w:hint="default"/>
      </w:rPr>
    </w:lvl>
  </w:abstractNum>
  <w:abstractNum w:abstractNumId="16">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7">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8">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9">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0">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w="http://schemas.openxmlformats.org/wordprocessingml/2006/main">
  <w:zoom w:percent="20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ptos" w:cs="" w:cstheme="minorBidi" w:eastAsiaTheme="minorHAnsi"/>
        <w:kern w:val="2"/>
        <w:sz w:val="24"/>
        <w:szCs w:val="24"/>
        <w:lang w:val="en-US"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0"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7f378f"/>
    <w:pPr>
      <w:widowControl/>
      <w:bidi w:val="0"/>
      <w:spacing w:lineRule="auto" w:line="259" w:before="0" w:after="160"/>
      <w:jc w:val="start"/>
    </w:pPr>
    <w:rPr>
      <w:rFonts w:ascii="Arial" w:hAnsi="Arial" w:eastAsia="Aptos" w:cs="" w:cstheme="minorBidi" w:eastAsiaTheme="minorHAnsi"/>
      <w:color w:val="auto"/>
      <w:kern w:val="2"/>
      <w:sz w:val="24"/>
      <w:szCs w:val="24"/>
      <w:lang w:val="en-US" w:eastAsia="en-US" w:bidi="ar-SA"/>
      <w14:ligatures w14:val="standardContextual"/>
    </w:rPr>
  </w:style>
  <w:style w:type="paragraph" w:styleId="Heading1">
    <w:name w:val="heading 1"/>
    <w:basedOn w:val="Normal"/>
    <w:next w:val="Normal"/>
    <w:link w:val="Heading1Char"/>
    <w:autoRedefine/>
    <w:qFormat/>
    <w:rsid w:val="000f4866"/>
    <w:pPr>
      <w:keepNext w:val="true"/>
      <w:spacing w:lineRule="auto" w:line="240" w:before="240" w:after="60"/>
      <w:outlineLvl w:val="0"/>
    </w:pPr>
    <w:rPr>
      <w:rFonts w:ascii="Verdana" w:hAnsi="Verdana" w:eastAsia="Times New Roman" w:cs="Times New Roman"/>
      <w:b/>
      <w:bCs/>
      <w:kern w:val="2"/>
      <w:sz w:val="48"/>
      <w:szCs w:val="48"/>
    </w:rPr>
  </w:style>
  <w:style w:type="paragraph" w:styleId="Heading2">
    <w:name w:val="heading 2"/>
    <w:basedOn w:val="Normal"/>
    <w:next w:val="Normal"/>
    <w:link w:val="Heading2Char"/>
    <w:uiPriority w:val="9"/>
    <w:unhideWhenUsed/>
    <w:qFormat/>
    <w:rsid w:val="00e35fa3"/>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Heading3Char"/>
    <w:uiPriority w:val="9"/>
    <w:semiHidden/>
    <w:unhideWhenUsed/>
    <w:qFormat/>
    <w:rsid w:val="00e35fa3"/>
    <w:pPr>
      <w:keepNext w:val="true"/>
      <w:keepLines/>
      <w:spacing w:before="160" w:after="80"/>
      <w:outlineLvl w:val="2"/>
    </w:pPr>
    <w:rPr>
      <w:rFonts w:ascii="Aptos" w:hAnsi="Aptos" w:eastAsia="" w:cs="" w:asciiTheme="minorHAnsi" w:cstheme="majorBidi" w:eastAsiaTheme="majorEastAsia" w:hAnsiTheme="minorHAnsi"/>
      <w:color w:themeColor="accent1" w:themeShade="bf" w:val="0F4761"/>
      <w:sz w:val="28"/>
      <w:szCs w:val="28"/>
    </w:rPr>
  </w:style>
  <w:style w:type="paragraph" w:styleId="Heading4">
    <w:name w:val="heading 4"/>
    <w:basedOn w:val="Normal"/>
    <w:next w:val="Normal"/>
    <w:link w:val="Heading4Char"/>
    <w:uiPriority w:val="9"/>
    <w:semiHidden/>
    <w:unhideWhenUsed/>
    <w:qFormat/>
    <w:rsid w:val="00e35fa3"/>
    <w:pPr>
      <w:keepNext w:val="true"/>
      <w:keepLines/>
      <w:spacing w:before="80" w:after="40"/>
      <w:outlineLvl w:val="3"/>
    </w:pPr>
    <w:rPr>
      <w:rFonts w:ascii="Aptos" w:hAnsi="Aptos" w:eastAsia="" w:cs="" w:asciiTheme="minorHAnsi" w:cstheme="majorBidi" w:eastAsiaTheme="majorEastAsia" w:hAnsiTheme="minorHAnsi"/>
      <w:i/>
      <w:iCs/>
      <w:color w:themeColor="accent1" w:themeShade="bf" w:val="0F4761"/>
    </w:rPr>
  </w:style>
  <w:style w:type="paragraph" w:styleId="Heading5">
    <w:name w:val="heading 5"/>
    <w:basedOn w:val="Normal"/>
    <w:next w:val="Normal"/>
    <w:link w:val="Heading5Char"/>
    <w:uiPriority w:val="9"/>
    <w:semiHidden/>
    <w:unhideWhenUsed/>
    <w:qFormat/>
    <w:rsid w:val="00e35fa3"/>
    <w:pPr>
      <w:keepNext w:val="true"/>
      <w:keepLines/>
      <w:spacing w:before="80" w:after="40"/>
      <w:outlineLvl w:val="4"/>
    </w:pPr>
    <w:rPr>
      <w:rFonts w:ascii="Aptos" w:hAnsi="Aptos" w:eastAsia="" w:cs="" w:asciiTheme="minorHAnsi" w:cstheme="majorBidi" w:eastAsiaTheme="majorEastAsia" w:hAnsiTheme="minorHAnsi"/>
      <w:color w:themeColor="accent1" w:themeShade="bf" w:val="0F4761"/>
    </w:rPr>
  </w:style>
  <w:style w:type="paragraph" w:styleId="Heading6">
    <w:name w:val="heading 6"/>
    <w:basedOn w:val="Normal"/>
    <w:next w:val="Normal"/>
    <w:link w:val="Heading6Char"/>
    <w:uiPriority w:val="9"/>
    <w:semiHidden/>
    <w:unhideWhenUsed/>
    <w:qFormat/>
    <w:rsid w:val="00e35fa3"/>
    <w:pPr>
      <w:keepNext w:val="true"/>
      <w:keepLines/>
      <w:spacing w:before="40" w:after="0"/>
      <w:outlineLvl w:val="5"/>
    </w:pPr>
    <w:rPr>
      <w:rFonts w:ascii="Aptos" w:hAnsi="Aptos" w:eastAsia="" w:cs="" w:asciiTheme="minorHAnsi" w:cstheme="majorBidi" w:eastAsiaTheme="majorEastAsia" w:hAnsiTheme="minorHAnsi"/>
      <w:i/>
      <w:iCs/>
      <w:color w:themeColor="text1" w:themeTint="a6" w:val="595959"/>
    </w:rPr>
  </w:style>
  <w:style w:type="paragraph" w:styleId="Heading7">
    <w:name w:val="heading 7"/>
    <w:basedOn w:val="Normal"/>
    <w:next w:val="Normal"/>
    <w:link w:val="Heading7Char"/>
    <w:uiPriority w:val="9"/>
    <w:semiHidden/>
    <w:unhideWhenUsed/>
    <w:qFormat/>
    <w:rsid w:val="00e35fa3"/>
    <w:pPr>
      <w:keepNext w:val="true"/>
      <w:keepLines/>
      <w:spacing w:before="40" w:after="0"/>
      <w:outlineLvl w:val="6"/>
    </w:pPr>
    <w:rPr>
      <w:rFonts w:ascii="Aptos" w:hAnsi="Aptos" w:eastAsia="" w:cs="" w:asciiTheme="minorHAnsi" w:cstheme="majorBidi" w:eastAsiaTheme="majorEastAsia" w:hAnsiTheme="minorHAnsi"/>
      <w:color w:themeColor="text1" w:themeTint="a6" w:val="595959"/>
    </w:rPr>
  </w:style>
  <w:style w:type="paragraph" w:styleId="Heading8">
    <w:name w:val="heading 8"/>
    <w:basedOn w:val="Normal"/>
    <w:next w:val="Normal"/>
    <w:link w:val="Heading8Char"/>
    <w:uiPriority w:val="9"/>
    <w:semiHidden/>
    <w:unhideWhenUsed/>
    <w:qFormat/>
    <w:rsid w:val="00e35fa3"/>
    <w:pPr>
      <w:keepNext w:val="true"/>
      <w:keepLines/>
      <w:spacing w:before="0" w:after="0"/>
      <w:outlineLvl w:val="7"/>
    </w:pPr>
    <w:rPr>
      <w:rFonts w:ascii="Aptos" w:hAnsi="Aptos" w:eastAsia="" w:cs="" w:asciiTheme="minorHAnsi" w:cstheme="majorBidi" w:eastAsiaTheme="majorEastAsia" w:hAnsiTheme="minorHAnsi"/>
      <w:i/>
      <w:iCs/>
      <w:color w:themeColor="text1" w:themeTint="d8" w:val="272727"/>
    </w:rPr>
  </w:style>
  <w:style w:type="paragraph" w:styleId="Heading9">
    <w:name w:val="heading 9"/>
    <w:basedOn w:val="Normal"/>
    <w:next w:val="Normal"/>
    <w:link w:val="Heading9Char"/>
    <w:uiPriority w:val="9"/>
    <w:semiHidden/>
    <w:unhideWhenUsed/>
    <w:qFormat/>
    <w:rsid w:val="00e35fa3"/>
    <w:pPr>
      <w:keepNext w:val="true"/>
      <w:keepLines/>
      <w:spacing w:before="0" w:after="0"/>
      <w:outlineLvl w:val="8"/>
    </w:pPr>
    <w:rPr>
      <w:rFonts w:ascii="Aptos" w:hAnsi="Aptos" w:eastAsia="" w:cs="" w:asciiTheme="minorHAnsi" w:cstheme="majorBidi" w:eastAsiaTheme="majorEastAsia" w:hAnsiTheme="minorHAnsi"/>
      <w:color w:themeColor="text1" w:themeTint="d8" w:val="272727"/>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qFormat/>
    <w:rsid w:val="000f4866"/>
    <w:rPr>
      <w:rFonts w:ascii="Verdana" w:hAnsi="Verdana" w:eastAsia="Times New Roman" w:cs="Times New Roman"/>
      <w:b/>
      <w:bCs/>
      <w:kern w:val="2"/>
      <w:sz w:val="48"/>
      <w:szCs w:val="48"/>
    </w:rPr>
  </w:style>
  <w:style w:type="character" w:styleId="TitleChar" w:customStyle="1">
    <w:name w:val="Title Char"/>
    <w:basedOn w:val="DefaultParagraphFont"/>
    <w:link w:val="Title"/>
    <w:uiPriority w:val="10"/>
    <w:qFormat/>
    <w:rsid w:val="000f4866"/>
    <w:rPr>
      <w:rFonts w:ascii="Verdana" w:hAnsi="Verdana" w:eastAsia="" w:cs="" w:cstheme="majorBidi" w:eastAsiaTheme="majorEastAsia"/>
      <w:spacing w:val="-10"/>
      <w:kern w:val="2"/>
      <w:sz w:val="56"/>
      <w:szCs w:val="56"/>
    </w:rPr>
  </w:style>
  <w:style w:type="character" w:styleId="Heading01Char" w:customStyle="1">
    <w:name w:val="Heading01 Char"/>
    <w:basedOn w:val="DefaultParagraphFont"/>
    <w:link w:val="Heading01"/>
    <w:qFormat/>
    <w:rsid w:val="00e06857"/>
    <w:rPr>
      <w:rFonts w:eastAsia="Times New Roman" w:cs="Times New Roman"/>
      <w:b/>
      <w:bCs/>
      <w:color w:val="EA580C"/>
      <w:kern w:val="2"/>
      <w:sz w:val="28"/>
      <w:szCs w:val="48"/>
    </w:rPr>
  </w:style>
  <w:style w:type="character" w:styleId="Heading02Char" w:customStyle="1">
    <w:name w:val="Heading02 Char"/>
    <w:basedOn w:val="DefaultParagraphFont"/>
    <w:link w:val="Heading02"/>
    <w:qFormat/>
    <w:rsid w:val="00a34d0f"/>
    <w:rPr>
      <w:b/>
      <w:color w:val="EA580C"/>
    </w:rPr>
  </w:style>
  <w:style w:type="character" w:styleId="Heading03Char" w:customStyle="1">
    <w:name w:val="Heading03 Char"/>
    <w:basedOn w:val="DefaultParagraphFont"/>
    <w:link w:val="Heading03"/>
    <w:qFormat/>
    <w:rsid w:val="00e10d99"/>
    <w:rPr>
      <w:i/>
      <w:iCs/>
    </w:rPr>
  </w:style>
  <w:style w:type="character" w:styleId="Heading04Char" w:customStyle="1">
    <w:name w:val="Heading04 Char"/>
    <w:basedOn w:val="DefaultParagraphFont"/>
    <w:link w:val="Heading04"/>
    <w:qFormat/>
    <w:rsid w:val="00e10d99"/>
    <w:rPr/>
  </w:style>
  <w:style w:type="character" w:styleId="Heading2Char" w:customStyle="1">
    <w:name w:val="Heading 2 Char"/>
    <w:basedOn w:val="DefaultParagraphFont"/>
    <w:link w:val="Heading2"/>
    <w:uiPriority w:val="9"/>
    <w:qFormat/>
    <w:rsid w:val="00e35fa3"/>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e35fa3"/>
    <w:rPr>
      <w:rFonts w:ascii="Aptos" w:hAnsi="Aptos" w:eastAsia="" w:cs="" w:asciiTheme="minorHAnsi" w:cstheme="majorBidi" w:eastAsiaTheme="majorEastAsia" w:hAnsiTheme="minorHAnsi"/>
      <w:color w:themeColor="accent1" w:themeShade="bf" w:val="0F4761"/>
      <w:sz w:val="28"/>
      <w:szCs w:val="28"/>
    </w:rPr>
  </w:style>
  <w:style w:type="character" w:styleId="Heading4Char" w:customStyle="1">
    <w:name w:val="Heading 4 Char"/>
    <w:basedOn w:val="DefaultParagraphFont"/>
    <w:link w:val="Heading4"/>
    <w:uiPriority w:val="9"/>
    <w:semiHidden/>
    <w:qFormat/>
    <w:rsid w:val="00e35fa3"/>
    <w:rPr>
      <w:rFonts w:ascii="Aptos" w:hAnsi="Aptos" w:eastAsia="" w:cs="" w:asciiTheme="minorHAnsi" w:cstheme="majorBidi" w:eastAsiaTheme="majorEastAsia" w:hAnsiTheme="minorHAnsi"/>
      <w:i/>
      <w:iCs/>
      <w:color w:themeColor="accent1" w:themeShade="bf" w:val="0F4761"/>
    </w:rPr>
  </w:style>
  <w:style w:type="character" w:styleId="Heading5Char" w:customStyle="1">
    <w:name w:val="Heading 5 Char"/>
    <w:basedOn w:val="DefaultParagraphFont"/>
    <w:link w:val="Heading5"/>
    <w:uiPriority w:val="9"/>
    <w:semiHidden/>
    <w:qFormat/>
    <w:rsid w:val="00e35fa3"/>
    <w:rPr>
      <w:rFonts w:ascii="Aptos" w:hAnsi="Aptos" w:eastAsia="" w:cs="" w:asciiTheme="minorHAnsi" w:cstheme="majorBidi" w:eastAsiaTheme="majorEastAsia" w:hAnsiTheme="minorHAnsi"/>
      <w:color w:themeColor="accent1" w:themeShade="bf" w:val="0F4761"/>
    </w:rPr>
  </w:style>
  <w:style w:type="character" w:styleId="Heading6Char" w:customStyle="1">
    <w:name w:val="Heading 6 Char"/>
    <w:basedOn w:val="DefaultParagraphFont"/>
    <w:link w:val="Heading6"/>
    <w:uiPriority w:val="9"/>
    <w:semiHidden/>
    <w:qFormat/>
    <w:rsid w:val="00e35fa3"/>
    <w:rPr>
      <w:rFonts w:ascii="Aptos" w:hAnsi="Aptos" w:eastAsia="" w:cs="" w:asciiTheme="minorHAnsi" w:cstheme="majorBidi" w:eastAsiaTheme="majorEastAsia" w:hAnsiTheme="minorHAnsi"/>
      <w:i/>
      <w:iCs/>
      <w:color w:themeColor="text1" w:themeTint="a6" w:val="595959"/>
    </w:rPr>
  </w:style>
  <w:style w:type="character" w:styleId="Heading7Char" w:customStyle="1">
    <w:name w:val="Heading 7 Char"/>
    <w:basedOn w:val="DefaultParagraphFont"/>
    <w:link w:val="Heading7"/>
    <w:uiPriority w:val="9"/>
    <w:semiHidden/>
    <w:qFormat/>
    <w:rsid w:val="00e35fa3"/>
    <w:rPr>
      <w:rFonts w:ascii="Aptos" w:hAnsi="Aptos" w:eastAsia="" w:cs="" w:asciiTheme="minorHAnsi" w:cstheme="majorBidi" w:eastAsiaTheme="majorEastAsia" w:hAnsiTheme="minorHAnsi"/>
      <w:color w:themeColor="text1" w:themeTint="a6" w:val="595959"/>
    </w:rPr>
  </w:style>
  <w:style w:type="character" w:styleId="Heading8Char" w:customStyle="1">
    <w:name w:val="Heading 8 Char"/>
    <w:basedOn w:val="DefaultParagraphFont"/>
    <w:link w:val="Heading8"/>
    <w:uiPriority w:val="9"/>
    <w:semiHidden/>
    <w:qFormat/>
    <w:rsid w:val="00e35fa3"/>
    <w:rPr>
      <w:rFonts w:ascii="Aptos" w:hAnsi="Aptos" w:eastAsia="" w:cs="" w:asciiTheme="minorHAnsi" w:cstheme="majorBidi" w:eastAsiaTheme="majorEastAsia" w:hAnsiTheme="minorHAnsi"/>
      <w:i/>
      <w:iCs/>
      <w:color w:themeColor="text1" w:themeTint="d8" w:val="272727"/>
    </w:rPr>
  </w:style>
  <w:style w:type="character" w:styleId="Heading9Char" w:customStyle="1">
    <w:name w:val="Heading 9 Char"/>
    <w:basedOn w:val="DefaultParagraphFont"/>
    <w:link w:val="Heading9"/>
    <w:uiPriority w:val="9"/>
    <w:semiHidden/>
    <w:qFormat/>
    <w:rsid w:val="00e35fa3"/>
    <w:rPr>
      <w:rFonts w:ascii="Aptos" w:hAnsi="Aptos" w:eastAsia="" w:cs="" w:asciiTheme="minorHAnsi" w:cstheme="majorBidi" w:eastAsiaTheme="majorEastAsia" w:hAnsiTheme="minorHAnsi"/>
      <w:color w:themeColor="text1" w:themeTint="d8" w:val="272727"/>
    </w:rPr>
  </w:style>
  <w:style w:type="character" w:styleId="SubtitleChar" w:customStyle="1">
    <w:name w:val="Subtitle Char"/>
    <w:basedOn w:val="DefaultParagraphFont"/>
    <w:link w:val="Subtitle"/>
    <w:uiPriority w:val="11"/>
    <w:qFormat/>
    <w:rsid w:val="00e35fa3"/>
    <w:rPr>
      <w:rFonts w:ascii="Aptos" w:hAnsi="Aptos" w:eastAsia="" w:cs="" w:asciiTheme="minorHAnsi" w:cstheme="majorBidi" w:eastAsiaTheme="majorEastAsia" w:hAnsiTheme="minorHAnsi"/>
      <w:color w:themeColor="text1" w:themeTint="a6" w:val="595959"/>
      <w:spacing w:val="15"/>
      <w:sz w:val="28"/>
      <w:szCs w:val="28"/>
    </w:rPr>
  </w:style>
  <w:style w:type="character" w:styleId="QuoteChar" w:customStyle="1">
    <w:name w:val="Quote Char"/>
    <w:basedOn w:val="DefaultParagraphFont"/>
    <w:link w:val="Quote"/>
    <w:uiPriority w:val="29"/>
    <w:qFormat/>
    <w:rsid w:val="00e35fa3"/>
    <w:rPr>
      <w:i/>
      <w:iCs/>
      <w:color w:themeColor="text1" w:themeTint="bf" w:val="404040"/>
    </w:rPr>
  </w:style>
  <w:style w:type="character" w:styleId="IntenseEmphasis">
    <w:name w:val="Intense Emphasis"/>
    <w:basedOn w:val="DefaultParagraphFont"/>
    <w:uiPriority w:val="21"/>
    <w:qFormat/>
    <w:rsid w:val="00e35fa3"/>
    <w:rPr>
      <w:i/>
      <w:iCs/>
      <w:color w:themeColor="accent1" w:themeShade="bf" w:val="0F4761"/>
    </w:rPr>
  </w:style>
  <w:style w:type="character" w:styleId="IntenseQuoteChar" w:customStyle="1">
    <w:name w:val="Intense Quote Char"/>
    <w:basedOn w:val="DefaultParagraphFont"/>
    <w:link w:val="IntenseQuote"/>
    <w:uiPriority w:val="30"/>
    <w:qFormat/>
    <w:rsid w:val="00e35fa3"/>
    <w:rPr>
      <w:i/>
      <w:iCs/>
      <w:color w:themeColor="accent1" w:themeShade="bf" w:val="0F4761"/>
    </w:rPr>
  </w:style>
  <w:style w:type="character" w:styleId="IntenseReference">
    <w:name w:val="Intense Reference"/>
    <w:basedOn w:val="DefaultParagraphFont"/>
    <w:uiPriority w:val="32"/>
    <w:qFormat/>
    <w:rsid w:val="00e35fa3"/>
    <w:rPr>
      <w:b/>
      <w:bCs/>
      <w:smallCaps/>
      <w:color w:themeColor="accent1" w:themeShade="bf" w:val="0F4761"/>
      <w:spacing w:val="5"/>
    </w:rPr>
  </w:style>
  <w:style w:type="character" w:styleId="Hyperlink">
    <w:name w:val="Hyperlink"/>
    <w:basedOn w:val="DefaultParagraphFont"/>
    <w:uiPriority w:val="99"/>
    <w:unhideWhenUsed/>
    <w:rsid w:val="00de1268"/>
    <w:rPr>
      <w:color w:themeColor="hyperlink" w:val="467886"/>
      <w:u w:val="single"/>
    </w:rPr>
  </w:style>
  <w:style w:type="character" w:styleId="UnresolvedMention">
    <w:name w:val="Unresolved Mention"/>
    <w:basedOn w:val="DefaultParagraphFont"/>
    <w:uiPriority w:val="99"/>
    <w:semiHidden/>
    <w:unhideWhenUsed/>
    <w:qFormat/>
    <w:rsid w:val="003908a3"/>
    <w:rPr>
      <w:color w:val="605E5C"/>
      <w:shd w:fill="E1DFDD" w:val="clear"/>
    </w:rPr>
  </w:style>
  <w:style w:type="character" w:styleId="HeaderChar" w:customStyle="1">
    <w:name w:val="Header Char"/>
    <w:basedOn w:val="DefaultParagraphFont"/>
    <w:link w:val="Header"/>
    <w:uiPriority w:val="99"/>
    <w:qFormat/>
    <w:rsid w:val="006d69cc"/>
    <w:rPr/>
  </w:style>
  <w:style w:type="character" w:styleId="FooterChar" w:customStyle="1">
    <w:name w:val="Footer Char"/>
    <w:basedOn w:val="DefaultParagraphFont"/>
    <w:link w:val="Footer"/>
    <w:uiPriority w:val="99"/>
    <w:qFormat/>
    <w:rsid w:val="006d69cc"/>
    <w:rPr/>
  </w:style>
  <w:style w:type="character" w:styleId="CommentReference">
    <w:name w:val="annotation reference"/>
    <w:basedOn w:val="DefaultParagraphFont"/>
    <w:uiPriority w:val="99"/>
    <w:semiHidden/>
    <w:unhideWhenUsed/>
    <w:qFormat/>
    <w:rsid w:val="00511f4d"/>
    <w:rPr>
      <w:sz w:val="16"/>
      <w:szCs w:val="16"/>
    </w:rPr>
  </w:style>
  <w:style w:type="character" w:styleId="CommentTextChar" w:customStyle="1">
    <w:name w:val="Comment Text Char"/>
    <w:basedOn w:val="DefaultParagraphFont"/>
    <w:link w:val="CommentText"/>
    <w:uiPriority w:val="99"/>
    <w:qFormat/>
    <w:rsid w:val="00511f4d"/>
    <w:rPr>
      <w:sz w:val="20"/>
      <w:szCs w:val="20"/>
    </w:rPr>
  </w:style>
  <w:style w:type="character" w:styleId="CommentSubjectChar" w:customStyle="1">
    <w:name w:val="Comment Subject Char"/>
    <w:basedOn w:val="CommentTextChar"/>
    <w:link w:val="annotationsubject"/>
    <w:uiPriority w:val="99"/>
    <w:semiHidden/>
    <w:qFormat/>
    <w:rsid w:val="00511f4d"/>
    <w:rPr>
      <w:b/>
      <w:bCs/>
      <w:sz w:val="20"/>
      <w:szCs w:val="20"/>
    </w:rPr>
  </w:style>
  <w:style w:type="character" w:styleId="Emphasis">
    <w:name w:val="Emphasis"/>
    <w:basedOn w:val="DefaultParagraphFont"/>
    <w:uiPriority w:val="20"/>
    <w:qFormat/>
    <w:rsid w:val="003d706a"/>
    <w:rPr>
      <w:i/>
      <w:iCs/>
    </w:rPr>
  </w:style>
  <w:style w:type="character" w:styleId="VerbatimChar" w:customStyle="1">
    <w:name w:val="Verbatim Char"/>
    <w:basedOn w:val="DefaultParagraphFont"/>
    <w:link w:val="SourceCode"/>
    <w:qFormat/>
    <w:rsid w:val="00de7687"/>
    <w:rPr>
      <w:rFonts w:ascii="Consolas" w:hAnsi="Consolas"/>
      <w:sz w:val="22"/>
    </w:rPr>
  </w:style>
  <w:style w:type="character" w:styleId="font-medium" w:customStyle="1">
    <w:name w:val="font-medium"/>
    <w:basedOn w:val="DefaultParagraphFont"/>
    <w:qFormat/>
    <w:rsid w:val="00970179"/>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next w:val="Normal"/>
    <w:uiPriority w:val="35"/>
    <w:unhideWhenUsed/>
    <w:qFormat/>
    <w:rsid w:val="006178c9"/>
    <w:pPr>
      <w:spacing w:lineRule="auto" w:line="240" w:before="0" w:after="200"/>
    </w:pPr>
    <w:rPr>
      <w:i/>
      <w:iCs/>
      <w:color w:themeColor="text2" w:val="0E2841"/>
      <w:sz w:val="18"/>
      <w:szCs w:val="18"/>
    </w:rPr>
  </w:style>
  <w:style w:type="paragraph" w:styleId="Index">
    <w:name w:val="Index"/>
    <w:basedOn w:val="Normal"/>
    <w:qFormat/>
    <w:pPr>
      <w:suppressLineNumbers/>
    </w:pPr>
    <w:rPr>
      <w:rFonts w:cs="Lucida Sans"/>
    </w:rPr>
  </w:style>
  <w:style w:type="paragraph" w:styleId="Title">
    <w:name w:val="Title"/>
    <w:basedOn w:val="Normal"/>
    <w:next w:val="Normal"/>
    <w:link w:val="TitleChar"/>
    <w:autoRedefine/>
    <w:uiPriority w:val="10"/>
    <w:qFormat/>
    <w:rsid w:val="000f4866"/>
    <w:pPr>
      <w:spacing w:lineRule="auto" w:line="240" w:before="0" w:after="0"/>
      <w:contextualSpacing/>
    </w:pPr>
    <w:rPr>
      <w:rFonts w:ascii="Verdana" w:hAnsi="Verdana" w:eastAsia="" w:cs="" w:cstheme="majorBidi" w:eastAsiaTheme="majorEastAsia"/>
      <w:spacing w:val="-10"/>
      <w:kern w:val="2"/>
      <w:sz w:val="56"/>
      <w:szCs w:val="56"/>
    </w:rPr>
  </w:style>
  <w:style w:type="paragraph" w:styleId="Heading01" w:customStyle="1">
    <w:name w:val="Heading01"/>
    <w:basedOn w:val="Heading1"/>
    <w:link w:val="Heading01Char"/>
    <w:qFormat/>
    <w:rsid w:val="00e06857"/>
    <w:pPr>
      <w:numPr>
        <w:ilvl w:val="0"/>
        <w:numId w:val="1"/>
      </w:numPr>
    </w:pPr>
    <w:rPr>
      <w:rFonts w:ascii="Arial" w:hAnsi="Arial"/>
      <w:color w:val="EA580C"/>
      <w:sz w:val="28"/>
    </w:rPr>
  </w:style>
  <w:style w:type="paragraph" w:styleId="ListParagraph">
    <w:name w:val="List Paragraph"/>
    <w:basedOn w:val="Normal"/>
    <w:uiPriority w:val="34"/>
    <w:qFormat/>
    <w:rsid w:val="00e10d99"/>
    <w:pPr>
      <w:spacing w:before="0" w:after="160"/>
      <w:ind w:start="720"/>
      <w:contextualSpacing/>
    </w:pPr>
    <w:rPr/>
  </w:style>
  <w:style w:type="paragraph" w:styleId="Heading02" w:customStyle="1">
    <w:name w:val="Heading02"/>
    <w:basedOn w:val="ListParagraph"/>
    <w:next w:val="Heading2"/>
    <w:link w:val="Heading02Char"/>
    <w:qFormat/>
    <w:rsid w:val="00a34d0f"/>
    <w:pPr>
      <w:numPr>
        <w:ilvl w:val="1"/>
        <w:numId w:val="1"/>
      </w:numPr>
      <w:spacing w:before="120" w:after="120"/>
      <w:ind w:start="432"/>
      <w:contextualSpacing/>
    </w:pPr>
    <w:rPr>
      <w:b/>
      <w:color w:val="EA580C"/>
    </w:rPr>
  </w:style>
  <w:style w:type="paragraph" w:styleId="Heading03" w:customStyle="1">
    <w:name w:val="Heading03"/>
    <w:basedOn w:val="ListParagraph"/>
    <w:link w:val="Heading03Char"/>
    <w:qFormat/>
    <w:rsid w:val="00e10d99"/>
    <w:pPr>
      <w:numPr>
        <w:ilvl w:val="2"/>
        <w:numId w:val="1"/>
      </w:numPr>
    </w:pPr>
    <w:rPr>
      <w:i/>
      <w:iCs/>
    </w:rPr>
  </w:style>
  <w:style w:type="paragraph" w:styleId="Heading04" w:customStyle="1">
    <w:name w:val="Heading04"/>
    <w:basedOn w:val="ListParagraph"/>
    <w:link w:val="Heading04Char"/>
    <w:qFormat/>
    <w:rsid w:val="00e10d99"/>
    <w:pPr>
      <w:numPr>
        <w:ilvl w:val="3"/>
        <w:numId w:val="1"/>
      </w:numPr>
      <w:spacing w:lineRule="auto" w:line="276" w:before="0" w:after="0"/>
      <w:contextualSpacing/>
    </w:pPr>
    <w:rPr/>
  </w:style>
  <w:style w:type="paragraph" w:styleId="Subtitle">
    <w:name w:val="Subtitle"/>
    <w:basedOn w:val="Normal"/>
    <w:next w:val="Normal"/>
    <w:link w:val="SubtitleChar"/>
    <w:uiPriority w:val="11"/>
    <w:qFormat/>
    <w:rsid w:val="00e35fa3"/>
    <w:pPr/>
    <w:rPr>
      <w:rFonts w:ascii="Aptos" w:hAnsi="Aptos" w:eastAsia="" w:cs="" w:asciiTheme="minorHAnsi" w:cstheme="majorBidi" w:eastAsiaTheme="majorEastAsia" w:hAnsiTheme="minorHAnsi"/>
      <w:color w:themeColor="text1" w:themeTint="a6" w:val="595959"/>
      <w:spacing w:val="15"/>
      <w:sz w:val="28"/>
      <w:szCs w:val="28"/>
    </w:rPr>
  </w:style>
  <w:style w:type="paragraph" w:styleId="Quote">
    <w:name w:val="Quote"/>
    <w:basedOn w:val="Normal"/>
    <w:next w:val="Normal"/>
    <w:link w:val="QuoteChar"/>
    <w:uiPriority w:val="29"/>
    <w:qFormat/>
    <w:rsid w:val="00e35fa3"/>
    <w:pPr>
      <w:spacing w:before="160" w:after="160"/>
      <w:jc w:val="center"/>
    </w:pPr>
    <w:rPr>
      <w:i/>
      <w:iCs/>
      <w:color w:themeColor="text1" w:themeTint="bf" w:val="404040"/>
    </w:rPr>
  </w:style>
  <w:style w:type="paragraph" w:styleId="IntenseQuote">
    <w:name w:val="Intense Quote"/>
    <w:basedOn w:val="Normal"/>
    <w:next w:val="Normal"/>
    <w:link w:val="IntenseQuoteChar"/>
    <w:uiPriority w:val="30"/>
    <w:qFormat/>
    <w:rsid w:val="00e35fa3"/>
    <w:pPr>
      <w:pBdr>
        <w:top w:val="single" w:sz="4" w:space="10" w:color="0F4761" w:themeColor="accent1" w:themeShade="bf"/>
        <w:bottom w:val="single" w:sz="4" w:space="10" w:color="0F4761" w:themeColor="accent1" w:themeShade="bf"/>
      </w:pBdr>
      <w:spacing w:before="360" w:after="360"/>
      <w:ind w:start="864" w:end="864"/>
      <w:jc w:val="center"/>
    </w:pPr>
    <w:rPr>
      <w:i/>
      <w:iCs/>
      <w:color w:themeColor="accent1" w:themeShade="bf" w:val="0F4761"/>
    </w:rPr>
  </w:style>
  <w:style w:type="paragraph" w:styleId="IndexHeading">
    <w:name w:val="index heading"/>
    <w:basedOn w:val="Heading"/>
    <w:pPr/>
    <w:rPr/>
  </w:style>
  <w:style w:type="paragraph" w:styleId="TOCHeading">
    <w:name w:val="TOC Heading"/>
    <w:basedOn w:val="Heading1"/>
    <w:next w:val="Normal"/>
    <w:uiPriority w:val="39"/>
    <w:unhideWhenUsed/>
    <w:qFormat/>
    <w:rsid w:val="00de1268"/>
    <w:pPr>
      <w:keepLines/>
      <w:spacing w:lineRule="auto" w:line="259" w:before="240" w:after="0"/>
      <w:outlineLvl w:val="9"/>
    </w:pPr>
    <w:rPr>
      <w:rFonts w:ascii="Aptos Display" w:hAnsi="Aptos Display" w:eastAsia="" w:cs="" w:asciiTheme="majorHAnsi" w:cstheme="majorBidi" w:eastAsiaTheme="majorEastAsia" w:hAnsiTheme="majorHAnsi"/>
      <w:b w:val="false"/>
      <w:bCs w:val="false"/>
      <w:color w:themeColor="accent1" w:themeShade="bf" w:val="0F4761"/>
      <w:kern w:val="0"/>
      <w:sz w:val="32"/>
      <w:szCs w:val="32"/>
      <w14:ligatures w14:val="none"/>
    </w:rPr>
  </w:style>
  <w:style w:type="paragraph" w:styleId="TOC3">
    <w:name w:val="toc 3"/>
    <w:basedOn w:val="Normal"/>
    <w:next w:val="Normal"/>
    <w:autoRedefine/>
    <w:uiPriority w:val="39"/>
    <w:unhideWhenUsed/>
    <w:rsid w:val="00de1268"/>
    <w:pPr>
      <w:spacing w:before="0" w:after="100"/>
      <w:ind w:start="480"/>
    </w:pPr>
    <w:rPr/>
  </w:style>
  <w:style w:type="paragraph" w:styleId="TOC2">
    <w:name w:val="toc 2"/>
    <w:basedOn w:val="Normal"/>
    <w:next w:val="Normal"/>
    <w:autoRedefine/>
    <w:uiPriority w:val="39"/>
    <w:unhideWhenUsed/>
    <w:rsid w:val="00de1268"/>
    <w:pPr>
      <w:spacing w:before="0" w:after="100"/>
      <w:ind w:start="220"/>
    </w:pPr>
    <w:rPr>
      <w:rFonts w:ascii="Aptos" w:hAnsi="Aptos" w:eastAsia="" w:cs="Times New Roman" w:asciiTheme="minorHAnsi" w:eastAsiaTheme="minorEastAsia" w:hAnsiTheme="minorHAnsi"/>
      <w:kern w:val="0"/>
      <w:sz w:val="22"/>
      <w:szCs w:val="22"/>
      <w14:ligatures w14:val="none"/>
    </w:rPr>
  </w:style>
  <w:style w:type="paragraph" w:styleId="TOC1">
    <w:name w:val="toc 1"/>
    <w:basedOn w:val="Normal"/>
    <w:next w:val="Normal"/>
    <w:autoRedefine/>
    <w:uiPriority w:val="39"/>
    <w:unhideWhenUsed/>
    <w:rsid w:val="00de1268"/>
    <w:pPr>
      <w:spacing w:before="0" w:after="100"/>
    </w:pPr>
    <w:rPr>
      <w:rFonts w:ascii="Aptos" w:hAnsi="Aptos" w:eastAsia="" w:cs="Times New Roman" w:asciiTheme="minorHAnsi" w:eastAsiaTheme="minorEastAsia" w:hAnsiTheme="minorHAnsi"/>
      <w:kern w:val="0"/>
      <w:sz w:val="22"/>
      <w:szCs w:val="22"/>
      <w14:ligatures w14:val="none"/>
    </w:rPr>
  </w:style>
  <w:style w:type="paragraph" w:styleId="TableofFigures">
    <w:name w:val="table of figures"/>
    <w:basedOn w:val="Normal"/>
    <w:next w:val="Normal"/>
    <w:uiPriority w:val="99"/>
    <w:unhideWhenUsed/>
    <w:rsid w:val="00d042bb"/>
    <w:pPr>
      <w:spacing w:before="0" w:after="0"/>
    </w:pPr>
    <w:rPr/>
  </w:style>
  <w:style w:type="paragraph" w:styleId="TOC4">
    <w:name w:val="toc 4"/>
    <w:basedOn w:val="Normal"/>
    <w:next w:val="Normal"/>
    <w:autoRedefine/>
    <w:uiPriority w:val="39"/>
    <w:unhideWhenUsed/>
    <w:rsid w:val="003908a3"/>
    <w:pPr>
      <w:spacing w:before="0" w:after="100"/>
      <w:ind w:start="720"/>
    </w:pPr>
    <w:rPr/>
  </w:style>
  <w:style w:type="paragraph" w:styleId="TOC5">
    <w:name w:val="toc 5"/>
    <w:basedOn w:val="Normal"/>
    <w:next w:val="Normal"/>
    <w:autoRedefine/>
    <w:uiPriority w:val="39"/>
    <w:unhideWhenUsed/>
    <w:rsid w:val="003908a3"/>
    <w:pPr>
      <w:spacing w:lineRule="auto" w:line="278" w:before="0" w:after="100"/>
      <w:ind w:start="960"/>
    </w:pPr>
    <w:rPr>
      <w:rFonts w:ascii="Aptos" w:hAnsi="Aptos" w:eastAsia="" w:asciiTheme="minorHAnsi" w:eastAsiaTheme="minorEastAsia" w:hAnsiTheme="minorHAnsi"/>
      <w:lang w:val="en-AU" w:eastAsia="en-AU"/>
    </w:rPr>
  </w:style>
  <w:style w:type="paragraph" w:styleId="TOC6">
    <w:name w:val="toc 6"/>
    <w:basedOn w:val="Normal"/>
    <w:next w:val="Normal"/>
    <w:autoRedefine/>
    <w:uiPriority w:val="39"/>
    <w:unhideWhenUsed/>
    <w:rsid w:val="003908a3"/>
    <w:pPr>
      <w:spacing w:lineRule="auto" w:line="278" w:before="0" w:after="100"/>
      <w:ind w:start="1200"/>
    </w:pPr>
    <w:rPr>
      <w:rFonts w:ascii="Aptos" w:hAnsi="Aptos" w:eastAsia="" w:asciiTheme="minorHAnsi" w:eastAsiaTheme="minorEastAsia" w:hAnsiTheme="minorHAnsi"/>
      <w:lang w:val="en-AU" w:eastAsia="en-AU"/>
    </w:rPr>
  </w:style>
  <w:style w:type="paragraph" w:styleId="TOC7">
    <w:name w:val="toc 7"/>
    <w:basedOn w:val="Normal"/>
    <w:next w:val="Normal"/>
    <w:autoRedefine/>
    <w:uiPriority w:val="39"/>
    <w:unhideWhenUsed/>
    <w:rsid w:val="003908a3"/>
    <w:pPr>
      <w:spacing w:lineRule="auto" w:line="278" w:before="0" w:after="100"/>
      <w:ind w:start="1440"/>
    </w:pPr>
    <w:rPr>
      <w:rFonts w:ascii="Aptos" w:hAnsi="Aptos" w:eastAsia="" w:asciiTheme="minorHAnsi" w:eastAsiaTheme="minorEastAsia" w:hAnsiTheme="minorHAnsi"/>
      <w:lang w:val="en-AU" w:eastAsia="en-AU"/>
    </w:rPr>
  </w:style>
  <w:style w:type="paragraph" w:styleId="TOC8">
    <w:name w:val="toc 8"/>
    <w:basedOn w:val="Normal"/>
    <w:next w:val="Normal"/>
    <w:autoRedefine/>
    <w:uiPriority w:val="39"/>
    <w:unhideWhenUsed/>
    <w:rsid w:val="003908a3"/>
    <w:pPr>
      <w:spacing w:lineRule="auto" w:line="278" w:before="0" w:after="100"/>
      <w:ind w:start="1680"/>
    </w:pPr>
    <w:rPr>
      <w:rFonts w:ascii="Aptos" w:hAnsi="Aptos" w:eastAsia="" w:asciiTheme="minorHAnsi" w:eastAsiaTheme="minorEastAsia" w:hAnsiTheme="minorHAnsi"/>
      <w:lang w:val="en-AU" w:eastAsia="en-AU"/>
    </w:rPr>
  </w:style>
  <w:style w:type="paragraph" w:styleId="TOC9">
    <w:name w:val="toc 9"/>
    <w:basedOn w:val="Normal"/>
    <w:next w:val="Normal"/>
    <w:autoRedefine/>
    <w:uiPriority w:val="39"/>
    <w:unhideWhenUsed/>
    <w:rsid w:val="003908a3"/>
    <w:pPr>
      <w:spacing w:lineRule="auto" w:line="278" w:before="0" w:after="100"/>
      <w:ind w:start="1920"/>
    </w:pPr>
    <w:rPr>
      <w:rFonts w:ascii="Aptos" w:hAnsi="Aptos" w:eastAsia="" w:asciiTheme="minorHAnsi" w:eastAsiaTheme="minorEastAsia" w:hAnsiTheme="minorHAnsi"/>
      <w:lang w:val="en-AU" w:eastAsia="en-AU"/>
    </w:rPr>
  </w:style>
  <w:style w:type="paragraph" w:styleId="HeaderandFooter">
    <w:name w:val="Header and Footer"/>
    <w:basedOn w:val="Normal"/>
    <w:qFormat/>
    <w:pPr/>
    <w:rPr/>
  </w:style>
  <w:style w:type="paragraph" w:styleId="Header">
    <w:name w:val="header"/>
    <w:basedOn w:val="Normal"/>
    <w:link w:val="HeaderChar"/>
    <w:uiPriority w:val="99"/>
    <w:unhideWhenUsed/>
    <w:rsid w:val="006d69cc"/>
    <w:pPr>
      <w:tabs>
        <w:tab w:val="clear" w:pos="720"/>
        <w:tab w:val="center" w:pos="4513" w:leader="none"/>
        <w:tab w:val="right" w:pos="9026" w:leader="none"/>
      </w:tabs>
      <w:spacing w:lineRule="auto" w:line="240" w:before="0" w:after="0"/>
    </w:pPr>
    <w:rPr/>
  </w:style>
  <w:style w:type="paragraph" w:styleId="Footer">
    <w:name w:val="footer"/>
    <w:basedOn w:val="Normal"/>
    <w:link w:val="FooterChar"/>
    <w:uiPriority w:val="99"/>
    <w:unhideWhenUsed/>
    <w:rsid w:val="006d69cc"/>
    <w:pPr>
      <w:tabs>
        <w:tab w:val="clear" w:pos="720"/>
        <w:tab w:val="center" w:pos="4513" w:leader="none"/>
        <w:tab w:val="right" w:pos="9026" w:leader="none"/>
      </w:tabs>
      <w:spacing w:lineRule="auto" w:line="240" w:before="0" w:after="0"/>
    </w:pPr>
    <w:rPr/>
  </w:style>
  <w:style w:type="paragraph" w:styleId="CommentText">
    <w:name w:val="annotation text"/>
    <w:basedOn w:val="Normal"/>
    <w:link w:val="CommentTextChar"/>
    <w:uiPriority w:val="99"/>
    <w:unhideWhenUsed/>
    <w:rsid w:val="00511f4d"/>
    <w:pPr>
      <w:spacing w:lineRule="auto" w:line="240"/>
    </w:pPr>
    <w:rPr>
      <w:sz w:val="20"/>
      <w:szCs w:val="20"/>
    </w:rPr>
  </w:style>
  <w:style w:type="paragraph" w:styleId="annotationsubject">
    <w:name w:val="annotation subject"/>
    <w:basedOn w:val="CommentText"/>
    <w:next w:val="CommentText"/>
    <w:link w:val="CommentSubjectChar"/>
    <w:uiPriority w:val="99"/>
    <w:semiHidden/>
    <w:unhideWhenUsed/>
    <w:qFormat/>
    <w:rsid w:val="00511f4d"/>
    <w:pPr/>
    <w:rPr>
      <w:b/>
      <w:bCs/>
    </w:rPr>
  </w:style>
  <w:style w:type="paragraph" w:styleId="NormalWeb">
    <w:name w:val="Normal (Web)"/>
    <w:basedOn w:val="Normal"/>
    <w:uiPriority w:val="99"/>
    <w:semiHidden/>
    <w:unhideWhenUsed/>
    <w:qFormat/>
    <w:rsid w:val="003d706a"/>
    <w:pPr>
      <w:spacing w:lineRule="auto" w:line="240" w:beforeAutospacing="1" w:afterAutospacing="1"/>
    </w:pPr>
    <w:rPr>
      <w:rFonts w:ascii="Times New Roman" w:hAnsi="Times New Roman" w:eastAsia="Times New Roman" w:cs="Times New Roman"/>
      <w:kern w:val="0"/>
      <w:lang w:val="en-AU" w:eastAsia="en-AU"/>
      <w14:ligatures w14:val="none"/>
    </w:rPr>
  </w:style>
  <w:style w:type="paragraph" w:styleId="SourceCode" w:customStyle="1">
    <w:name w:val="Source Code"/>
    <w:basedOn w:val="Normal"/>
    <w:link w:val="VerbatimChar"/>
    <w:qFormat/>
    <w:rsid w:val="00de7687"/>
    <w:pPr>
      <w:spacing w:lineRule="auto" w:line="240" w:before="0" w:after="200"/>
    </w:pPr>
    <w:rPr>
      <w:rFonts w:ascii="Consolas" w:hAnsi="Consolas"/>
      <w:sz w:val="22"/>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fb1516"/>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 Id="rId13" Type="http://schemas.openxmlformats.org/officeDocument/2006/relationships/customXml" Target="../customXml/item1.xml"/>
</Relationships>
</file>

<file path=word/_rels/header2.xml.rels><?xml version="1.0" encoding="UTF-8"?>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21EEFD-1808-442F-A80C-F8C8497A22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TotalTime>
  <Application>LibreOffice/25.8.4.2$Windows_X86_64 LibreOffice_project/290daaa01b999472f0c7a3890eb6a550fd74c6df</Application>
  <AppVersion>15.0000</AppVersion>
  <Pages>45</Pages>
  <Words>12446</Words>
  <Characters>85385</Characters>
  <CharactersWithSpaces>96681</CharactersWithSpaces>
  <Paragraphs>1150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2026-02-01T11:50:00Z</dcterms:created>
  <dc:creator>Andrew Egoroff</dc:creator>
  <dc:description/>
  <dc:language>en-US</dc:language>
  <cp:lastModifiedBy>Andrew Egoroff</cp:lastModifiedBy>
  <cp:lastPrinted>2025-01-17T07:38:00Z</cp:lastPrinted>
  <dcterms:modified xsi:type="dcterms:W3CDTF">2026-02-01T12:31:00Z</dcterms:modified>
  <cp:revision>24</cp:revision>
  <dc:subject/>
  <dc:title/>
</cp:coreProperties>
</file>

<file path=docProps/custom.xml><?xml version="1.0" encoding="utf-8"?>
<Properties xmlns="http://schemas.openxmlformats.org/officeDocument/2006/custom-properties" xmlns:vt="http://schemas.openxmlformats.org/officeDocument/2006/docPropsVTypes"/>
</file>