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Arial"/>
          <w:b/>
          <w:bCs/>
          <w:sz w:val="72"/>
          <w:szCs w:val="72"/>
        </w:rPr>
      </w:pPr>
      <w:r>
        <w:rPr>
          <w:rFonts w:cs="Arial"/>
          <w:b/>
          <w:bCs/>
          <w:sz w:val="72"/>
          <w:szCs w:val="72"/>
        </w:rPr>
        <w:drawing>
          <wp:anchor behindDoc="0" distT="0" distB="0" distL="0" distR="0" simplePos="0" locked="0" layoutInCell="1" allowOverlap="1" relativeHeight="494">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5731510" cy="1311275"/>
                    </a:xfrm>
                    <a:prstGeom prst="rect">
                      <a:avLst/>
                    </a:prstGeom>
                    <a:noFill/>
                  </pic:spPr>
                </pic:pic>
              </a:graphicData>
            </a:graphic>
          </wp:anchor>
        </w:drawing>
      </w:r>
    </w:p>
    <w:p>
      <w:pPr>
        <w:pStyle w:val="Normal"/>
        <w:jc w:val="center"/>
        <w:rPr>
          <w:rFonts w:cs="Arial"/>
          <w:b/>
          <w:bCs/>
          <w:sz w:val="72"/>
          <w:szCs w:val="72"/>
        </w:rPr>
      </w:pPr>
      <w:r>
        <w:rPr>
          <w:rFonts w:cs="Arial"/>
          <w:b/>
          <w:bCs/>
          <w:sz w:val="72"/>
          <w:szCs w:val="72"/>
        </w:rPr>
      </w:r>
    </w:p>
    <w:p>
      <w:pPr>
        <w:pStyle w:val="Normal"/>
        <w:jc w:val="center"/>
        <w:rPr>
          <w:rFonts w:cs="Arial"/>
          <w:b/>
          <w:bCs/>
          <w:sz w:val="72"/>
          <w:szCs w:val="72"/>
        </w:rPr>
      </w:pPr>
      <w:r>
        <w:rPr>
          <w:rFonts w:cs="Arial"/>
          <w:b/>
          <w:bCs/>
          <w:sz w:val="72"/>
          <w:szCs w:val="72"/>
        </w:rPr>
      </w:r>
    </w:p>
    <w:p>
      <w:pPr>
        <w:pStyle w:val="Normal"/>
        <w:jc w:val="center"/>
        <w:rPr>
          <w:rFonts w:cs="Arial"/>
          <w:b/>
          <w:bCs/>
          <w:sz w:val="72"/>
          <w:szCs w:val="72"/>
        </w:rPr>
      </w:pPr>
      <w:r>
        <w:rPr>
          <w:rFonts w:cs="Arial"/>
          <w:b/>
          <w:bCs/>
          <w:sz w:val="72"/>
          <w:szCs w:val="72"/>
        </w:rPr>
      </w:r>
    </w:p>
    <w:p>
      <w:pPr>
        <w:pStyle w:val="Normal"/>
        <w:jc w:val="center"/>
        <w:rPr>
          <w:rFonts w:cs="Arial"/>
          <w:sz w:val="96"/>
          <w:szCs w:val="96"/>
        </w:rPr>
      </w:pPr>
      <w:r>
        <w:rPr>
          <w:rFonts w:cs="Arial"/>
          <w:b/>
          <w:bCs/>
          <w:sz w:val="96"/>
          <w:szCs w:val="96"/>
        </w:rPr>
        <w:t>AM AI SAFE</w:t>
      </w:r>
      <w:r>
        <w:rPr>
          <w:rFonts w:cs="Arial"/>
          <w:sz w:val="96"/>
          <w:szCs w:val="96"/>
        </w:rPr>
        <w:t xml:space="preserve"> </w:t>
      </w:r>
    </w:p>
    <w:p>
      <w:pPr>
        <w:pStyle w:val="Normal"/>
        <w:jc w:val="center"/>
        <w:rPr>
          <w:rFonts w:cs="Arial"/>
          <w:sz w:val="72"/>
          <w:szCs w:val="72"/>
        </w:rPr>
      </w:pPr>
      <w:r>
        <w:rPr>
          <w:rFonts w:cs="Arial"/>
          <w:sz w:val="72"/>
          <w:szCs w:val="72"/>
        </w:rPr>
        <w:t xml:space="preserve">FAIRA Risk Assessment </w:t>
      </w:r>
    </w:p>
    <w:p>
      <w:pPr>
        <w:pStyle w:val="Normal"/>
        <w:jc w:val="center"/>
        <w:rPr>
          <w:rFonts w:cs="Arial"/>
          <w:sz w:val="72"/>
          <w:szCs w:val="72"/>
        </w:rPr>
      </w:pPr>
      <w:r>
        <w:rPr>
          <w:rFonts w:cs="Arial"/>
          <w:sz w:val="72"/>
          <w:szCs w:val="72"/>
        </w:rPr>
        <w:t xml:space="preserve">for </w:t>
      </w:r>
    </w:p>
    <w:p>
      <w:pPr>
        <w:pStyle w:val="Normal"/>
        <w:jc w:val="center"/>
        <w:rPr>
          <w:rFonts w:cs="Arial"/>
          <w:b/>
          <w:bCs/>
          <w:sz w:val="72"/>
          <w:szCs w:val="72"/>
        </w:rPr>
      </w:pPr>
      <w:r>
        <w:rPr>
          <w:rFonts w:cs="Arial"/>
          <w:b/>
          <w:bCs/>
          <w:sz w:val="72"/>
          <w:szCs w:val="72"/>
        </w:rPr>
        <w:t>{{system_name}}</w:t>
      </w:r>
    </w:p>
    <w:p>
      <w:pPr>
        <w:pStyle w:val="Normal"/>
        <w:jc w:val="center"/>
        <w:rPr>
          <w:rFonts w:cs="Arial"/>
          <w:sz w:val="72"/>
          <w:szCs w:val="72"/>
        </w:rPr>
      </w:pPr>
      <w:r>
        <w:rPr>
          <w:rFonts w:cs="Arial"/>
          <w:sz w:val="72"/>
          <w:szCs w:val="72"/>
        </w:rPr>
      </w:r>
    </w:p>
    <w:p>
      <w:pPr>
        <w:pStyle w:val="Normal"/>
        <w:jc w:val="center"/>
        <w:rPr>
          <w:rFonts w:cs="Arial"/>
          <w:sz w:val="32"/>
          <w:szCs w:val="32"/>
        </w:rPr>
      </w:pPr>
      <w:r>
        <w:rPr/>
        <w:t>{{assessment.date}}</w:t>
      </w:r>
    </w:p>
    <w:p>
      <w:pPr>
        <w:pStyle w:val="Normal"/>
        <w:jc w:val="center"/>
        <w:rPr>
          <w:rFonts w:cs="Arial"/>
          <w:b/>
          <w:bCs/>
          <w:sz w:val="28"/>
          <w:szCs w:val="28"/>
        </w:rPr>
      </w:pPr>
      <w:r>
        <w:rPr>
          <w:rFonts w:cs="Arial"/>
          <w:b/>
          <w:bCs/>
          <w:sz w:val="28"/>
          <w:szCs w:val="28"/>
        </w:rPr>
      </w:r>
    </w:p>
    <w:p>
      <w:pPr>
        <w:pStyle w:val="Normal"/>
        <w:rPr>
          <w:rFonts w:cs="Arial"/>
          <w:b/>
          <w:bCs/>
          <w:sz w:val="28"/>
          <w:szCs w:val="28"/>
        </w:rPr>
      </w:pPr>
      <w:r>
        <w:rPr>
          <w:rFonts w:cs="Arial"/>
          <w:b/>
          <w:bCs/>
          <w:sz w:val="28"/>
          <w:szCs w:val="28"/>
        </w:rPr>
      </w:r>
      <w:r>
        <w:br w:type="page"/>
      </w:r>
    </w:p>
    <w:p>
      <w:pPr>
        <w:pStyle w:val="Normal"/>
        <w:spacing w:before="0" w:after="160"/>
        <w:jc w:val="center"/>
        <w:rPr>
          <w:rFonts w:cs="Arial"/>
          <w:b/>
          <w:bCs/>
          <w:sz w:val="28"/>
          <w:szCs w:val="28"/>
        </w:rPr>
      </w:pPr>
      <w:r>
        <w:rPr>
          <w:rFonts w:cs="Arial"/>
          <w:b/>
          <w:bCs/>
          <w:sz w:val="28"/>
          <w:szCs w:val="28"/>
        </w:rPr>
        <w:t>Table of Contents</w:t>
      </w:r>
    </w:p>
    <w:sdt>
      <w:sdtPr>
        <w:docPartObj>
          <w:docPartGallery w:val="Table of Contents"/>
          <w:docPartUnique w:val="true"/>
        </w:docPartObj>
      </w:sdtPr>
      <w:sdtContent>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r>
            <w:fldChar w:fldCharType="begin"/>
          </w:r>
          <w:r>
            <w:rPr>
              <w:rStyle w:val="IndexLink"/>
              <w:rFonts w:cs="Arial" w:ascii="Arial" w:hAnsi="Arial"/>
              <w:vanish w:val="false"/>
              <w:webHidden/>
              <w:sz w:val="20"/>
              <w:szCs w:val="20"/>
              <w:lang w:val="en-AU" w:eastAsia="en-AU"/>
            </w:rPr>
            <w:instrText xml:space="preserve"> TOC \z \t "Heading01,1,Heading02,2,Heading03,3,caption,4" \h</w:instrText>
          </w:r>
          <w:r>
            <w:rPr>
              <w:rStyle w:val="IndexLink"/>
              <w:rFonts w:cs="Arial" w:ascii="Arial" w:hAnsi="Arial"/>
              <w:vanish w:val="false"/>
              <w:webHidden/>
              <w:sz w:val="20"/>
              <w:szCs w:val="20"/>
              <w:lang w:val="en-AU" w:eastAsia="en-AU"/>
            </w:rPr>
            <w:fldChar w:fldCharType="separate"/>
          </w:r>
          <w:hyperlink w:anchor="_Toc220351587">
            <w:r>
              <w:rPr>
                <w:rStyle w:val="IndexLink"/>
                <w:rFonts w:cs="Arial" w:ascii="Arial" w:hAnsi="Arial"/>
                <w:vanish w:val="false"/>
                <w:webHidden/>
                <w:sz w:val="20"/>
                <w:szCs w:val="20"/>
                <w:lang w:val="en-AU" w:eastAsia="en-AU"/>
              </w:rPr>
              <w:t>1.</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Executive Summary</w:t>
            </w:r>
            <w:r>
              <w:rPr>
                <w:rStyle w:val="IndexLink"/>
                <w:rFonts w:cs="Arial" w:ascii="Arial" w:hAnsi="Arial"/>
                <w:vanish/>
                <w:sz w:val="20"/>
                <w:szCs w:val="20"/>
              </w:rPr>
              <w:tab/>
            </w:r>
            <w:r>
              <w:rPr>
                <w:webHidden/>
              </w:rPr>
              <w:fldChar w:fldCharType="begin"/>
            </w:r>
            <w:r>
              <w:rPr>
                <w:webHidden/>
              </w:rPr>
              <w:instrText xml:space="preserve">PAGEREF _Toc220351587 \h</w:instrText>
            </w:r>
            <w:r>
              <w:rPr>
                <w:webHidden/>
              </w:rPr>
              <w:fldChar w:fldCharType="separate"/>
            </w:r>
            <w:r>
              <w:rPr>
                <w:rStyle w:val="IndexLink"/>
                <w:rFonts w:cs="Arial" w:ascii="Arial" w:hAnsi="Arial"/>
                <w:sz w:val="20"/>
                <w:szCs w:val="20"/>
              </w:rPr>
              <w:t>4</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588">
            <w:r>
              <w:rPr>
                <w:rStyle w:val="IndexLink"/>
                <w:rFonts w:cs="Arial" w:ascii="Arial" w:hAnsi="Arial"/>
                <w:vanish w:val="false"/>
                <w:webHidden/>
                <w:sz w:val="20"/>
                <w:szCs w:val="20"/>
                <w:lang w:val="en-AU" w:eastAsia="en-AU"/>
              </w:rPr>
              <w:t>2.</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Overall Risk Profile and Interpretation</w:t>
            </w:r>
            <w:r>
              <w:rPr>
                <w:rStyle w:val="IndexLink"/>
                <w:rFonts w:cs="Arial" w:ascii="Arial" w:hAnsi="Arial"/>
                <w:vanish/>
                <w:sz w:val="20"/>
                <w:szCs w:val="20"/>
              </w:rPr>
              <w:tab/>
            </w:r>
            <w:r>
              <w:rPr>
                <w:webHidden/>
              </w:rPr>
              <w:fldChar w:fldCharType="begin"/>
            </w:r>
            <w:r>
              <w:rPr>
                <w:webHidden/>
              </w:rPr>
              <w:instrText xml:space="preserve">PAGEREF _Toc220351588 \h</w:instrText>
            </w:r>
            <w:r>
              <w:rPr>
                <w:webHidden/>
              </w:rPr>
              <w:fldChar w:fldCharType="separate"/>
            </w:r>
            <w:r>
              <w:rPr>
                <w:rStyle w:val="IndexLink"/>
                <w:rFonts w:cs="Arial" w:ascii="Arial" w:hAnsi="Arial"/>
                <w:sz w:val="20"/>
                <w:szCs w:val="20"/>
              </w:rPr>
              <w:t>4</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589">
            <w:r>
              <w:rPr>
                <w:rStyle w:val="IndexLink"/>
                <w:rFonts w:cs="Arial" w:ascii="Arial" w:hAnsi="Arial"/>
                <w:vanish w:val="false"/>
                <w:webHidden/>
                <w:sz w:val="20"/>
                <w:szCs w:val="20"/>
                <w:lang w:val="en-AU" w:eastAsia="en-AU"/>
              </w:rPr>
              <w:t>3.</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Assessment Scope and Methodology</w:t>
            </w:r>
            <w:r>
              <w:rPr>
                <w:rStyle w:val="IndexLink"/>
                <w:rFonts w:cs="Arial" w:ascii="Arial" w:hAnsi="Arial"/>
                <w:vanish/>
                <w:sz w:val="20"/>
                <w:szCs w:val="20"/>
              </w:rPr>
              <w:tab/>
            </w:r>
            <w:r>
              <w:rPr>
                <w:webHidden/>
              </w:rPr>
              <w:fldChar w:fldCharType="begin"/>
            </w:r>
            <w:r>
              <w:rPr>
                <w:webHidden/>
              </w:rPr>
              <w:instrText xml:space="preserve">PAGEREF _Toc220351589 \h</w:instrText>
            </w:r>
            <w:r>
              <w:rPr>
                <w:webHidden/>
              </w:rPr>
              <w:fldChar w:fldCharType="separate"/>
            </w:r>
            <w:r>
              <w:rPr>
                <w:rStyle w:val="IndexLink"/>
                <w:rFonts w:cs="Arial" w:ascii="Arial" w:hAnsi="Arial"/>
                <w:sz w:val="20"/>
                <w:szCs w:val="20"/>
              </w:rPr>
              <w:t>5</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590">
            <w:r>
              <w:rPr>
                <w:rStyle w:val="IndexLink"/>
                <w:rFonts w:cs="Arial" w:ascii="Arial" w:hAnsi="Arial"/>
                <w:vanish w:val="false"/>
                <w:webHidden/>
                <w:sz w:val="20"/>
                <w:szCs w:val="20"/>
                <w:lang w:val="en-AU" w:eastAsia="en-AU"/>
              </w:rPr>
              <w:t>4.</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Part A – AI System Profile and Risk Context</w:t>
            </w:r>
            <w:r>
              <w:rPr>
                <w:rStyle w:val="IndexLink"/>
                <w:rFonts w:cs="Arial" w:ascii="Arial" w:hAnsi="Arial"/>
                <w:vanish/>
                <w:sz w:val="20"/>
                <w:szCs w:val="20"/>
              </w:rPr>
              <w:tab/>
            </w:r>
            <w:r>
              <w:rPr>
                <w:webHidden/>
              </w:rPr>
              <w:fldChar w:fldCharType="begin"/>
            </w:r>
            <w:r>
              <w:rPr>
                <w:webHidden/>
              </w:rPr>
              <w:instrText xml:space="preserve">PAGEREF _Toc220351590 \h</w:instrText>
            </w:r>
            <w:r>
              <w:rPr>
                <w:webHidden/>
              </w:rPr>
              <w:fldChar w:fldCharType="separate"/>
            </w:r>
            <w:r>
              <w:rPr>
                <w:rStyle w:val="IndexLink"/>
                <w:rFonts w:cs="Arial" w:ascii="Arial" w:hAnsi="Arial"/>
                <w:sz w:val="20"/>
                <w:szCs w:val="20"/>
              </w:rPr>
              <w:t>5</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591">
            <w:r>
              <w:rPr>
                <w:rStyle w:val="IndexLink"/>
                <w:rFonts w:cs="Arial" w:ascii="Arial" w:hAnsi="Arial"/>
                <w:vanish w:val="false"/>
                <w:webHidden/>
                <w:sz w:val="20"/>
                <w:szCs w:val="20"/>
                <w:lang w:val="en-AU" w:eastAsia="en-AU"/>
              </w:rPr>
              <w:t>4.1.</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AI Solution Fundamentals</w:t>
            </w:r>
            <w:r>
              <w:rPr>
                <w:rStyle w:val="IndexLink"/>
                <w:rFonts w:cs="Arial" w:ascii="Arial" w:hAnsi="Arial"/>
                <w:vanish/>
                <w:sz w:val="20"/>
                <w:szCs w:val="20"/>
              </w:rPr>
              <w:tab/>
            </w:r>
            <w:r>
              <w:rPr>
                <w:webHidden/>
              </w:rPr>
              <w:fldChar w:fldCharType="begin"/>
            </w:r>
            <w:r>
              <w:rPr>
                <w:webHidden/>
              </w:rPr>
              <w:instrText xml:space="preserve">PAGEREF _Toc220351591 \h</w:instrText>
            </w:r>
            <w:r>
              <w:rPr>
                <w:webHidden/>
              </w:rPr>
              <w:fldChar w:fldCharType="separate"/>
            </w:r>
            <w:r>
              <w:rPr>
                <w:rStyle w:val="IndexLink"/>
                <w:rFonts w:cs="Arial" w:ascii="Arial" w:hAnsi="Arial"/>
                <w:sz w:val="20"/>
                <w:szCs w:val="20"/>
              </w:rPr>
              <w:t>6</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592">
            <w:r>
              <w:rPr>
                <w:rStyle w:val="IndexLink"/>
                <w:rFonts w:cs="Arial"/>
                <w:vanish w:val="false"/>
                <w:webHidden/>
                <w:sz w:val="20"/>
                <w:szCs w:val="20"/>
              </w:rPr>
              <w:t>Table 1 - System Overview summary</w:t>
            </w:r>
            <w:r>
              <w:rPr>
                <w:rStyle w:val="IndexLink"/>
                <w:rFonts w:cs="Arial"/>
                <w:vanish/>
                <w:sz w:val="20"/>
                <w:szCs w:val="20"/>
              </w:rPr>
              <w:tab/>
            </w:r>
            <w:r>
              <w:rPr>
                <w:webHidden/>
              </w:rPr>
              <w:fldChar w:fldCharType="begin"/>
            </w:r>
            <w:r>
              <w:rPr>
                <w:webHidden/>
              </w:rPr>
              <w:instrText xml:space="preserve">PAGEREF _Toc220351592 \h</w:instrText>
            </w:r>
            <w:r>
              <w:rPr>
                <w:webHidden/>
              </w:rPr>
              <w:fldChar w:fldCharType="separate"/>
            </w:r>
            <w:r>
              <w:rPr>
                <w:rStyle w:val="IndexLink"/>
                <w:rFonts w:cs="Arial"/>
                <w:sz w:val="20"/>
                <w:szCs w:val="20"/>
              </w:rPr>
              <w:t>7</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593">
            <w:r>
              <w:rPr>
                <w:rStyle w:val="IndexLink"/>
                <w:rFonts w:cs="Arial" w:ascii="Arial" w:hAnsi="Arial"/>
                <w:vanish w:val="false"/>
                <w:webHidden/>
                <w:sz w:val="20"/>
                <w:szCs w:val="20"/>
                <w:lang w:val="en-AU" w:eastAsia="en-AU"/>
              </w:rPr>
              <w:t>4.2.</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Data and Inputs</w:t>
            </w:r>
            <w:r>
              <w:rPr>
                <w:rStyle w:val="IndexLink"/>
                <w:rFonts w:cs="Arial" w:ascii="Arial" w:hAnsi="Arial"/>
                <w:vanish/>
                <w:sz w:val="20"/>
                <w:szCs w:val="20"/>
              </w:rPr>
              <w:tab/>
            </w:r>
            <w:r>
              <w:rPr>
                <w:webHidden/>
              </w:rPr>
              <w:fldChar w:fldCharType="begin"/>
            </w:r>
            <w:r>
              <w:rPr>
                <w:webHidden/>
              </w:rPr>
              <w:instrText xml:space="preserve">PAGEREF _Toc220351593 \h</w:instrText>
            </w:r>
            <w:r>
              <w:rPr>
                <w:webHidden/>
              </w:rPr>
              <w:fldChar w:fldCharType="separate"/>
            </w:r>
            <w:r>
              <w:rPr>
                <w:rStyle w:val="IndexLink"/>
                <w:rFonts w:cs="Arial" w:ascii="Arial" w:hAnsi="Arial"/>
                <w:sz w:val="20"/>
                <w:szCs w:val="20"/>
              </w:rPr>
              <w:t>7</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594">
            <w:r>
              <w:rPr>
                <w:rStyle w:val="IndexLink"/>
                <w:rFonts w:cs="Arial"/>
                <w:vanish w:val="false"/>
                <w:webHidden/>
                <w:sz w:val="20"/>
                <w:szCs w:val="20"/>
              </w:rPr>
              <w:t>Table 2 – Data Characteristics summary</w:t>
            </w:r>
            <w:r>
              <w:rPr>
                <w:rStyle w:val="IndexLink"/>
                <w:rFonts w:cs="Arial"/>
                <w:vanish/>
                <w:sz w:val="20"/>
                <w:szCs w:val="20"/>
              </w:rPr>
              <w:tab/>
            </w:r>
            <w:r>
              <w:rPr>
                <w:webHidden/>
              </w:rPr>
              <w:fldChar w:fldCharType="begin"/>
            </w:r>
            <w:r>
              <w:rPr>
                <w:webHidden/>
              </w:rPr>
              <w:instrText xml:space="preserve">PAGEREF _Toc220351594 \h</w:instrText>
            </w:r>
            <w:r>
              <w:rPr>
                <w:webHidden/>
              </w:rPr>
              <w:fldChar w:fldCharType="separate"/>
            </w:r>
            <w:r>
              <w:rPr>
                <w:rStyle w:val="IndexLink"/>
                <w:rFonts w:cs="Arial"/>
                <w:sz w:val="20"/>
                <w:szCs w:val="20"/>
              </w:rPr>
              <w:t>8</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595">
            <w:r>
              <w:rPr>
                <w:rStyle w:val="IndexLink"/>
                <w:rFonts w:cs="Arial" w:ascii="Arial" w:hAnsi="Arial"/>
                <w:vanish w:val="false"/>
                <w:webHidden/>
                <w:sz w:val="20"/>
                <w:szCs w:val="20"/>
                <w:lang w:val="en-AU" w:eastAsia="en-AU"/>
              </w:rPr>
              <w:t>4.3.</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Human Interface and Impact</w:t>
            </w:r>
            <w:r>
              <w:rPr>
                <w:rStyle w:val="IndexLink"/>
                <w:rFonts w:cs="Arial" w:ascii="Arial" w:hAnsi="Arial"/>
                <w:vanish/>
                <w:sz w:val="20"/>
                <w:szCs w:val="20"/>
              </w:rPr>
              <w:tab/>
            </w:r>
            <w:r>
              <w:rPr>
                <w:webHidden/>
              </w:rPr>
              <w:fldChar w:fldCharType="begin"/>
            </w:r>
            <w:r>
              <w:rPr>
                <w:webHidden/>
              </w:rPr>
              <w:instrText xml:space="preserve">PAGEREF _Toc220351595 \h</w:instrText>
            </w:r>
            <w:r>
              <w:rPr>
                <w:webHidden/>
              </w:rPr>
              <w:fldChar w:fldCharType="separate"/>
            </w:r>
            <w:r>
              <w:rPr>
                <w:rStyle w:val="IndexLink"/>
                <w:rFonts w:cs="Arial" w:ascii="Arial" w:hAnsi="Arial"/>
                <w:sz w:val="20"/>
                <w:szCs w:val="20"/>
              </w:rPr>
              <w:t>8</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596">
            <w:r>
              <w:rPr>
                <w:rStyle w:val="IndexLink"/>
                <w:rFonts w:cs="Arial"/>
                <w:vanish w:val="false"/>
                <w:webHidden/>
                <w:sz w:val="20"/>
                <w:szCs w:val="20"/>
              </w:rPr>
              <w:t>Table 3 - Users and Stakeholders summary</w:t>
            </w:r>
            <w:r>
              <w:rPr>
                <w:rStyle w:val="IndexLink"/>
                <w:rFonts w:cs="Arial"/>
                <w:vanish/>
                <w:sz w:val="20"/>
                <w:szCs w:val="20"/>
              </w:rPr>
              <w:tab/>
            </w:r>
            <w:r>
              <w:rPr>
                <w:webHidden/>
              </w:rPr>
              <w:fldChar w:fldCharType="begin"/>
            </w:r>
            <w:r>
              <w:rPr>
                <w:webHidden/>
              </w:rPr>
              <w:instrText xml:space="preserve">PAGEREF _Toc220351596 \h</w:instrText>
            </w:r>
            <w:r>
              <w:rPr>
                <w:webHidden/>
              </w:rPr>
              <w:fldChar w:fldCharType="separate"/>
            </w:r>
            <w:r>
              <w:rPr>
                <w:rStyle w:val="IndexLink"/>
                <w:rFonts w:cs="Arial"/>
                <w:sz w:val="20"/>
                <w:szCs w:val="20"/>
              </w:rPr>
              <w:t>9</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597">
            <w:r>
              <w:rPr>
                <w:rStyle w:val="IndexLink"/>
                <w:rFonts w:cs="Arial" w:ascii="Arial" w:hAnsi="Arial"/>
                <w:vanish w:val="false"/>
                <w:webHidden/>
                <w:sz w:val="20"/>
                <w:szCs w:val="20"/>
                <w:lang w:val="en-AU" w:eastAsia="en-AU"/>
              </w:rPr>
              <w:t>4.4.</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Outputs and Actions</w:t>
            </w:r>
            <w:r>
              <w:rPr>
                <w:rStyle w:val="IndexLink"/>
                <w:rFonts w:cs="Arial" w:ascii="Arial" w:hAnsi="Arial"/>
                <w:vanish/>
                <w:sz w:val="20"/>
                <w:szCs w:val="20"/>
              </w:rPr>
              <w:tab/>
            </w:r>
            <w:r>
              <w:rPr>
                <w:webHidden/>
              </w:rPr>
              <w:fldChar w:fldCharType="begin"/>
            </w:r>
            <w:r>
              <w:rPr>
                <w:webHidden/>
              </w:rPr>
              <w:instrText xml:space="preserve">PAGEREF _Toc220351597 \h</w:instrText>
            </w:r>
            <w:r>
              <w:rPr>
                <w:webHidden/>
              </w:rPr>
              <w:fldChar w:fldCharType="separate"/>
            </w:r>
            <w:r>
              <w:rPr>
                <w:rStyle w:val="IndexLink"/>
                <w:rFonts w:cs="Arial" w:ascii="Arial" w:hAnsi="Arial"/>
                <w:sz w:val="20"/>
                <w:szCs w:val="20"/>
              </w:rPr>
              <w:t>9</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598">
            <w:r>
              <w:rPr>
                <w:rStyle w:val="IndexLink"/>
                <w:rFonts w:cs="Arial"/>
                <w:vanish w:val="false"/>
                <w:webHidden/>
                <w:sz w:val="20"/>
                <w:szCs w:val="20"/>
              </w:rPr>
              <w:t>Table 4 - Deployment Context summary</w:t>
            </w:r>
            <w:r>
              <w:rPr>
                <w:rStyle w:val="IndexLink"/>
                <w:rFonts w:cs="Arial"/>
                <w:vanish/>
                <w:sz w:val="20"/>
                <w:szCs w:val="20"/>
              </w:rPr>
              <w:tab/>
            </w:r>
            <w:r>
              <w:rPr>
                <w:webHidden/>
              </w:rPr>
              <w:fldChar w:fldCharType="begin"/>
            </w:r>
            <w:r>
              <w:rPr>
                <w:webHidden/>
              </w:rPr>
              <w:instrText xml:space="preserve">PAGEREF _Toc220351598 \h</w:instrText>
            </w:r>
            <w:r>
              <w:rPr>
                <w:webHidden/>
              </w:rPr>
              <w:fldChar w:fldCharType="separate"/>
            </w:r>
            <w:r>
              <w:rPr>
                <w:rStyle w:val="IndexLink"/>
                <w:rFonts w:cs="Arial"/>
                <w:sz w:val="20"/>
                <w:szCs w:val="20"/>
              </w:rPr>
              <w:t>11</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599">
            <w:r>
              <w:rPr>
                <w:rStyle w:val="IndexLink"/>
                <w:rFonts w:cs="Arial" w:ascii="Arial" w:hAnsi="Arial"/>
                <w:vanish w:val="false"/>
                <w:webHidden/>
                <w:sz w:val="20"/>
                <w:szCs w:val="20"/>
                <w:lang w:val="en-AU" w:eastAsia="en-AU"/>
              </w:rPr>
              <w:t>4.5.</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Governance and Oversight</w:t>
            </w:r>
            <w:r>
              <w:rPr>
                <w:rStyle w:val="IndexLink"/>
                <w:rFonts w:cs="Arial" w:ascii="Arial" w:hAnsi="Arial"/>
                <w:vanish/>
                <w:sz w:val="20"/>
                <w:szCs w:val="20"/>
              </w:rPr>
              <w:tab/>
            </w:r>
            <w:r>
              <w:rPr>
                <w:webHidden/>
              </w:rPr>
              <w:fldChar w:fldCharType="begin"/>
            </w:r>
            <w:r>
              <w:rPr>
                <w:webHidden/>
              </w:rPr>
              <w:instrText xml:space="preserve">PAGEREF _Toc220351599 \h</w:instrText>
            </w:r>
            <w:r>
              <w:rPr>
                <w:webHidden/>
              </w:rPr>
              <w:fldChar w:fldCharType="separate"/>
            </w:r>
            <w:r>
              <w:rPr>
                <w:rStyle w:val="IndexLink"/>
                <w:rFonts w:cs="Arial" w:ascii="Arial" w:hAnsi="Arial"/>
                <w:sz w:val="20"/>
                <w:szCs w:val="20"/>
              </w:rPr>
              <w:t>11</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00">
            <w:r>
              <w:rPr>
                <w:rStyle w:val="IndexLink"/>
                <w:rFonts w:cs="Arial"/>
                <w:vanish w:val="false"/>
                <w:webHidden/>
                <w:sz w:val="20"/>
                <w:szCs w:val="20"/>
              </w:rPr>
              <w:t>Table 5 - Governance and Oversight summary</w:t>
            </w:r>
            <w:r>
              <w:rPr>
                <w:rStyle w:val="IndexLink"/>
                <w:rFonts w:cs="Arial"/>
                <w:vanish/>
                <w:sz w:val="20"/>
                <w:szCs w:val="20"/>
              </w:rPr>
              <w:tab/>
            </w:r>
            <w:r>
              <w:rPr>
                <w:webHidden/>
              </w:rPr>
              <w:fldChar w:fldCharType="begin"/>
            </w:r>
            <w:r>
              <w:rPr>
                <w:webHidden/>
              </w:rPr>
              <w:instrText xml:space="preserve">PAGEREF _Toc220351600 \h</w:instrText>
            </w:r>
            <w:r>
              <w:rPr>
                <w:webHidden/>
              </w:rPr>
              <w:fldChar w:fldCharType="separate"/>
            </w:r>
            <w:r>
              <w:rPr>
                <w:rStyle w:val="IndexLink"/>
                <w:rFonts w:cs="Arial"/>
                <w:sz w:val="20"/>
                <w:szCs w:val="20"/>
              </w:rPr>
              <w:t>13</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601">
            <w:r>
              <w:rPr>
                <w:rStyle w:val="IndexLink"/>
                <w:rFonts w:cs="Arial" w:ascii="Arial" w:hAnsi="Arial"/>
                <w:vanish w:val="false"/>
                <w:webHidden/>
                <w:sz w:val="20"/>
                <w:szCs w:val="20"/>
                <w:lang w:val="en-AU" w:eastAsia="en-AU"/>
              </w:rPr>
              <w:t>5.</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Part B – AI Ethics Principles Risk Assessment</w:t>
            </w:r>
            <w:r>
              <w:rPr>
                <w:rStyle w:val="IndexLink"/>
                <w:rFonts w:cs="Arial" w:ascii="Arial" w:hAnsi="Arial"/>
                <w:vanish/>
                <w:sz w:val="20"/>
                <w:szCs w:val="20"/>
              </w:rPr>
              <w:tab/>
            </w:r>
            <w:r>
              <w:rPr>
                <w:webHidden/>
              </w:rPr>
              <w:fldChar w:fldCharType="begin"/>
            </w:r>
            <w:r>
              <w:rPr>
                <w:webHidden/>
              </w:rPr>
              <w:instrText xml:space="preserve">PAGEREF _Toc220351601 \h</w:instrText>
            </w:r>
            <w:r>
              <w:rPr>
                <w:webHidden/>
              </w:rPr>
              <w:fldChar w:fldCharType="separate"/>
            </w:r>
            <w:r>
              <w:rPr>
                <w:rStyle w:val="IndexLink"/>
                <w:rFonts w:cs="Arial" w:ascii="Arial" w:hAnsi="Arial"/>
                <w:sz w:val="20"/>
                <w:szCs w:val="20"/>
              </w:rPr>
              <w:t>13</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02">
            <w:r>
              <w:rPr>
                <w:rStyle w:val="IndexLink"/>
                <w:rFonts w:cs="Arial" w:ascii="Arial" w:hAnsi="Arial"/>
                <w:vanish w:val="false"/>
                <w:webHidden/>
                <w:sz w:val="20"/>
                <w:szCs w:val="20"/>
                <w:lang w:val="en-AU" w:eastAsia="en-AU"/>
              </w:rPr>
              <w:t>5.1.</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Accountability</w:t>
            </w:r>
            <w:r>
              <w:rPr>
                <w:rStyle w:val="IndexLink"/>
                <w:rFonts w:cs="Arial" w:ascii="Arial" w:hAnsi="Arial"/>
                <w:vanish/>
                <w:sz w:val="20"/>
                <w:szCs w:val="20"/>
              </w:rPr>
              <w:tab/>
            </w:r>
            <w:r>
              <w:rPr>
                <w:webHidden/>
              </w:rPr>
              <w:fldChar w:fldCharType="begin"/>
            </w:r>
            <w:r>
              <w:rPr>
                <w:webHidden/>
              </w:rPr>
              <w:instrText xml:space="preserve">PAGEREF _Toc220351602 \h</w:instrText>
            </w:r>
            <w:r>
              <w:rPr>
                <w:webHidden/>
              </w:rPr>
              <w:fldChar w:fldCharType="separate"/>
            </w:r>
            <w:r>
              <w:rPr>
                <w:rStyle w:val="IndexLink"/>
                <w:rFonts w:cs="Arial" w:ascii="Arial" w:hAnsi="Arial"/>
                <w:sz w:val="20"/>
                <w:szCs w:val="20"/>
              </w:rPr>
              <w:t>13</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03">
            <w:r>
              <w:rPr>
                <w:rStyle w:val="IndexLink"/>
                <w:rFonts w:cs="Arial"/>
                <w:vanish w:val="false"/>
                <w:webHidden/>
                <w:sz w:val="20"/>
                <w:szCs w:val="20"/>
              </w:rPr>
              <w:t>Table 6 - Accountability FAIRA domain risk profile</w:t>
            </w:r>
            <w:r>
              <w:rPr>
                <w:rStyle w:val="IndexLink"/>
                <w:rFonts w:cs="Arial"/>
                <w:vanish/>
                <w:sz w:val="20"/>
                <w:szCs w:val="20"/>
              </w:rPr>
              <w:tab/>
            </w:r>
            <w:r>
              <w:rPr>
                <w:webHidden/>
              </w:rPr>
              <w:fldChar w:fldCharType="begin"/>
            </w:r>
            <w:r>
              <w:rPr>
                <w:webHidden/>
              </w:rPr>
              <w:instrText xml:space="preserve">PAGEREF _Toc220351603 \h</w:instrText>
            </w:r>
            <w:r>
              <w:rPr>
                <w:webHidden/>
              </w:rPr>
              <w:fldChar w:fldCharType="separate"/>
            </w:r>
            <w:r>
              <w:rPr>
                <w:rStyle w:val="IndexLink"/>
                <w:rFonts w:cs="Arial"/>
                <w:sz w:val="20"/>
                <w:szCs w:val="20"/>
              </w:rPr>
              <w:t>15</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04">
            <w:r>
              <w:rPr>
                <w:rStyle w:val="IndexLink"/>
                <w:rFonts w:cs="Arial" w:ascii="Arial" w:hAnsi="Arial"/>
                <w:vanish w:val="false"/>
                <w:webHidden/>
                <w:sz w:val="20"/>
                <w:szCs w:val="20"/>
                <w:lang w:val="en-AU" w:eastAsia="en-AU"/>
              </w:rPr>
              <w:t>5.2.</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Contestability</w:t>
            </w:r>
            <w:r>
              <w:rPr>
                <w:rStyle w:val="IndexLink"/>
                <w:rFonts w:cs="Arial" w:ascii="Arial" w:hAnsi="Arial"/>
                <w:vanish/>
                <w:sz w:val="20"/>
                <w:szCs w:val="20"/>
              </w:rPr>
              <w:tab/>
            </w:r>
            <w:r>
              <w:rPr>
                <w:webHidden/>
              </w:rPr>
              <w:fldChar w:fldCharType="begin"/>
            </w:r>
            <w:r>
              <w:rPr>
                <w:webHidden/>
              </w:rPr>
              <w:instrText xml:space="preserve">PAGEREF _Toc220351604 \h</w:instrText>
            </w:r>
            <w:r>
              <w:rPr>
                <w:webHidden/>
              </w:rPr>
              <w:fldChar w:fldCharType="separate"/>
            </w:r>
            <w:r>
              <w:rPr>
                <w:rStyle w:val="IndexLink"/>
                <w:rFonts w:cs="Arial" w:ascii="Arial" w:hAnsi="Arial"/>
                <w:sz w:val="20"/>
                <w:szCs w:val="20"/>
              </w:rPr>
              <w:t>15</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05">
            <w:r>
              <w:rPr>
                <w:rStyle w:val="IndexLink"/>
                <w:rFonts w:cs="Arial"/>
                <w:vanish w:val="false"/>
                <w:webHidden/>
                <w:sz w:val="20"/>
                <w:szCs w:val="20"/>
              </w:rPr>
              <w:t>Table 7 - Contestability FAIRA domain risk profile</w:t>
            </w:r>
            <w:r>
              <w:rPr>
                <w:rStyle w:val="IndexLink"/>
                <w:rFonts w:cs="Arial"/>
                <w:vanish/>
                <w:sz w:val="20"/>
                <w:szCs w:val="20"/>
              </w:rPr>
              <w:tab/>
            </w:r>
            <w:r>
              <w:rPr>
                <w:webHidden/>
              </w:rPr>
              <w:fldChar w:fldCharType="begin"/>
            </w:r>
            <w:r>
              <w:rPr>
                <w:webHidden/>
              </w:rPr>
              <w:instrText xml:space="preserve">PAGEREF _Toc220351605 \h</w:instrText>
            </w:r>
            <w:r>
              <w:rPr>
                <w:webHidden/>
              </w:rPr>
              <w:fldChar w:fldCharType="separate"/>
            </w:r>
            <w:r>
              <w:rPr>
                <w:rStyle w:val="IndexLink"/>
                <w:rFonts w:cs="Arial"/>
                <w:sz w:val="20"/>
                <w:szCs w:val="20"/>
              </w:rPr>
              <w:t>17</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06">
            <w:r>
              <w:rPr>
                <w:rStyle w:val="IndexLink"/>
                <w:rFonts w:cs="Arial" w:ascii="Arial" w:hAnsi="Arial"/>
                <w:vanish w:val="false"/>
                <w:webHidden/>
                <w:sz w:val="20"/>
                <w:szCs w:val="20"/>
                <w:lang w:val="en-AU" w:eastAsia="en-AU"/>
              </w:rPr>
              <w:t>5.3.</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Fairness</w:t>
            </w:r>
            <w:r>
              <w:rPr>
                <w:rStyle w:val="IndexLink"/>
                <w:rFonts w:cs="Arial" w:ascii="Arial" w:hAnsi="Arial"/>
                <w:vanish/>
                <w:sz w:val="20"/>
                <w:szCs w:val="20"/>
              </w:rPr>
              <w:tab/>
            </w:r>
            <w:r>
              <w:rPr>
                <w:webHidden/>
              </w:rPr>
              <w:fldChar w:fldCharType="begin"/>
            </w:r>
            <w:r>
              <w:rPr>
                <w:webHidden/>
              </w:rPr>
              <w:instrText xml:space="preserve">PAGEREF _Toc220351606 \h</w:instrText>
            </w:r>
            <w:r>
              <w:rPr>
                <w:webHidden/>
              </w:rPr>
              <w:fldChar w:fldCharType="separate"/>
            </w:r>
            <w:r>
              <w:rPr>
                <w:rStyle w:val="IndexLink"/>
                <w:rFonts w:cs="Arial" w:ascii="Arial" w:hAnsi="Arial"/>
                <w:sz w:val="20"/>
                <w:szCs w:val="20"/>
              </w:rPr>
              <w:t>17</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07">
            <w:r>
              <w:rPr>
                <w:rStyle w:val="IndexLink"/>
                <w:rFonts w:cs="Arial"/>
                <w:vanish w:val="false"/>
                <w:webHidden/>
                <w:sz w:val="20"/>
                <w:szCs w:val="20"/>
              </w:rPr>
              <w:t>Table 8 - Fairness FAIRA domain risk profile</w:t>
            </w:r>
            <w:r>
              <w:rPr>
                <w:rStyle w:val="IndexLink"/>
                <w:rFonts w:cs="Arial"/>
                <w:vanish/>
                <w:sz w:val="20"/>
                <w:szCs w:val="20"/>
              </w:rPr>
              <w:tab/>
            </w:r>
            <w:r>
              <w:rPr>
                <w:webHidden/>
              </w:rPr>
              <w:fldChar w:fldCharType="begin"/>
            </w:r>
            <w:r>
              <w:rPr>
                <w:webHidden/>
              </w:rPr>
              <w:instrText xml:space="preserve">PAGEREF _Toc220351607 \h</w:instrText>
            </w:r>
            <w:r>
              <w:rPr>
                <w:webHidden/>
              </w:rPr>
              <w:fldChar w:fldCharType="separate"/>
            </w:r>
            <w:r>
              <w:rPr>
                <w:rStyle w:val="IndexLink"/>
                <w:rFonts w:cs="Arial"/>
                <w:sz w:val="20"/>
                <w:szCs w:val="20"/>
              </w:rPr>
              <w:t>19</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08">
            <w:r>
              <w:rPr>
                <w:rStyle w:val="IndexLink"/>
                <w:rFonts w:cs="Arial" w:ascii="Arial" w:hAnsi="Arial"/>
                <w:vanish w:val="false"/>
                <w:webHidden/>
                <w:sz w:val="20"/>
                <w:szCs w:val="20"/>
                <w:lang w:val="en-AU" w:eastAsia="en-AU"/>
              </w:rPr>
              <w:t>5.4.</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Human, Societal and Environmental Wellbeing</w:t>
            </w:r>
            <w:r>
              <w:rPr>
                <w:rStyle w:val="IndexLink"/>
                <w:rFonts w:cs="Arial" w:ascii="Arial" w:hAnsi="Arial"/>
                <w:vanish/>
                <w:sz w:val="20"/>
                <w:szCs w:val="20"/>
              </w:rPr>
              <w:tab/>
            </w:r>
            <w:r>
              <w:rPr>
                <w:webHidden/>
              </w:rPr>
              <w:fldChar w:fldCharType="begin"/>
            </w:r>
            <w:r>
              <w:rPr>
                <w:webHidden/>
              </w:rPr>
              <w:instrText xml:space="preserve">PAGEREF _Toc220351608 \h</w:instrText>
            </w:r>
            <w:r>
              <w:rPr>
                <w:webHidden/>
              </w:rPr>
              <w:fldChar w:fldCharType="separate"/>
            </w:r>
            <w:r>
              <w:rPr>
                <w:rStyle w:val="IndexLink"/>
                <w:rFonts w:cs="Arial" w:ascii="Arial" w:hAnsi="Arial"/>
                <w:sz w:val="20"/>
                <w:szCs w:val="20"/>
              </w:rPr>
              <w:t>19</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09">
            <w:r>
              <w:rPr>
                <w:rStyle w:val="IndexLink"/>
                <w:rFonts w:cs="Arial"/>
                <w:vanish w:val="false"/>
                <w:webHidden/>
                <w:sz w:val="20"/>
                <w:szCs w:val="20"/>
              </w:rPr>
              <w:t>Table 9 - Human, Societal and Environmental Wellbeing FAIRA domain risk profile</w:t>
            </w:r>
            <w:r>
              <w:rPr>
                <w:rStyle w:val="IndexLink"/>
                <w:rFonts w:cs="Arial"/>
                <w:vanish/>
                <w:sz w:val="20"/>
                <w:szCs w:val="20"/>
              </w:rPr>
              <w:tab/>
            </w:r>
            <w:r>
              <w:rPr>
                <w:webHidden/>
              </w:rPr>
              <w:fldChar w:fldCharType="begin"/>
            </w:r>
            <w:r>
              <w:rPr>
                <w:webHidden/>
              </w:rPr>
              <w:instrText xml:space="preserve">PAGEREF _Toc220351609 \h</w:instrText>
            </w:r>
            <w:r>
              <w:rPr>
                <w:webHidden/>
              </w:rPr>
              <w:fldChar w:fldCharType="separate"/>
            </w:r>
            <w:r>
              <w:rPr>
                <w:rStyle w:val="IndexLink"/>
                <w:rFonts w:cs="Arial"/>
                <w:sz w:val="20"/>
                <w:szCs w:val="20"/>
              </w:rPr>
              <w:t>21</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0">
            <w:r>
              <w:rPr>
                <w:rStyle w:val="IndexLink"/>
                <w:rFonts w:cs="Arial" w:ascii="Arial" w:hAnsi="Arial"/>
                <w:vanish w:val="false"/>
                <w:webHidden/>
                <w:sz w:val="20"/>
                <w:szCs w:val="20"/>
                <w:lang w:val="en-AU" w:eastAsia="en-AU"/>
              </w:rPr>
              <w:t>5.5.</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Human-Centred Values</w:t>
            </w:r>
            <w:r>
              <w:rPr>
                <w:rStyle w:val="IndexLink"/>
                <w:rFonts w:cs="Arial" w:ascii="Arial" w:hAnsi="Arial"/>
                <w:vanish/>
                <w:sz w:val="20"/>
                <w:szCs w:val="20"/>
              </w:rPr>
              <w:tab/>
            </w:r>
            <w:r>
              <w:rPr>
                <w:webHidden/>
              </w:rPr>
              <w:fldChar w:fldCharType="begin"/>
            </w:r>
            <w:r>
              <w:rPr>
                <w:webHidden/>
              </w:rPr>
              <w:instrText xml:space="preserve">PAGEREF _Toc220351610 \h</w:instrText>
            </w:r>
            <w:r>
              <w:rPr>
                <w:webHidden/>
              </w:rPr>
              <w:fldChar w:fldCharType="separate"/>
            </w:r>
            <w:r>
              <w:rPr>
                <w:rStyle w:val="IndexLink"/>
                <w:rFonts w:cs="Arial" w:ascii="Arial" w:hAnsi="Arial"/>
                <w:sz w:val="20"/>
                <w:szCs w:val="20"/>
              </w:rPr>
              <w:t>21</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11">
            <w:r>
              <w:rPr>
                <w:rStyle w:val="IndexLink"/>
                <w:rFonts w:cs="Arial"/>
                <w:vanish w:val="false"/>
                <w:webHidden/>
                <w:sz w:val="20"/>
                <w:szCs w:val="20"/>
              </w:rPr>
              <w:t>Table 10 - Human-Centred Values FAIRA domain risk profile</w:t>
            </w:r>
            <w:r>
              <w:rPr>
                <w:rStyle w:val="IndexLink"/>
                <w:rFonts w:cs="Arial"/>
                <w:vanish/>
                <w:sz w:val="20"/>
                <w:szCs w:val="20"/>
              </w:rPr>
              <w:tab/>
            </w:r>
            <w:r>
              <w:rPr>
                <w:webHidden/>
              </w:rPr>
              <w:fldChar w:fldCharType="begin"/>
            </w:r>
            <w:r>
              <w:rPr>
                <w:webHidden/>
              </w:rPr>
              <w:instrText xml:space="preserve">PAGEREF _Toc220351611 \h</w:instrText>
            </w:r>
            <w:r>
              <w:rPr>
                <w:webHidden/>
              </w:rPr>
              <w:fldChar w:fldCharType="separate"/>
            </w:r>
            <w:r>
              <w:rPr>
                <w:rStyle w:val="IndexLink"/>
                <w:rFonts w:cs="Arial"/>
                <w:sz w:val="20"/>
                <w:szCs w:val="20"/>
              </w:rPr>
              <w:t>23</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2">
            <w:r>
              <w:rPr>
                <w:rStyle w:val="IndexLink"/>
                <w:rFonts w:cs="Arial" w:ascii="Arial" w:hAnsi="Arial"/>
                <w:vanish w:val="false"/>
                <w:webHidden/>
                <w:sz w:val="20"/>
                <w:szCs w:val="20"/>
                <w:lang w:val="en-AU" w:eastAsia="en-AU"/>
              </w:rPr>
              <w:t>5.6.</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Privacy Protection and Security</w:t>
            </w:r>
            <w:r>
              <w:rPr>
                <w:rStyle w:val="IndexLink"/>
                <w:rFonts w:cs="Arial" w:ascii="Arial" w:hAnsi="Arial"/>
                <w:vanish/>
                <w:sz w:val="20"/>
                <w:szCs w:val="20"/>
              </w:rPr>
              <w:tab/>
            </w:r>
            <w:r>
              <w:rPr>
                <w:webHidden/>
              </w:rPr>
              <w:fldChar w:fldCharType="begin"/>
            </w:r>
            <w:r>
              <w:rPr>
                <w:webHidden/>
              </w:rPr>
              <w:instrText xml:space="preserve">PAGEREF _Toc220351612 \h</w:instrText>
            </w:r>
            <w:r>
              <w:rPr>
                <w:webHidden/>
              </w:rPr>
              <w:fldChar w:fldCharType="separate"/>
            </w:r>
            <w:r>
              <w:rPr>
                <w:rStyle w:val="IndexLink"/>
                <w:rFonts w:cs="Arial" w:ascii="Arial" w:hAnsi="Arial"/>
                <w:sz w:val="20"/>
                <w:szCs w:val="20"/>
              </w:rPr>
              <w:t>23</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3">
            <w:r>
              <w:rPr>
                <w:rStyle w:val="IndexLink"/>
                <w:rFonts w:cs="Arial" w:ascii="Arial" w:hAnsi="Arial"/>
                <w:vanish w:val="false"/>
                <w:webHidden/>
                <w:sz w:val="20"/>
                <w:szCs w:val="20"/>
                <w:lang w:val="en-AU" w:eastAsia="en-AU"/>
              </w:rPr>
              <w:t>5.7.</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Reliability and Safety</w:t>
            </w:r>
            <w:r>
              <w:rPr>
                <w:rStyle w:val="IndexLink"/>
                <w:rFonts w:cs="Arial" w:ascii="Arial" w:hAnsi="Arial"/>
                <w:vanish/>
                <w:sz w:val="20"/>
                <w:szCs w:val="20"/>
              </w:rPr>
              <w:tab/>
            </w:r>
            <w:r>
              <w:rPr>
                <w:webHidden/>
              </w:rPr>
              <w:fldChar w:fldCharType="begin"/>
            </w:r>
            <w:r>
              <w:rPr>
                <w:webHidden/>
              </w:rPr>
              <w:instrText xml:space="preserve">PAGEREF _Toc220351613 \h</w:instrText>
            </w:r>
            <w:r>
              <w:rPr>
                <w:webHidden/>
              </w:rPr>
              <w:fldChar w:fldCharType="separate"/>
            </w:r>
            <w:r>
              <w:rPr>
                <w:rStyle w:val="IndexLink"/>
                <w:rFonts w:cs="Arial" w:ascii="Arial" w:hAnsi="Arial"/>
                <w:sz w:val="20"/>
                <w:szCs w:val="20"/>
              </w:rPr>
              <w:t>25</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4">
            <w:r>
              <w:rPr>
                <w:rStyle w:val="IndexLink"/>
                <w:rFonts w:cs="Arial" w:ascii="Arial" w:hAnsi="Arial"/>
                <w:vanish w:val="false"/>
                <w:webHidden/>
                <w:sz w:val="20"/>
                <w:szCs w:val="20"/>
                <w:lang w:val="en-AU" w:eastAsia="en-AU"/>
              </w:rPr>
              <w:t>5.8.</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Transparency and Explainability</w:t>
            </w:r>
            <w:r>
              <w:rPr>
                <w:rStyle w:val="IndexLink"/>
                <w:rFonts w:cs="Arial" w:ascii="Arial" w:hAnsi="Arial"/>
                <w:vanish/>
                <w:sz w:val="20"/>
                <w:szCs w:val="20"/>
              </w:rPr>
              <w:tab/>
            </w:r>
            <w:r>
              <w:rPr>
                <w:webHidden/>
              </w:rPr>
              <w:fldChar w:fldCharType="begin"/>
            </w:r>
            <w:r>
              <w:rPr>
                <w:webHidden/>
              </w:rPr>
              <w:instrText xml:space="preserve">PAGEREF _Toc220351614 \h</w:instrText>
            </w:r>
            <w:r>
              <w:rPr>
                <w:webHidden/>
              </w:rPr>
              <w:fldChar w:fldCharType="separate"/>
            </w:r>
            <w:r>
              <w:rPr>
                <w:rStyle w:val="IndexLink"/>
                <w:rFonts w:cs="Arial" w:ascii="Arial" w:hAnsi="Arial"/>
                <w:sz w:val="20"/>
                <w:szCs w:val="20"/>
              </w:rPr>
              <w:t>27</w:t>
            </w:r>
            <w:r>
              <w:rPr>
                <w:webHidden/>
              </w:rPr>
              <w:fldChar w:fldCharType="end"/>
            </w:r>
          </w:hyperlink>
        </w:p>
        <w:p>
          <w:pPr>
            <w:pStyle w:val="TOC4"/>
            <w:tabs>
              <w:tab w:val="clear" w:pos="720"/>
              <w:tab w:val="right" w:pos="9016" w:leader="dot"/>
            </w:tabs>
            <w:rPr>
              <w:rFonts w:eastAsia="" w:cs="Arial" w:eastAsiaTheme="minorEastAsia"/>
              <w:sz w:val="20"/>
              <w:szCs w:val="20"/>
              <w:lang w:val="en-AU" w:eastAsia="en-AU"/>
            </w:rPr>
          </w:pPr>
          <w:hyperlink w:anchor="_Toc220351615">
            <w:r>
              <w:rPr>
                <w:rStyle w:val="IndexLink"/>
                <w:rFonts w:cs="Arial"/>
                <w:vanish w:val="false"/>
                <w:webHidden/>
                <w:sz w:val="20"/>
                <w:szCs w:val="20"/>
              </w:rPr>
              <w:t>Table 11 - Transparency and Explainability FAIRA risk domain profile</w:t>
            </w:r>
            <w:r>
              <w:rPr>
                <w:rStyle w:val="IndexLink"/>
                <w:rFonts w:cs="Arial"/>
                <w:vanish/>
                <w:sz w:val="20"/>
                <w:szCs w:val="20"/>
              </w:rPr>
              <w:tab/>
            </w:r>
            <w:r>
              <w:rPr>
                <w:webHidden/>
              </w:rPr>
              <w:fldChar w:fldCharType="begin"/>
            </w:r>
            <w:r>
              <w:rPr>
                <w:webHidden/>
              </w:rPr>
              <w:instrText xml:space="preserve">PAGEREF _Toc220351615 \h</w:instrText>
            </w:r>
            <w:r>
              <w:rPr>
                <w:webHidden/>
              </w:rPr>
              <w:fldChar w:fldCharType="separate"/>
            </w:r>
            <w:r>
              <w:rPr>
                <w:rStyle w:val="IndexLink"/>
                <w:rFonts w:cs="Arial"/>
                <w:sz w:val="20"/>
                <w:szCs w:val="20"/>
              </w:rPr>
              <w:t>28</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616">
            <w:r>
              <w:rPr>
                <w:rStyle w:val="IndexLink"/>
                <w:rFonts w:cs="Arial" w:ascii="Arial" w:hAnsi="Arial"/>
                <w:vanish w:val="false"/>
                <w:webHidden/>
                <w:sz w:val="20"/>
                <w:szCs w:val="20"/>
                <w:lang w:val="en-AU" w:eastAsia="en-AU"/>
              </w:rPr>
              <w:t>6.</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Top Risk Areas</w:t>
            </w:r>
            <w:r>
              <w:rPr>
                <w:rStyle w:val="IndexLink"/>
                <w:rFonts w:cs="Arial" w:ascii="Arial" w:hAnsi="Arial"/>
                <w:vanish/>
                <w:sz w:val="20"/>
                <w:szCs w:val="20"/>
              </w:rPr>
              <w:tab/>
            </w:r>
            <w:r>
              <w:rPr>
                <w:webHidden/>
              </w:rPr>
              <w:fldChar w:fldCharType="begin"/>
            </w:r>
            <w:r>
              <w:rPr>
                <w:webHidden/>
              </w:rPr>
              <w:instrText xml:space="preserve">PAGEREF _Toc220351616 \h</w:instrText>
            </w:r>
            <w:r>
              <w:rPr>
                <w:webHidden/>
              </w:rPr>
              <w:fldChar w:fldCharType="separate"/>
            </w:r>
            <w:r>
              <w:rPr>
                <w:rStyle w:val="IndexLink"/>
                <w:rFonts w:cs="Arial" w:ascii="Arial" w:hAnsi="Arial"/>
                <w:sz w:val="20"/>
                <w:szCs w:val="20"/>
              </w:rPr>
              <w:t>29</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617">
            <w:r>
              <w:rPr>
                <w:rStyle w:val="IndexLink"/>
                <w:rFonts w:cs="Arial" w:ascii="Arial" w:hAnsi="Arial"/>
                <w:vanish w:val="false"/>
                <w:webHidden/>
                <w:sz w:val="20"/>
                <w:szCs w:val="20"/>
                <w:lang w:val="en-AU" w:eastAsia="en-AU"/>
              </w:rPr>
              <w:t>7.</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Part C – Controls and Mitigations</w:t>
            </w:r>
            <w:r>
              <w:rPr>
                <w:rStyle w:val="IndexLink"/>
                <w:rFonts w:cs="Arial" w:ascii="Arial" w:hAnsi="Arial"/>
                <w:vanish/>
                <w:sz w:val="20"/>
                <w:szCs w:val="20"/>
              </w:rPr>
              <w:tab/>
            </w:r>
            <w:r>
              <w:rPr>
                <w:webHidden/>
              </w:rPr>
              <w:fldChar w:fldCharType="begin"/>
            </w:r>
            <w:r>
              <w:rPr>
                <w:webHidden/>
              </w:rPr>
              <w:instrText xml:space="preserve">PAGEREF _Toc220351617 \h</w:instrText>
            </w:r>
            <w:r>
              <w:rPr>
                <w:webHidden/>
              </w:rPr>
              <w:fldChar w:fldCharType="separate"/>
            </w:r>
            <w:r>
              <w:rPr>
                <w:rStyle w:val="IndexLink"/>
                <w:rFonts w:cs="Arial" w:ascii="Arial" w:hAnsi="Arial"/>
                <w:sz w:val="20"/>
                <w:szCs w:val="20"/>
              </w:rPr>
              <w:t>30</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8">
            <w:r>
              <w:rPr>
                <w:rStyle w:val="IndexLink"/>
                <w:rFonts w:cs="Arial" w:ascii="Arial" w:hAnsi="Arial"/>
                <w:vanish w:val="false"/>
                <w:webHidden/>
                <w:sz w:val="20"/>
                <w:szCs w:val="20"/>
                <w:lang w:val="en-AU" w:eastAsia="en-AU"/>
              </w:rPr>
              <w:t>7.1.</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C1 — Control Prioritisation and Approach</w:t>
            </w:r>
            <w:r>
              <w:rPr>
                <w:rStyle w:val="IndexLink"/>
                <w:rFonts w:cs="Arial" w:ascii="Arial" w:hAnsi="Arial"/>
                <w:vanish/>
                <w:sz w:val="20"/>
                <w:szCs w:val="20"/>
              </w:rPr>
              <w:tab/>
            </w:r>
            <w:r>
              <w:rPr>
                <w:webHidden/>
              </w:rPr>
              <w:fldChar w:fldCharType="begin"/>
            </w:r>
            <w:r>
              <w:rPr>
                <w:webHidden/>
              </w:rPr>
              <w:instrText xml:space="preserve">PAGEREF _Toc220351618 \h</w:instrText>
            </w:r>
            <w:r>
              <w:rPr>
                <w:webHidden/>
              </w:rPr>
              <w:fldChar w:fldCharType="separate"/>
            </w:r>
            <w:r>
              <w:rPr>
                <w:rStyle w:val="IndexLink"/>
                <w:rFonts w:cs="Arial" w:ascii="Arial" w:hAnsi="Arial"/>
                <w:sz w:val="20"/>
                <w:szCs w:val="20"/>
              </w:rPr>
              <w:t>30</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19">
            <w:r>
              <w:rPr>
                <w:rStyle w:val="IndexLink"/>
                <w:rFonts w:cs="Arial" w:ascii="Arial" w:hAnsi="Arial"/>
                <w:vanish w:val="false"/>
                <w:webHidden/>
                <w:sz w:val="20"/>
                <w:szCs w:val="20"/>
                <w:lang w:val="en-AU" w:eastAsia="en-AU"/>
              </w:rPr>
              <w:t>7.2.</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C2 — Recommended Controls by Domain</w:t>
            </w:r>
            <w:r>
              <w:rPr>
                <w:rStyle w:val="IndexLink"/>
                <w:rFonts w:cs="Arial" w:ascii="Arial" w:hAnsi="Arial"/>
                <w:vanish/>
                <w:sz w:val="20"/>
                <w:szCs w:val="20"/>
              </w:rPr>
              <w:tab/>
            </w:r>
            <w:r>
              <w:rPr>
                <w:webHidden/>
              </w:rPr>
              <w:fldChar w:fldCharType="begin"/>
            </w:r>
            <w:r>
              <w:rPr>
                <w:webHidden/>
              </w:rPr>
              <w:instrText xml:space="preserve">PAGEREF _Toc220351619 \h</w:instrText>
            </w:r>
            <w:r>
              <w:rPr>
                <w:webHidden/>
              </w:rPr>
              <w:fldChar w:fldCharType="separate"/>
            </w:r>
            <w:r>
              <w:rPr>
                <w:rStyle w:val="IndexLink"/>
                <w:rFonts w:cs="Arial" w:ascii="Arial" w:hAnsi="Arial"/>
                <w:sz w:val="20"/>
                <w:szCs w:val="20"/>
              </w:rPr>
              <w:t>30</w:t>
            </w:r>
            <w:r>
              <w:rPr>
                <w:webHidden/>
              </w:rPr>
              <w:fldChar w:fldCharType="end"/>
            </w:r>
          </w:hyperlink>
        </w:p>
        <w:p>
          <w:pPr>
            <w:pStyle w:val="TOC2"/>
            <w:tabs>
              <w:tab w:val="clear" w:pos="720"/>
              <w:tab w:val="left" w:pos="960" w:leader="none"/>
              <w:tab w:val="right" w:pos="9016" w:leader="dot"/>
            </w:tabs>
            <w:rPr>
              <w:rFonts w:ascii="Arial" w:hAnsi="Arial" w:cs="Arial"/>
              <w:kern w:val="2"/>
              <w:sz w:val="20"/>
              <w:szCs w:val="20"/>
              <w:lang w:val="en-AU" w:eastAsia="en-AU"/>
              <w14:ligatures w14:val="standardContextual"/>
            </w:rPr>
          </w:pPr>
          <w:hyperlink w:anchor="_Toc220351620">
            <w:r>
              <w:rPr>
                <w:rStyle w:val="IndexLink"/>
                <w:rFonts w:cs="Arial" w:ascii="Arial" w:hAnsi="Arial"/>
                <w:vanish w:val="false"/>
                <w:webHidden/>
                <w:sz w:val="20"/>
                <w:szCs w:val="20"/>
                <w:lang w:val="en-AU" w:eastAsia="en-AU"/>
              </w:rPr>
              <w:t>7.3.</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C3 — Existing Controls and Gaps</w:t>
            </w:r>
            <w:r>
              <w:rPr>
                <w:rStyle w:val="IndexLink"/>
                <w:rFonts w:cs="Arial" w:ascii="Arial" w:hAnsi="Arial"/>
                <w:vanish/>
                <w:sz w:val="20"/>
                <w:szCs w:val="20"/>
              </w:rPr>
              <w:tab/>
            </w:r>
            <w:r>
              <w:rPr>
                <w:webHidden/>
              </w:rPr>
              <w:fldChar w:fldCharType="begin"/>
            </w:r>
            <w:r>
              <w:rPr>
                <w:webHidden/>
              </w:rPr>
              <w:instrText xml:space="preserve">PAGEREF _Toc220351620 \h</w:instrText>
            </w:r>
            <w:r>
              <w:rPr>
                <w:webHidden/>
              </w:rPr>
              <w:fldChar w:fldCharType="separate"/>
            </w:r>
            <w:r>
              <w:rPr>
                <w:rStyle w:val="IndexLink"/>
                <w:rFonts w:cs="Arial" w:ascii="Arial" w:hAnsi="Arial"/>
                <w:sz w:val="20"/>
                <w:szCs w:val="20"/>
              </w:rPr>
              <w:t>35</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621">
            <w:r>
              <w:rPr>
                <w:rStyle w:val="IndexLink"/>
                <w:rFonts w:cs="Arial" w:ascii="Arial" w:hAnsi="Arial"/>
                <w:vanish w:val="false"/>
                <w:webHidden/>
                <w:sz w:val="20"/>
                <w:szCs w:val="20"/>
                <w:lang w:val="en-AU" w:eastAsia="en-AU"/>
              </w:rPr>
              <w:t>8.</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Governance and Assurance Posture</w:t>
            </w:r>
            <w:r>
              <w:rPr>
                <w:rStyle w:val="IndexLink"/>
                <w:rFonts w:cs="Arial" w:ascii="Arial" w:hAnsi="Arial"/>
                <w:vanish/>
                <w:sz w:val="20"/>
                <w:szCs w:val="20"/>
              </w:rPr>
              <w:tab/>
            </w:r>
            <w:r>
              <w:rPr>
                <w:webHidden/>
              </w:rPr>
              <w:fldChar w:fldCharType="begin"/>
            </w:r>
            <w:r>
              <w:rPr>
                <w:webHidden/>
              </w:rPr>
              <w:instrText xml:space="preserve">PAGEREF _Toc220351621 \h</w:instrText>
            </w:r>
            <w:r>
              <w:rPr>
                <w:webHidden/>
              </w:rPr>
              <w:fldChar w:fldCharType="separate"/>
            </w:r>
            <w:r>
              <w:rPr>
                <w:rStyle w:val="IndexLink"/>
                <w:rFonts w:cs="Arial" w:ascii="Arial" w:hAnsi="Arial"/>
                <w:sz w:val="20"/>
                <w:szCs w:val="20"/>
              </w:rPr>
              <w:t>35</w:t>
            </w:r>
            <w:r>
              <w:rPr>
                <w:webHidden/>
              </w:rPr>
              <w:fldChar w:fldCharType="end"/>
            </w:r>
          </w:hyperlink>
        </w:p>
        <w:p>
          <w:pPr>
            <w:pStyle w:val="TOC1"/>
            <w:tabs>
              <w:tab w:val="clear" w:pos="720"/>
              <w:tab w:val="left" w:pos="480" w:leader="none"/>
              <w:tab w:val="right" w:pos="9016" w:leader="dot"/>
            </w:tabs>
            <w:rPr>
              <w:rFonts w:ascii="Arial" w:hAnsi="Arial" w:cs="Arial"/>
              <w:kern w:val="2"/>
              <w:sz w:val="20"/>
              <w:szCs w:val="20"/>
              <w:lang w:val="en-AU" w:eastAsia="en-AU"/>
              <w14:ligatures w14:val="standardContextual"/>
            </w:rPr>
          </w:pPr>
          <w:hyperlink w:anchor="_Toc220351622">
            <w:r>
              <w:rPr>
                <w:rStyle w:val="IndexLink"/>
                <w:rFonts w:cs="Arial" w:ascii="Arial" w:hAnsi="Arial"/>
                <w:vanish w:val="false"/>
                <w:webHidden/>
                <w:sz w:val="20"/>
                <w:szCs w:val="20"/>
                <w:lang w:val="en-AU" w:eastAsia="en-AU"/>
              </w:rPr>
              <w:t>9.</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Decision and Next Steps</w:t>
            </w:r>
            <w:r>
              <w:rPr>
                <w:rStyle w:val="IndexLink"/>
                <w:rFonts w:cs="Arial" w:ascii="Arial" w:hAnsi="Arial"/>
                <w:vanish/>
                <w:sz w:val="20"/>
                <w:szCs w:val="20"/>
              </w:rPr>
              <w:tab/>
            </w:r>
            <w:r>
              <w:rPr>
                <w:webHidden/>
              </w:rPr>
              <w:fldChar w:fldCharType="begin"/>
            </w:r>
            <w:r>
              <w:rPr>
                <w:webHidden/>
              </w:rPr>
              <w:instrText xml:space="preserve">PAGEREF _Toc220351622 \h</w:instrText>
            </w:r>
            <w:r>
              <w:rPr>
                <w:webHidden/>
              </w:rPr>
              <w:fldChar w:fldCharType="separate"/>
            </w:r>
            <w:r>
              <w:rPr>
                <w:rStyle w:val="IndexLink"/>
                <w:rFonts w:cs="Arial" w:ascii="Arial" w:hAnsi="Arial"/>
                <w:sz w:val="20"/>
                <w:szCs w:val="20"/>
              </w:rPr>
              <w:t>36</w:t>
            </w:r>
            <w:r>
              <w:rPr>
                <w:webHidden/>
              </w:rPr>
              <w:fldChar w:fldCharType="end"/>
            </w:r>
          </w:hyperlink>
        </w:p>
        <w:p>
          <w:pPr>
            <w:pStyle w:val="TOC1"/>
            <w:tabs>
              <w:tab w:val="left" w:pos="720" w:leader="none"/>
              <w:tab w:val="right" w:pos="9016" w:leader="dot"/>
            </w:tabs>
            <w:rPr>
              <w:rFonts w:cs="" w:cstheme="minorBidi"/>
              <w:kern w:val="2"/>
              <w:sz w:val="24"/>
              <w:szCs w:val="24"/>
              <w:lang w:val="en-AU" w:eastAsia="en-AU"/>
              <w14:ligatures w14:val="standardContextual"/>
            </w:rPr>
          </w:pPr>
          <w:hyperlink w:anchor="_Toc220351623">
            <w:r>
              <w:rPr>
                <w:rStyle w:val="IndexLink"/>
                <w:rFonts w:cs="Arial" w:ascii="Arial" w:hAnsi="Arial"/>
                <w:vanish w:val="false"/>
                <w:webHidden/>
                <w:sz w:val="20"/>
                <w:szCs w:val="20"/>
                <w:lang w:val="en-AU" w:eastAsia="en-AU"/>
              </w:rPr>
              <w:t>10.</w:t>
            </w:r>
            <w:r>
              <w:rPr>
                <w:rStyle w:val="IndexLink"/>
                <w:rFonts w:cs="Arial" w:ascii="Arial" w:hAnsi="Arial"/>
                <w:kern w:val="2"/>
                <w:sz w:val="20"/>
                <w:szCs w:val="20"/>
                <w:lang w:val="en-AU" w:eastAsia="en-AU"/>
                <w14:ligatures w14:val="standardContextual"/>
              </w:rPr>
              <w:tab/>
            </w:r>
            <w:r>
              <w:rPr>
                <w:rStyle w:val="IndexLink"/>
                <w:rFonts w:cs="Arial" w:ascii="Arial" w:hAnsi="Arial"/>
                <w:sz w:val="20"/>
                <w:szCs w:val="20"/>
                <w:lang w:val="en-AU" w:eastAsia="en-AU"/>
              </w:rPr>
              <w:t>Appendix A – Supporting Artefacts</w:t>
            </w:r>
            <w:r>
              <w:rPr>
                <w:rStyle w:val="IndexLink"/>
                <w:rFonts w:cs="Arial" w:ascii="Arial" w:hAnsi="Arial"/>
                <w:vanish/>
                <w:sz w:val="20"/>
                <w:szCs w:val="20"/>
              </w:rPr>
              <w:tab/>
            </w:r>
            <w:r>
              <w:rPr>
                <w:webHidden/>
              </w:rPr>
              <w:fldChar w:fldCharType="begin"/>
            </w:r>
            <w:r>
              <w:rPr>
                <w:webHidden/>
              </w:rPr>
              <w:instrText xml:space="preserve">PAGEREF _Toc220351623 \h</w:instrText>
            </w:r>
            <w:r>
              <w:rPr>
                <w:webHidden/>
              </w:rPr>
              <w:fldChar w:fldCharType="separate"/>
            </w:r>
            <w:r>
              <w:rPr>
                <w:rStyle w:val="IndexLink"/>
                <w:rFonts w:cs="Arial" w:ascii="Arial" w:hAnsi="Arial"/>
                <w:sz w:val="20"/>
                <w:szCs w:val="20"/>
              </w:rPr>
              <w:t>36</w:t>
            </w:r>
            <w:r>
              <w:rPr>
                <w:webHidden/>
              </w:rPr>
              <w:fldChar w:fldCharType="end"/>
            </w:r>
          </w:hyperlink>
          <w:r>
            <w:rPr>
              <w:rStyle w:val="IndexLink"/>
              <w:rFonts w:cs="Arial" w:ascii="Arial" w:hAnsi="Arial"/>
              <w:sz w:val="20"/>
              <w:szCs w:val="20"/>
            </w:rPr>
            <w:fldChar w:fldCharType="end"/>
          </w:r>
        </w:p>
      </w:sdtContent>
    </w:sdt>
    <w:p>
      <w:pPr>
        <w:pStyle w:val="Normal"/>
        <w:jc w:val="center"/>
        <w:rPr>
          <w:rFonts w:cs="Arial"/>
          <w:sz w:val="32"/>
          <w:szCs w:val="32"/>
        </w:rPr>
      </w:pPr>
      <w:r>
        <w:rPr>
          <w:rFonts w:cs="Arial"/>
          <w:sz w:val="32"/>
          <w:szCs w:val="32"/>
        </w:rPr>
      </w:r>
    </w:p>
    <w:p>
      <w:pPr>
        <w:pStyle w:val="Heading01"/>
        <w:numPr>
          <w:ilvl w:val="0"/>
          <w:numId w:val="1"/>
        </w:numPr>
        <w:rPr>
          <w:lang w:val="en-AU" w:eastAsia="en-AU"/>
        </w:rPr>
      </w:pPr>
      <w:bookmarkStart w:id="0" w:name="_Toc220351587"/>
      <w:r>
        <w:rPr>
          <w:lang w:val="en-AU" w:eastAsia="en-AU"/>
        </w:rPr>
        <w:t>Executive Summary</w:t>
      </w:r>
      <w:bookmarkEnd w:id="0"/>
    </w:p>
    <w:p>
      <w:pPr>
        <w:pStyle w:val="Normal"/>
        <w:spacing w:lineRule="auto" w:line="240" w:beforeAutospacing="1" w:afterAutospacing="1"/>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pPr>
        <w:pStyle w:val="Normal"/>
        <w:spacing w:lineRule="auto" w:line="240" w:beforeAutospacing="1" w:afterAutospacing="1"/>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pPr>
        <w:pStyle w:val="Normal"/>
        <w:spacing w:lineRule="auto" w:line="240" w:beforeAutospacing="1" w:afterAutospacing="1"/>
        <w:rPr>
          <w:rFonts w:eastAsia="Times New Roman" w:cs="Arial"/>
          <w:kern w:val="0"/>
          <w:lang w:val="en-AU" w:eastAsia="en-AU"/>
          <w14:ligatures w14:val="none"/>
        </w:rPr>
      </w:pPr>
      <w:r>
        <w:rPr>
          <w:rFonts w:eastAsia="Times New Roman" w:cs="Arial"/>
          <w:kern w:val="0"/>
          <w:lang w:val="en-AU" w:eastAsia="en-AU"/>
          <w14:ligatures w14:val="none"/>
        </w:rPr>
        <w:t>{{ai.f_executive_snapshot}}</w:t>
      </w:r>
    </w:p>
    <w:p>
      <w:pPr>
        <w:pStyle w:val="Normal"/>
        <w:spacing w:lineRule="auto" w:line="240" w:beforeAutospacing="1" w:afterAutospacing="1"/>
        <w:rPr>
          <w:rFonts w:eastAsia="Times New Roman" w:cs="Arial"/>
          <w:i/>
          <w:iCs/>
          <w:color w:themeColor="text2" w:themeTint="bf" w:val="215E99"/>
          <w:kern w:val="0"/>
          <w:sz w:val="22"/>
          <w:szCs w:val="22"/>
          <w:lang w:val="en-AU" w:eastAsia="en-AU"/>
          <w14:ligatures w14:val="none"/>
        </w:rPr>
      </w:pPr>
      <w:r>
        <w:rPr>
          <w:rFonts w:eastAsia="Times New Roman" w:cs="Arial"/>
          <w:i/>
          <w:iCs/>
          <w:color w:themeColor="text2" w:themeTint="bf" w:val="215E99"/>
          <w:kern w:val="0"/>
          <w:sz w:val="22"/>
          <w:szCs w:val="22"/>
          <w:lang w:eastAsia="en-AU"/>
          <w14:ligatures w14:val="none"/>
        </w:rPr>
        <w:t>This report has been generated using the AM AI SAFE FAIRA methodology and incorporates structured assessment inputs and AI-assisted narrative content where indicated.</w:t>
      </w:r>
    </w:p>
    <w:p>
      <w:pPr>
        <w:pStyle w:val="Heading01"/>
        <w:numPr>
          <w:ilvl w:val="0"/>
          <w:numId w:val="1"/>
        </w:numPr>
        <w:rPr>
          <w:lang w:val="en-AU" w:eastAsia="en-AU"/>
        </w:rPr>
      </w:pPr>
      <w:bookmarkStart w:id="1" w:name="_Toc220351588"/>
      <w:r>
        <w:rPr>
          <w:lang w:val="en-AU" w:eastAsia="en-AU"/>
        </w:rPr>
        <w:t>Overall Risk Profile and Interpretation</w:t>
      </w:r>
      <w:bookmarkEnd w:id="1"/>
    </w:p>
    <w:p>
      <w:pPr>
        <w:pStyle w:val="Normal"/>
        <w:spacing w:lineRule="auto" w:line="240" w:before="120" w:after="120"/>
        <w:rPr/>
      </w:pPr>
      <w:r>
        <w:rP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pPr>
        <w:pStyle w:val="ListParagraph"/>
        <w:numPr>
          <w:ilvl w:val="0"/>
          <w:numId w:val="16"/>
        </w:numPr>
        <w:spacing w:lineRule="auto" w:line="240" w:before="60" w:after="60"/>
        <w:contextualSpacing w:val="false"/>
        <w:rPr/>
      </w:pPr>
      <w:r>
        <w:rPr/>
        <w:t>Accountability</w:t>
      </w:r>
    </w:p>
    <w:p>
      <w:pPr>
        <w:pStyle w:val="ListParagraph"/>
        <w:numPr>
          <w:ilvl w:val="0"/>
          <w:numId w:val="16"/>
        </w:numPr>
        <w:spacing w:lineRule="auto" w:line="240" w:before="60" w:after="60"/>
        <w:contextualSpacing w:val="false"/>
        <w:rPr/>
      </w:pPr>
      <w:r>
        <w:rPr/>
        <w:t>Contestability</w:t>
      </w:r>
    </w:p>
    <w:p>
      <w:pPr>
        <w:pStyle w:val="ListParagraph"/>
        <w:numPr>
          <w:ilvl w:val="0"/>
          <w:numId w:val="16"/>
        </w:numPr>
        <w:spacing w:lineRule="auto" w:line="240" w:before="60" w:after="60"/>
        <w:contextualSpacing w:val="false"/>
        <w:rPr/>
      </w:pPr>
      <w:r>
        <w:rPr/>
        <w:t>Fairness</w:t>
      </w:r>
    </w:p>
    <w:p>
      <w:pPr>
        <w:pStyle w:val="ListParagraph"/>
        <w:numPr>
          <w:ilvl w:val="0"/>
          <w:numId w:val="16"/>
        </w:numPr>
        <w:spacing w:lineRule="auto" w:line="240" w:before="60" w:after="60"/>
        <w:contextualSpacing w:val="false"/>
        <w:rPr/>
      </w:pPr>
      <w:r>
        <w:rPr/>
        <w:t>Human, Societal and Environmental Wellbeing</w:t>
      </w:r>
    </w:p>
    <w:p>
      <w:pPr>
        <w:pStyle w:val="ListParagraph"/>
        <w:numPr>
          <w:ilvl w:val="0"/>
          <w:numId w:val="16"/>
        </w:numPr>
        <w:spacing w:lineRule="auto" w:line="240" w:before="60" w:after="60"/>
        <w:contextualSpacing w:val="false"/>
        <w:rPr/>
      </w:pPr>
      <w:r>
        <w:rPr/>
        <w:t>Human-Centred Values</w:t>
      </w:r>
    </w:p>
    <w:p>
      <w:pPr>
        <w:pStyle w:val="ListParagraph"/>
        <w:numPr>
          <w:ilvl w:val="0"/>
          <w:numId w:val="16"/>
        </w:numPr>
        <w:spacing w:lineRule="auto" w:line="240" w:before="60" w:after="60"/>
        <w:contextualSpacing w:val="false"/>
        <w:rPr/>
      </w:pPr>
      <w:r>
        <w:rPr/>
        <w:t>Privacy Protection and Security</w:t>
      </w:r>
    </w:p>
    <w:p>
      <w:pPr>
        <w:pStyle w:val="ListParagraph"/>
        <w:numPr>
          <w:ilvl w:val="0"/>
          <w:numId w:val="16"/>
        </w:numPr>
        <w:spacing w:lineRule="auto" w:line="240" w:before="60" w:after="60"/>
        <w:contextualSpacing w:val="false"/>
        <w:rPr/>
      </w:pPr>
      <w:r>
        <w:rPr/>
        <w:t>Reliability and Safety</w:t>
      </w:r>
    </w:p>
    <w:p>
      <w:pPr>
        <w:pStyle w:val="ListParagraph"/>
        <w:numPr>
          <w:ilvl w:val="0"/>
          <w:numId w:val="16"/>
        </w:numPr>
        <w:spacing w:lineRule="auto" w:line="240" w:before="60" w:after="60"/>
        <w:contextualSpacing w:val="false"/>
        <w:rPr/>
      </w:pPr>
      <w:r>
        <w:rPr/>
        <w:t>Transparency and Explainability</w:t>
      </w:r>
    </w:p>
    <w:p>
      <w:pPr>
        <w:pStyle w:val="Normal"/>
        <w:spacing w:lineRule="auto" w:line="240" w:before="120" w:after="120"/>
        <w:rPr/>
      </w:pPr>
      <w:r>
        <w:rPr/>
        <w:t>The resulting scores provide a comparative view of risk exposure, both before and after the application of controls, and are intended to support proportionate risk management rather than indicate absolute safety or compliance.</w:t>
      </w:r>
    </w:p>
    <w:p>
      <w:pPr>
        <w:pStyle w:val="Normal"/>
        <w:spacing w:lineRule="auto" w:line="240" w:before="120" w:after="120"/>
        <w:rPr/>
      </w:pPr>
      <w:r>
        <w:rP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rPr/>
        <w:t>. The assessment also incorporates contextual risk modifiers, including system autonomy, data quality considerations, and user expertise, where applicable.</w:t>
      </w:r>
    </w:p>
    <w:p>
      <w:pPr>
        <w:pStyle w:val="Normal"/>
        <w:spacing w:lineRule="auto" w:line="240" w:before="120" w:after="120"/>
        <w:rPr/>
      </w:pPr>
      <w:r>
        <w:rPr/>
        <w:t>Domain-level scores shown below illustrate how different ethical and governance dimensions contribute to the overall risk profile.</w:t>
      </w:r>
    </w:p>
    <w:p>
      <w:pPr>
        <w:pStyle w:val="Normal"/>
        <w:spacing w:lineRule="auto" w:line="240" w:before="120" w:after="120"/>
        <w:rPr>
          <w:b/>
          <w:bCs/>
        </w:rPr>
      </w:pPr>
      <w:r>
        <w:rPr>
          <w:b/>
          <w:bCs/>
        </w:rPr>
        <w:t>Overall AI Risk Rating</w:t>
      </w:r>
    </w:p>
    <w:p>
      <w:pPr>
        <w:pStyle w:val="Normal"/>
        <w:spacing w:lineRule="auto" w:line="240" w:before="120" w:after="120"/>
        <w:rPr/>
      </w:pPr>
      <w:r>
        <w:rPr/>
        <w:t>{{risk_gauge_image}}</w:t>
      </w:r>
    </w:p>
    <w:p>
      <w:pPr>
        <w:pStyle w:val="Normal"/>
        <w:spacing w:lineRule="auto" w:line="240" w:before="120" w:after="120"/>
        <w:rPr>
          <w:i/>
          <w:iCs/>
          <w:sz w:val="22"/>
          <w:szCs w:val="22"/>
        </w:rPr>
      </w:pPr>
      <w:r>
        <w:rPr>
          <w:i/>
          <w:iCs/>
          <w:sz w:val="22"/>
          <w:szCs w:val="22"/>
        </w:rPr>
        <w:t>Figure 1. Normalised FAIRA risk score for the assessed AI system</w:t>
      </w:r>
    </w:p>
    <w:p>
      <w:pPr>
        <w:pStyle w:val="Normal"/>
        <w:spacing w:lineRule="auto" w:line="240" w:before="120" w:after="120"/>
        <w:rPr>
          <w:i/>
          <w:iCs/>
          <w:sz w:val="22"/>
          <w:szCs w:val="22"/>
        </w:rPr>
      </w:pPr>
      <w:r>
        <w:rPr>
          <w:i/>
          <w:iCs/>
          <w:sz w:val="22"/>
          <w:szCs w:val="22"/>
        </w:rPr>
      </w:r>
    </w:p>
    <w:p>
      <w:pPr>
        <w:pStyle w:val="Normal"/>
        <w:spacing w:lineRule="auto" w:line="240" w:before="120" w:after="120"/>
        <w:rPr>
          <w:b/>
          <w:bCs/>
        </w:rPr>
      </w:pPr>
      <w:r>
        <w:rPr>
          <w:b/>
          <w:bCs/>
        </w:rPr>
        <w:t>Inherent AI Risk by FAIRA Domain</w:t>
      </w:r>
    </w:p>
    <w:p>
      <w:pPr>
        <w:pStyle w:val="Normal"/>
        <w:spacing w:lineRule="auto" w:line="240" w:before="120" w:after="120"/>
        <w:rPr/>
      </w:pPr>
      <w:r>
        <w:rPr/>
        <w:t>The radar chart below shows the risk levels for each of the domains prior to the application of controls.</w:t>
      </w:r>
    </w:p>
    <w:p>
      <w:pPr>
        <w:pStyle w:val="Normal"/>
        <w:spacing w:lineRule="auto" w:line="240" w:before="120" w:after="120"/>
        <w:rPr/>
      </w:pPr>
      <w:r>
        <w:rPr/>
        <w:t>{{inherent_risk_radar}}</w:t>
      </w:r>
    </w:p>
    <w:p>
      <w:pPr>
        <w:pStyle w:val="Normal"/>
        <w:spacing w:lineRule="auto" w:line="240" w:before="120" w:after="120"/>
        <w:rPr>
          <w:i/>
          <w:iCs/>
          <w:sz w:val="22"/>
          <w:szCs w:val="22"/>
        </w:rPr>
      </w:pPr>
      <w:r>
        <w:rPr>
          <w:i/>
          <w:iCs/>
          <w:sz w:val="22"/>
          <w:szCs w:val="22"/>
        </w:rPr>
        <w:t>Figure 2. Risk levels prior to the application of controls</w:t>
      </w:r>
    </w:p>
    <w:p>
      <w:pPr>
        <w:pStyle w:val="Normal"/>
        <w:spacing w:lineRule="auto" w:line="240" w:before="120" w:after="120"/>
        <w:rPr>
          <w:b/>
          <w:bCs/>
        </w:rPr>
      </w:pPr>
      <w:r>
        <w:rPr>
          <w:b/>
          <w:bCs/>
        </w:rPr>
      </w:r>
    </w:p>
    <w:p>
      <w:pPr>
        <w:pStyle w:val="Normal"/>
        <w:spacing w:lineRule="auto" w:line="240" w:before="120" w:after="120"/>
        <w:rPr>
          <w:b/>
          <w:bCs/>
        </w:rPr>
      </w:pPr>
      <w:r>
        <w:rPr>
          <w:b/>
          <w:bCs/>
        </w:rPr>
        <w:t>Residual AI Risk by FAIRA Domain</w:t>
      </w:r>
    </w:p>
    <w:p>
      <w:pPr>
        <w:pStyle w:val="Normal"/>
        <w:spacing w:lineRule="auto" w:line="240" w:before="120" w:after="120"/>
        <w:rPr/>
      </w:pPr>
      <w:r>
        <w:rPr/>
        <w:t>The radar chart below shows the risk levels for each of the domains after considering existing controls.</w:t>
      </w:r>
    </w:p>
    <w:p>
      <w:pPr>
        <w:pStyle w:val="Normal"/>
        <w:spacing w:lineRule="auto" w:line="240" w:before="120" w:after="120"/>
        <w:rPr>
          <w:b/>
          <w:bCs/>
        </w:rPr>
      </w:pPr>
      <w:r>
        <w:rPr>
          <w:b/>
          <w:bCs/>
        </w:rPr>
      </w:r>
    </w:p>
    <w:p>
      <w:pPr>
        <w:pStyle w:val="Normal"/>
        <w:spacing w:lineRule="auto" w:line="240" w:before="120" w:after="120"/>
        <w:rPr/>
      </w:pPr>
      <w:r>
        <w:rPr/>
        <w:t>{{domain_radar_risk}}</w:t>
      </w:r>
    </w:p>
    <w:p>
      <w:pPr>
        <w:pStyle w:val="Normal"/>
        <w:spacing w:lineRule="auto" w:line="240" w:before="120" w:after="120"/>
        <w:rPr>
          <w:i/>
          <w:iCs/>
          <w:sz w:val="22"/>
          <w:szCs w:val="22"/>
        </w:rPr>
      </w:pPr>
      <w:r>
        <w:rPr>
          <w:i/>
          <w:iCs/>
          <w:sz w:val="22"/>
          <w:szCs w:val="22"/>
        </w:rPr>
        <w:t>Figure 3. Risk levels after considering existing controls</w:t>
      </w:r>
    </w:p>
    <w:p>
      <w:pPr>
        <w:pStyle w:val="Normal"/>
        <w:spacing w:lineRule="auto" w:line="240" w:before="120" w:after="120"/>
        <w:rPr>
          <w:i/>
          <w:iCs/>
          <w:sz w:val="22"/>
          <w:szCs w:val="22"/>
        </w:rPr>
      </w:pPr>
      <w:r>
        <w:rPr>
          <w:i/>
          <w:iCs/>
          <w:sz w:val="22"/>
          <w:szCs w:val="22"/>
        </w:rPr>
      </w:r>
    </w:p>
    <w:p>
      <w:pPr>
        <w:pStyle w:val="Heading01"/>
        <w:numPr>
          <w:ilvl w:val="0"/>
          <w:numId w:val="1"/>
        </w:numPr>
        <w:rPr>
          <w:lang w:val="en-AU" w:eastAsia="en-AU"/>
        </w:rPr>
      </w:pPr>
      <w:bookmarkStart w:id="2" w:name="_Toc220351589"/>
      <w:r>
        <w:rPr>
          <w:lang w:val="en-AU" w:eastAsia="en-AU"/>
        </w:rPr>
        <w:t>Assessment Scope and Methodology</w:t>
      </w:r>
      <w:bookmarkEnd w:id="2"/>
    </w:p>
    <w:p>
      <w:pPr>
        <w:pStyle w:val="Normal"/>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pPr>
        <w:pStyle w:val="Normal"/>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pPr>
        <w:pStyle w:val="Normal"/>
        <w:rPr>
          <w:lang w:eastAsia="en-AU"/>
        </w:rPr>
      </w:pPr>
      <w:r>
        <w:rPr>
          <w:lang w:eastAsia="en-AU"/>
        </w:rPr>
        <w:t>Scores are normalised to support comparison across domains and are intended to indicate relative risk exposure rather than absolute risk.</w:t>
      </w:r>
    </w:p>
    <w:p>
      <w:pPr>
        <w:pStyle w:val="Normal"/>
        <w:rPr>
          <w:lang w:val="en-AU"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pPr>
        <w:pStyle w:val="Heading01"/>
        <w:numPr>
          <w:ilvl w:val="0"/>
          <w:numId w:val="1"/>
        </w:numPr>
        <w:rPr>
          <w:lang w:val="en-AU" w:eastAsia="en-AU"/>
        </w:rPr>
      </w:pPr>
      <w:bookmarkStart w:id="3" w:name="_Toc220351590"/>
      <w:r>
        <w:rPr>
          <w:lang w:val="en-AU" w:eastAsia="en-AU"/>
        </w:rPr>
        <w:t>Part A – AI System Profile and Risk Context</w:t>
      </w:r>
      <w:bookmarkEnd w:id="3"/>
    </w:p>
    <w:p>
      <w:pPr>
        <w:pStyle w:val="Normal"/>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pPr>
        <w:pStyle w:val="Normal"/>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pPr>
        <w:pStyle w:val="Normal"/>
        <w:rPr>
          <w:lang w:eastAsia="en-AU"/>
        </w:rPr>
      </w:pPr>
      <w:r>
        <w:rPr>
          <w:lang w:eastAsia="en-AU"/>
        </w:rPr>
        <w:t>The following subsections summarise these factors in more detail.</w:t>
      </w:r>
    </w:p>
    <w:p>
      <w:pPr>
        <w:pStyle w:val="Normal"/>
        <w:rPr>
          <w:lang w:val="en-AU" w:eastAsia="en-AU"/>
        </w:rPr>
      </w:pPr>
      <w:r>
        <w:rPr>
          <w:lang w:val="en-AU" w:eastAsia="en-AU"/>
        </w:rPr>
        <w:t>The system profile and risk context are summarised across the following areas:</w:t>
      </w:r>
    </w:p>
    <w:p>
      <w:pPr>
        <w:pStyle w:val="ListParagraph"/>
        <w:numPr>
          <w:ilvl w:val="0"/>
          <w:numId w:val="2"/>
        </w:numPr>
        <w:rPr>
          <w:lang w:val="en-AU" w:eastAsia="en-AU"/>
        </w:rPr>
      </w:pPr>
      <w:r>
        <w:rPr>
          <w:lang w:val="en-AU" w:eastAsia="en-AU"/>
        </w:rPr>
        <w:t>AI Solution Fundamentals</w:t>
      </w:r>
    </w:p>
    <w:p>
      <w:pPr>
        <w:pStyle w:val="ListParagraph"/>
        <w:numPr>
          <w:ilvl w:val="0"/>
          <w:numId w:val="2"/>
        </w:numPr>
        <w:rPr>
          <w:lang w:val="en-AU" w:eastAsia="en-AU"/>
        </w:rPr>
      </w:pPr>
      <w:r>
        <w:rPr>
          <w:lang w:val="en-AU" w:eastAsia="en-AU"/>
        </w:rPr>
        <w:t>Data and Inputs</w:t>
      </w:r>
    </w:p>
    <w:p>
      <w:pPr>
        <w:pStyle w:val="ListParagraph"/>
        <w:numPr>
          <w:ilvl w:val="0"/>
          <w:numId w:val="2"/>
        </w:numPr>
        <w:rPr>
          <w:lang w:val="en-AU" w:eastAsia="en-AU"/>
        </w:rPr>
      </w:pPr>
      <w:r>
        <w:rPr>
          <w:lang w:val="en-AU" w:eastAsia="en-AU"/>
        </w:rPr>
        <w:t>Human Interface and Impact</w:t>
      </w:r>
    </w:p>
    <w:p>
      <w:pPr>
        <w:pStyle w:val="ListParagraph"/>
        <w:numPr>
          <w:ilvl w:val="0"/>
          <w:numId w:val="2"/>
        </w:numPr>
        <w:rPr>
          <w:lang w:val="en-AU" w:eastAsia="en-AU"/>
        </w:rPr>
      </w:pPr>
      <w:r>
        <w:rPr>
          <w:lang w:val="en-AU" w:eastAsia="en-AU"/>
        </w:rPr>
        <w:t>Outputs and Actions</w:t>
      </w:r>
    </w:p>
    <w:p>
      <w:pPr>
        <w:pStyle w:val="ListParagraph"/>
        <w:numPr>
          <w:ilvl w:val="0"/>
          <w:numId w:val="2"/>
        </w:numPr>
        <w:rPr>
          <w:lang w:val="en-AU" w:eastAsia="en-AU"/>
        </w:rPr>
      </w:pPr>
      <w:r>
        <w:rPr>
          <w:lang w:val="en-AU" w:eastAsia="en-AU"/>
        </w:rPr>
        <w:t>Governance and Oversight</w:t>
      </w:r>
    </w:p>
    <w:p>
      <w:pPr>
        <w:pStyle w:val="Heading02"/>
        <w:numPr>
          <w:ilvl w:val="1"/>
          <w:numId w:val="1"/>
        </w:numPr>
        <w:ind w:hanging="432" w:start="432"/>
        <w:rPr>
          <w:lang w:val="en-AU" w:eastAsia="en-AU"/>
        </w:rPr>
      </w:pPr>
      <w:bookmarkStart w:id="4" w:name="_Toc220351591"/>
      <w:r>
        <w:rPr>
          <w:lang w:val="en-AU" w:eastAsia="en-AU"/>
        </w:rPr>
        <w:t>AI Solution Fundamentals</w:t>
      </w:r>
      <w:bookmarkEnd w:id="4"/>
    </w:p>
    <w:p>
      <w:pPr>
        <w:pStyle w:val="Heading2"/>
        <w:rPr>
          <w:rFonts w:ascii="Arial" w:hAnsi="Arial" w:eastAsia="Aptos" w:cs="" w:cstheme="minorBidi" w:eastAsiaTheme="minorHAnsi"/>
          <w:i/>
          <w:iCs/>
          <w:color w:themeColor="text2" w:themeTint="bf" w:val="215E99"/>
          <w:sz w:val="22"/>
          <w:szCs w:val="22"/>
          <w:lang w:eastAsia="en-AU"/>
        </w:rPr>
      </w:pPr>
      <w:r>
        <w:rPr>
          <w:rFonts w:eastAsia="Aptos" w:cs="" w:ascii="Arial" w:hAnsi="Arial" w:cstheme="minorBidi" w:eastAsiaTheme="minorHAnsi"/>
          <w:i/>
          <w:iCs/>
          <w:color w:themeColor="text2" w:themeTint="bf" w:val="215E99"/>
          <w:sz w:val="22"/>
          <w:szCs w:val="22"/>
          <w:lang w:eastAsia="en-AU"/>
        </w:rPr>
        <w:t>Maps to FAIRA Table 1: AI solution (Questions 1.1-1.10)</w:t>
      </w:r>
    </w:p>
    <w:p>
      <w:pPr>
        <w:pStyle w:val="Heading2"/>
        <w:rPr>
          <w:rFonts w:ascii="Arial" w:hAnsi="Arial" w:eastAsia="Aptos" w:cs="" w:cstheme="minorBidi" w:eastAsiaTheme="minorHAnsi"/>
          <w:color w:val="auto"/>
          <w:sz w:val="24"/>
          <w:szCs w:val="24"/>
          <w:lang w:eastAsia="en-AU"/>
        </w:rPr>
      </w:pPr>
      <w:r>
        <w:rPr>
          <w:rFonts w:eastAsia="Aptos" w:cs="" w:ascii="Arial" w:hAnsi="Arial" w:cstheme="minorBidi" w:eastAsiaTheme="minorHAns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pPr>
        <w:pStyle w:val="Normal"/>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pPr>
        <w:pStyle w:val="Normal"/>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157"/>
        <w:gridCol w:w="6869"/>
      </w:tblGrid>
      <w:tr>
        <w:trPr>
          <w:tblHeader w:val="true"/>
        </w:trPr>
        <w:tc>
          <w:tcPr>
            <w:tcW w:w="2157"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Attribute</w:t>
            </w:r>
          </w:p>
        </w:tc>
        <w:tc>
          <w:tcPr>
            <w:tcW w:w="686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Primary function</w:t>
            </w:r>
          </w:p>
        </w:tc>
        <w:tc>
          <w:tcPr>
            <w:tcW w:w="686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faira_form.A1_1 | format_list }}</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AI capabilities</w:t>
            </w:r>
          </w:p>
        </w:tc>
        <w:tc>
          <w:tcPr>
            <w:tcW w:w="686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faira_form.A1_3 | format_list }}</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Decision support</w:t>
            </w:r>
          </w:p>
        </w:tc>
        <w:tc>
          <w:tcPr>
            <w:tcW w:w="686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faira_form.A1_4 | format_list }}</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AI techniques used</w:t>
            </w:r>
          </w:p>
        </w:tc>
        <w:tc>
          <w:tcPr>
            <w:tcW w:w="686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faira_form.A1_7 | format_list }}</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Solution source</w:t>
            </w:r>
          </w:p>
        </w:tc>
        <w:tc>
          <w:tcPr>
            <w:tcW w:w="686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faira_form.A1_8 | format_list }}</w:t>
            </w:r>
          </w:p>
        </w:tc>
      </w:tr>
      <w:tr>
        <w:trPr/>
        <w:tc>
          <w:tcPr>
            <w:tcW w:w="215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System integrations</w:t>
            </w:r>
          </w:p>
        </w:tc>
        <w:tc>
          <w:tcPr>
            <w:tcW w:w="6869"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 faira_form.A1_9 | format_list }}</w:t>
            </w:r>
          </w:p>
        </w:tc>
      </w:tr>
    </w:tbl>
    <w:p>
      <w:pPr>
        <w:pStyle w:val="Caption"/>
        <w:rPr>
          <w:lang w:eastAsia="en-AU"/>
        </w:rPr>
      </w:pPr>
      <w:bookmarkStart w:id="5" w:name="_Toc220351592"/>
      <w:r>
        <w:rPr/>
        <w:t xml:space="preserve">Table </w:t>
      </w:r>
      <w:r>
        <w:rPr/>
        <w:fldChar w:fldCharType="begin"/>
      </w:r>
      <w:r>
        <w:rPr/>
        <w:instrText xml:space="preserve"> SEQ Table \* ARABIC </w:instrText>
      </w:r>
      <w:r>
        <w:rPr/>
        <w:fldChar w:fldCharType="separate"/>
      </w:r>
      <w:r>
        <w:rPr/>
        <w:t>1</w:t>
      </w:r>
      <w:r>
        <w:rPr/>
        <w:fldChar w:fldCharType="end"/>
      </w:r>
      <w:r>
        <w:rPr/>
        <w:t xml:space="preserve"> - System Overview summary</w:t>
      </w:r>
      <w:bookmarkEnd w:id="5"/>
    </w:p>
    <w:p>
      <w:pPr>
        <w:pStyle w:val="Heading02"/>
        <w:numPr>
          <w:ilvl w:val="1"/>
          <w:numId w:val="1"/>
        </w:numPr>
        <w:ind w:hanging="432" w:start="432"/>
        <w:rPr>
          <w:lang w:val="en-AU" w:eastAsia="en-AU"/>
        </w:rPr>
      </w:pPr>
      <w:bookmarkStart w:id="6" w:name="_Toc220351593"/>
      <w:r>
        <w:rPr>
          <w:lang w:val="en-AU" w:eastAsia="en-AU"/>
        </w:rPr>
        <w:t>Data and Inputs</w:t>
      </w:r>
      <w:bookmarkEnd w:id="6"/>
    </w:p>
    <w:p>
      <w:pPr>
        <w:pStyle w:val="Heading2"/>
        <w:rPr>
          <w:rFonts w:ascii="Arial" w:hAnsi="Arial" w:eastAsia="Aptos" w:cs="" w:cstheme="minorBidi" w:eastAsiaTheme="minorHAnsi"/>
          <w:i/>
          <w:iCs/>
          <w:color w:themeColor="text2" w:themeTint="bf" w:val="215E99"/>
          <w:sz w:val="22"/>
          <w:szCs w:val="22"/>
          <w:lang w:eastAsia="en-AU"/>
        </w:rPr>
      </w:pPr>
      <w:r>
        <w:rPr>
          <w:rFonts w:eastAsia="Aptos" w:cs="" w:ascii="Arial" w:hAnsi="Arial" w:cstheme="minorBidi" w:eastAsiaTheme="minorHAnsi"/>
          <w:i/>
          <w:iCs/>
          <w:color w:themeColor="text2" w:themeTint="bf" w:val="215E99"/>
          <w:sz w:val="22"/>
          <w:szCs w:val="22"/>
          <w:lang w:eastAsia="en-AU"/>
        </w:rPr>
        <w:t>Maps to FAIRA 1.8-1.9 (data used and data quality) and AI use inputs (Table 3)</w:t>
      </w:r>
    </w:p>
    <w:p>
      <w:pPr>
        <w:pStyle w:val="Normal"/>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pPr>
        <w:pStyle w:val="Normal"/>
        <w:rPr>
          <w:lang w:val="en-AU" w:eastAsia="en-AU"/>
        </w:rPr>
      </w:pPr>
      <w:r>
        <w:rPr>
          <w:lang w:val="en-AU" w:eastAsia="en-AU"/>
        </w:rPr>
        <w:t>The AI system relies on input data that is tracked and recorded using {{ faira_form.A2_1 | format_list }}.</w:t>
      </w:r>
    </w:p>
    <w:p>
      <w:pPr>
        <w:pStyle w:val="Normal"/>
        <w:rPr/>
      </w:pPr>
      <w:r>
        <w:rPr/>
        <w:t>{%p if faira_form.A2_2 == "Yes" %}</w:t>
      </w:r>
    </w:p>
    <w:p>
      <w:pPr>
        <w:pStyle w:val="Normal"/>
        <w:rPr/>
      </w:pPr>
      <w:r>
        <w:rP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pPr>
        <w:pStyle w:val="Normal"/>
        <w:rPr/>
      </w:pPr>
      <w:r>
        <w:rP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pPr>
        <w:pStyle w:val="Normal"/>
        <w:rPr/>
      </w:pPr>
      <w:r>
        <w:rPr/>
        <w:t>{% if faira_form.A2_2_notes %}. Additional notes: {{ faira_form.A2_2_notes }}{% endif %}</w:t>
      </w:r>
    </w:p>
    <w:p>
      <w:pPr>
        <w:pStyle w:val="Normal"/>
        <w:rPr/>
      </w:pPr>
      <w:r>
        <w:rPr/>
        <w:t>{%p else %}</w:t>
      </w:r>
    </w:p>
    <w:p>
      <w:pPr>
        <w:pStyle w:val="Normal"/>
        <w:rPr/>
      </w:pPr>
      <w:r>
        <w:rPr/>
        <w:t>The assessment indicates that the AI system does not require data from digital or physical environmental sources.</w:t>
      </w:r>
    </w:p>
    <w:p>
      <w:pPr>
        <w:pStyle w:val="Normal"/>
        <w:rPr/>
      </w:pPr>
      <w:r>
        <w:rPr/>
        <w:t>{%p endif %}</w:t>
      </w:r>
    </w:p>
    <w:p>
      <w:pPr>
        <w:pStyle w:val="Normal"/>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pPr>
        <w:pStyle w:val="Normal"/>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pPr>
        <w:pStyle w:val="Normal"/>
        <w:rPr>
          <w:lang w:val="en-AU" w:eastAsia="en-AU"/>
        </w:rPr>
      </w:pPr>
      <w:r>
        <w:rPr>
          <w:lang w:val="en-AU" w:eastAsia="en-AU"/>
        </w:rPr>
        <w:t>The quality of the input data has been rated as follows:</w:t>
      </w:r>
    </w:p>
    <w:p>
      <w:pPr>
        <w:pStyle w:val="ListParagraph"/>
        <w:numPr>
          <w:ilvl w:val="0"/>
          <w:numId w:val="4"/>
        </w:numPr>
        <w:spacing w:before="60" w:after="60"/>
        <w:contextualSpacing w:val="false"/>
        <w:rPr>
          <w:b/>
          <w:bCs/>
          <w:lang w:val="en-AU" w:eastAsia="en-AU"/>
        </w:rPr>
      </w:pPr>
      <w:r>
        <w:rPr>
          <w:lang w:val="en-AU" w:eastAsia="en-AU"/>
        </w:rPr>
        <w:t xml:space="preserve">Accuracy: </w:t>
      </w:r>
      <w:r>
        <w:rPr>
          <w:b/>
          <w:bCs/>
          <w:lang w:eastAsia="en-AU"/>
        </w:rPr>
        <w:t>{{ faira_form.A2_5_accuracy | rating_label }}</w:t>
      </w:r>
    </w:p>
    <w:p>
      <w:pPr>
        <w:pStyle w:val="ListParagraph"/>
        <w:numPr>
          <w:ilvl w:val="0"/>
          <w:numId w:val="4"/>
        </w:numPr>
        <w:spacing w:before="60" w:after="60"/>
        <w:contextualSpacing w:val="false"/>
        <w:rPr>
          <w:lang w:val="en-AU" w:eastAsia="en-AU"/>
        </w:rPr>
      </w:pPr>
      <w:r>
        <w:rPr>
          <w:lang w:val="en-AU" w:eastAsia="en-AU"/>
        </w:rPr>
        <w:t xml:space="preserve">Completeness: </w:t>
      </w:r>
      <w:r>
        <w:rPr>
          <w:b/>
          <w:bCs/>
          <w:lang w:eastAsia="en-AU"/>
        </w:rPr>
        <w:t>{{ faira_form.A2_5_completeness | rating_label }}</w:t>
      </w:r>
    </w:p>
    <w:p>
      <w:pPr>
        <w:pStyle w:val="ListParagraph"/>
        <w:numPr>
          <w:ilvl w:val="0"/>
          <w:numId w:val="4"/>
        </w:numPr>
        <w:spacing w:before="60" w:after="60"/>
        <w:contextualSpacing w:val="false"/>
        <w:rPr>
          <w:lang w:val="en-AU" w:eastAsia="en-AU"/>
        </w:rPr>
      </w:pPr>
      <w:r>
        <w:rPr>
          <w:lang w:val="en-AU" w:eastAsia="en-AU"/>
        </w:rPr>
        <w:t xml:space="preserve">Reliability: </w:t>
      </w:r>
      <w:r>
        <w:rPr>
          <w:b/>
          <w:bCs/>
          <w:lang w:eastAsia="en-AU"/>
        </w:rPr>
        <w:t>{{ faira_form.A2_5_reliability | rating_label }}</w:t>
      </w:r>
    </w:p>
    <w:p>
      <w:pPr>
        <w:pStyle w:val="ListParagraph"/>
        <w:numPr>
          <w:ilvl w:val="0"/>
          <w:numId w:val="4"/>
        </w:numPr>
        <w:spacing w:before="60" w:after="60"/>
        <w:contextualSpacing w:val="false"/>
        <w:rPr>
          <w:b/>
          <w:bCs/>
          <w:lang w:val="en-AU" w:eastAsia="en-AU"/>
        </w:rPr>
      </w:pPr>
      <w:r>
        <w:rPr>
          <w:lang w:val="en-AU" w:eastAsia="en-AU"/>
        </w:rPr>
        <w:t xml:space="preserve">Relevance: </w:t>
      </w:r>
      <w:r>
        <w:rPr>
          <w:b/>
          <w:bCs/>
          <w:lang w:eastAsia="en-AU"/>
        </w:rPr>
        <w:t>{{ faira_form.A2_5_relevance | rating_label }}</w:t>
      </w:r>
    </w:p>
    <w:p>
      <w:pPr>
        <w:pStyle w:val="ListParagraph"/>
        <w:numPr>
          <w:ilvl w:val="0"/>
          <w:numId w:val="4"/>
        </w:numPr>
        <w:spacing w:before="60" w:after="60"/>
        <w:contextualSpacing w:val="false"/>
        <w:rPr>
          <w:lang w:val="en-AU" w:eastAsia="en-AU"/>
        </w:rPr>
      </w:pPr>
      <w:r>
        <w:rPr>
          <w:lang w:val="en-AU" w:eastAsia="en-AU"/>
        </w:rPr>
        <w:t xml:space="preserve">Timeliness: </w:t>
      </w:r>
      <w:r>
        <w:rPr>
          <w:b/>
          <w:bCs/>
          <w:lang w:eastAsia="en-AU"/>
        </w:rPr>
        <w:t>{{ faira_form.A2_5_timeliness | rating_label }}</w:t>
      </w:r>
    </w:p>
    <w:p>
      <w:pPr>
        <w:pStyle w:val="Normal"/>
        <w:spacing w:before="60" w:after="60"/>
        <w:rPr>
          <w:lang w:val="en-AU" w:eastAsia="en-AU"/>
        </w:rPr>
      </w:pPr>
      <w:r>
        <w:rPr>
          <w:lang w:val="en-AU" w:eastAsia="en-AU"/>
        </w:rPr>
      </w:r>
    </w:p>
    <w:p>
      <w:pPr>
        <w:pStyle w:val="Normal"/>
        <w:spacing w:before="60" w:after="60"/>
        <w:rPr>
          <w:lang w:val="en-AU" w:eastAsia="en-AU"/>
        </w:rPr>
      </w:pPr>
      <w:r>
        <w:rPr>
          <w:lang w:val="en-AU" w:eastAsia="en-AU"/>
        </w:rPr>
        <w:t>{%p if faira_form.A2_7 == "Yes" %}</w:t>
      </w:r>
    </w:p>
    <w:p>
      <w:pPr>
        <w:pStyle w:val="Normal"/>
        <w:spacing w:before="60" w:after="60"/>
        <w:rPr>
          <w:lang w:val="en-AU" w:eastAsia="en-AU"/>
        </w:rPr>
      </w:pPr>
      <w:r>
        <w:rPr>
          <w:lang w:val="en-AU" w:eastAsia="en-AU"/>
        </w:rPr>
        <w:t>The AI system has been identified as using regulated or sensitive data. The categories of regulated or sensitive data involved include {{ faira_form.A2_7_data_types | format_list }}.</w:t>
      </w:r>
    </w:p>
    <w:p>
      <w:pPr>
        <w:pStyle w:val="Normal"/>
        <w:spacing w:before="60" w:after="60"/>
        <w:rPr>
          <w:lang w:val="en-AU" w:eastAsia="en-AU"/>
        </w:rPr>
      </w:pPr>
      <w:r>
        <w:rPr>
          <w:lang w:val="en-AU" w:eastAsia="en-AU"/>
        </w:rPr>
        <w:t>{%p else %}</w:t>
      </w:r>
    </w:p>
    <w:p>
      <w:pPr>
        <w:pStyle w:val="Normal"/>
        <w:spacing w:before="60" w:after="60"/>
        <w:rPr>
          <w:lang w:val="en-AU" w:eastAsia="en-AU"/>
        </w:rPr>
      </w:pPr>
      <w:r>
        <w:rPr>
          <w:lang w:val="en-AU" w:eastAsia="en-AU"/>
        </w:rPr>
        <w:t>The organisation has indicated that the AI system does not use regulated or sensitive data.</w:t>
      </w:r>
    </w:p>
    <w:p>
      <w:pPr>
        <w:pStyle w:val="Normal"/>
        <w:spacing w:before="60" w:after="60"/>
        <w:rPr>
          <w:lang w:val="en-AU" w:eastAsia="en-AU"/>
        </w:rPr>
      </w:pPr>
      <w:r>
        <w:rPr>
          <w:lang w:val="en-AU" w:eastAsia="en-AU"/>
        </w:rPr>
        <w:t>{%p endif %}</w:t>
      </w:r>
    </w:p>
    <w:p>
      <w:pPr>
        <w:pStyle w:val="Normal"/>
        <w:spacing w:before="60" w:after="60"/>
        <w:rPr>
          <w:lang w:val="en-AU" w:eastAsia="en-AU"/>
        </w:rPr>
      </w:pPr>
      <w:r>
        <w:rPr>
          <w:lang w:val="en-AU" w:eastAsia="en-AU"/>
        </w:rPr>
        <w:t>{%p if faira_form.A2_8 == "Yes" %}</w:t>
      </w:r>
    </w:p>
    <w:p>
      <w:pPr>
        <w:pStyle w:val="Normal"/>
        <w:spacing w:before="60" w:after="60"/>
        <w:rPr>
          <w:lang w:val="en-AU" w:eastAsia="en-AU"/>
        </w:rPr>
      </w:pPr>
      <w:r>
        <w:rPr>
          <w:lang w:val="en-AU" w:eastAsia="en-AU"/>
        </w:rPr>
        <w:t>The AI system requires user-provided inputs to operate. These inputs include {{ faira_form.A2_8_types | format_list }}.</w:t>
      </w:r>
    </w:p>
    <w:p>
      <w:pPr>
        <w:pStyle w:val="Normal"/>
        <w:spacing w:before="60" w:after="60"/>
        <w:rPr>
          <w:lang w:val="en-AU" w:eastAsia="en-AU"/>
        </w:rPr>
      </w:pPr>
      <w:r>
        <w:rPr>
          <w:lang w:val="en-AU" w:eastAsia="en-AU"/>
        </w:rPr>
        <w:t>{%p else %}</w:t>
      </w:r>
    </w:p>
    <w:p>
      <w:pPr>
        <w:pStyle w:val="Normal"/>
        <w:spacing w:before="60" w:after="60"/>
        <w:rPr>
          <w:lang w:val="en-AU" w:eastAsia="en-AU"/>
        </w:rPr>
      </w:pPr>
      <w:r>
        <w:rPr>
          <w:lang w:val="en-AU" w:eastAsia="en-AU"/>
        </w:rPr>
        <w:t>The AI system does not require direct user inputs as part of its operation.</w:t>
      </w:r>
    </w:p>
    <w:p>
      <w:pPr>
        <w:pStyle w:val="Normal"/>
        <w:spacing w:before="60" w:after="60"/>
        <w:rPr>
          <w:lang w:val="en-AU" w:eastAsia="en-AU"/>
        </w:rPr>
      </w:pPr>
      <w:r>
        <w:rPr>
          <w:lang w:val="en-AU" w:eastAsia="en-AU"/>
        </w:rPr>
        <w:t>{%p endif %}</w:t>
      </w:r>
    </w:p>
    <w:p>
      <w:pPr>
        <w:pStyle w:val="Normal"/>
        <w:spacing w:before="60" w:after="60"/>
        <w:rPr>
          <w:lang w:val="en-AU" w:eastAsia="en-AU"/>
        </w:rPr>
      </w:pPr>
      <w:r>
        <w:rPr>
          <w:lang w:val="en-AU" w:eastAsia="en-AU"/>
        </w:rPr>
        <w:t>Together, these data characteristics inform the assessment of privacy, security, fairness, and reliability risks examined in later sections of this report.</w:t>
      </w:r>
    </w:p>
    <w:p>
      <w:pPr>
        <w:pStyle w:val="Normal"/>
        <w:spacing w:before="60" w:after="60"/>
        <w:rPr>
          <w:lang w:eastAsia="en-AU"/>
        </w:rPr>
      </w:pPr>
      <w:r>
        <w:rPr>
          <w:lang w:eastAsia="en-AU"/>
        </w:rPr>
        <w:t>A summary of key data characteristics is provided below for reference.</w:t>
      </w:r>
    </w:p>
    <w:p>
      <w:pPr>
        <w:pStyle w:val="Normal"/>
        <w:spacing w:before="60" w:after="60"/>
        <w:rPr>
          <w:sz w:val="20"/>
          <w:szCs w:val="20"/>
          <w:lang w:val="en-AU" w:eastAsia="en-AU"/>
        </w:rPr>
      </w:pPr>
      <w:r>
        <w:rPr>
          <w:sz w:val="20"/>
          <w:szCs w:val="20"/>
          <w:lang w:val="en-AU" w:eastAsia="en-AU"/>
        </w:rPr>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236"/>
        <w:gridCol w:w="6790"/>
      </w:tblGrid>
      <w:tr>
        <w:trPr>
          <w:tblHeader w:val="true"/>
        </w:trPr>
        <w:tc>
          <w:tcPr>
            <w:tcW w:w="2236"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Data Aspect</w:t>
            </w:r>
          </w:p>
        </w:tc>
        <w:tc>
          <w:tcPr>
            <w:tcW w:w="679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External / environmental data required</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faira_form.A2_2 if faira_form.A2_2 else "Not specified"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Data sources</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faira_form.A2_2 == "Yes" %}{{ faira_form.A2_2_sources | format_list if faira_form.A2_2_sources else "Not specified" }}{% else %}Not applicable{%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Data types</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faira_form.A2_2 == "Yes" %}{{ faira_form.A2_2_data_types | format_list if faira_form.A2_2_data_types else "Not specified" }}{% else %}Not applicable{%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User ability to limit data</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faira_form.A2_2 == "Yes" %}{{ faira_form.A2_2_user_limits if faira_form.A2_2_user_limits else "Not specified" }}{% else %}Not applicable{%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Data traceability</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faira_form.A2_2 == "Yes" %}{{ faira_form.A2_2_traceability if faira_form.A2_2_traceability else "Not specified" }}{% else %}Not applicable{%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Traceability mechanisms</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rPr>
            </w:pPr>
            <w:r>
              <w:rPr>
                <w:sz w:val="20"/>
                <w:szCs w:val="20"/>
              </w:rPr>
              <w:t>Notes</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rPr>
            </w:pPr>
            <w:r>
              <w:rPr>
                <w:sz w:val="20"/>
                <w:szCs w:val="20"/>
              </w:rPr>
              <w:t>{% if faira_form.A2_2 == "Yes" and faira_form.A2_2_notes %}{{ faira_form.A2_2_notes }}{% else %}—{% endif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Data integrity safeguards</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faira_form.A2_3 | format_list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Data types used</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faira_form.A2_4 | format_list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Business Impact Level (BIL)</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faira_form.A2_6 if faira_form.A2_6 else "Not specified" }}</w:t>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Regulated or sensitive data</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60" w:after="60"/>
              <w:rPr>
                <w:lang w:val="en-AU" w:eastAsia="en-AU"/>
              </w:rPr>
            </w:pPr>
            <w:r>
              <w:rPr>
                <w:sz w:val="20"/>
                <w:szCs w:val="20"/>
                <w:lang w:val="en-AU" w:eastAsia="en-AU"/>
              </w:rPr>
              <w:t>{% if faira_form.A2_7 == "Yes" %}Yes — {{ faira_form.A2_7_data_types | format_list }}{% endif %}</w:t>
            </w:r>
          </w:p>
          <w:p>
            <w:pPr>
              <w:pStyle w:val="Normal"/>
              <w:spacing w:before="0" w:after="160"/>
              <w:rPr>
                <w:sz w:val="20"/>
                <w:szCs w:val="20"/>
                <w:lang w:val="en-AU" w:eastAsia="en-AU"/>
              </w:rPr>
            </w:pPr>
            <w:r>
              <w:rPr>
                <w:sz w:val="20"/>
                <w:szCs w:val="20"/>
                <w:lang w:val="en-AU" w:eastAsia="en-AU"/>
              </w:rPr>
            </w:r>
          </w:p>
        </w:tc>
      </w:tr>
      <w:tr>
        <w:trPr/>
        <w:tc>
          <w:tcPr>
            <w:tcW w:w="223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User-provided inputs required</w:t>
            </w:r>
          </w:p>
        </w:tc>
        <w:tc>
          <w:tcPr>
            <w:tcW w:w="679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if faira_form.A2_8 == "Yes" %}Yes — {{ faira_form.A2_8_types | format_list }}{% endif %}</w:t>
            </w:r>
          </w:p>
        </w:tc>
      </w:tr>
    </w:tbl>
    <w:p>
      <w:pPr>
        <w:pStyle w:val="Caption"/>
        <w:rPr>
          <w:lang w:eastAsia="en-AU"/>
        </w:rPr>
      </w:pPr>
      <w:bookmarkStart w:id="7" w:name="_Toc220351594"/>
      <w:r>
        <w:rPr/>
        <w:t xml:space="preserve">Table </w:t>
      </w:r>
      <w:r>
        <w:rPr/>
        <w:fldChar w:fldCharType="begin"/>
      </w:r>
      <w:r>
        <w:rPr/>
        <w:instrText xml:space="preserve"> SEQ Table \* ARABIC </w:instrText>
      </w:r>
      <w:r>
        <w:rPr/>
        <w:fldChar w:fldCharType="separate"/>
      </w:r>
      <w:r>
        <w:rPr/>
        <w:t>2</w:t>
      </w:r>
      <w:r>
        <w:rPr/>
        <w:fldChar w:fldCharType="end"/>
      </w:r>
      <w:r>
        <w:rPr/>
        <w:t xml:space="preserve"> – Data Characteristics summary</w:t>
      </w:r>
      <w:bookmarkEnd w:id="7"/>
    </w:p>
    <w:p>
      <w:pPr>
        <w:pStyle w:val="Heading02"/>
        <w:numPr>
          <w:ilvl w:val="1"/>
          <w:numId w:val="1"/>
        </w:numPr>
        <w:ind w:hanging="432" w:start="432"/>
        <w:rPr>
          <w:lang w:val="en-AU" w:eastAsia="en-AU"/>
        </w:rPr>
      </w:pPr>
      <w:bookmarkStart w:id="8" w:name="_Toc220351595"/>
      <w:r>
        <w:rPr>
          <w:lang w:val="en-AU" w:eastAsia="en-AU"/>
        </w:rPr>
        <w:t>Human Interface and Impact</w:t>
      </w:r>
      <w:bookmarkEnd w:id="8"/>
    </w:p>
    <w:p>
      <w:pPr>
        <w:pStyle w:val="Heading2"/>
        <w:rPr>
          <w:rFonts w:ascii="Arial" w:hAnsi="Arial" w:eastAsia="Aptos" w:cs="" w:cstheme="minorBidi" w:eastAsiaTheme="minorHAnsi"/>
          <w:i/>
          <w:iCs/>
          <w:color w:themeColor="text2" w:themeTint="bf" w:val="215E99"/>
          <w:sz w:val="22"/>
          <w:szCs w:val="22"/>
          <w:lang w:eastAsia="en-AU"/>
        </w:rPr>
      </w:pPr>
      <w:r>
        <w:rPr>
          <w:rFonts w:eastAsia="Aptos" w:cs="" w:ascii="Arial" w:hAnsi="Arial" w:cstheme="minorBidi" w:eastAsiaTheme="minorHAnsi"/>
          <w:i/>
          <w:iCs/>
          <w:color w:themeColor="text2" w:themeTint="bf" w:val="215E99"/>
          <w:sz w:val="22"/>
          <w:szCs w:val="22"/>
          <w:lang w:eastAsia="en-AU"/>
        </w:rPr>
        <w:t>Maps to FAIRA Table 2 (HMI) and Table 5 (Object of AI action)</w:t>
      </w:r>
    </w:p>
    <w:p>
      <w:pPr>
        <w:pStyle w:val="Normal"/>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pPr>
        <w:pStyle w:val="Normal"/>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pPr>
        <w:pStyle w:val="Normal"/>
        <w:rPr>
          <w:lang w:val="en-AU" w:eastAsia="en-AU"/>
        </w:rPr>
      </w:pPr>
      <w:r>
        <w:rPr>
          <w:lang w:val="en-AU" w:eastAsia="en-AU"/>
        </w:rPr>
        <w:t xml:space="preserve">The assessment identifies {{ faira_form.A3_3 | format_list }} as groups that may be potentially impacted by the AI system. Where impacted parties are informed of AI use, this is undertaken </w:t>
      </w:r>
      <w:r>
        <w:rPr>
          <w:highlight w:val="yellow"/>
          <w:lang w:val="en-AU" w:eastAsia="en-AU"/>
        </w:rPr>
        <w:t xml:space="preserve">via </w:t>
      </w:r>
      <w:r>
        <w:rPr>
          <w:b/>
          <w:bCs/>
          <w:highlight w:val="yellow"/>
          <w:lang w:val="en-AU" w:eastAsia="en-AU"/>
        </w:rPr>
        <w:t>{{ faira_form.A3_4 | format_list }}</w:t>
      </w:r>
      <w:r>
        <w:rPr>
          <w:highlight w:val="yellow"/>
          <w:lang w:val="en-AU" w:eastAsia="en-AU"/>
        </w:rPr>
        <w:t>.</w:t>
      </w:r>
    </w:p>
    <w:p>
      <w:pPr>
        <w:pStyle w:val="Normal"/>
        <w:rPr>
          <w:lang w:val="en-AU" w:eastAsia="en-AU"/>
        </w:rPr>
      </w:pPr>
      <w:r>
        <w:rPr>
          <w:lang w:val="en-AU" w:eastAsia="en-AU"/>
        </w:rPr>
        <w:t>Expected impacts on staff have been noted as {{ faira_form.A3_5a | format_list }}, with the overall severity of these impacts rated as {{ faira_form.A3_5b | rating_label }}.</w:t>
      </w:r>
    </w:p>
    <w:p>
      <w:pPr>
        <w:pStyle w:val="Normal"/>
        <w:rPr>
          <w:lang w:val="en-AU" w:eastAsia="en-AU"/>
        </w:rPr>
      </w:pPr>
      <w:r>
        <w:rPr>
          <w:lang w:val="en-AU" w:eastAsia="en-AU"/>
        </w:rPr>
        <w:t>Potential impacts to impacted groups have been noted as {{ faira_form.A3_6a | format_list }}, with severity rated as {{ faira_form.A3_6b | severity_label }}.</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998"/>
        <w:gridCol w:w="6028"/>
      </w:tblGrid>
      <w:tr>
        <w:trPr>
          <w:tblHeader w:val="true"/>
        </w:trPr>
        <w:tc>
          <w:tcPr>
            <w:tcW w:w="2998"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User and Stakeholder Aspect</w:t>
            </w:r>
          </w:p>
        </w:tc>
        <w:tc>
          <w:tcPr>
            <w:tcW w:w="6028"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Human interface</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faira_form.A3_1 | format_list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Expertise required – technical</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faira_form.A3_2_technical | rating_label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Expertise required – domain</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faira_form.A3_2_domain | rating_label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Expertise required – AI literacy</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faira_form.A3_2_ai_literacy | rating_label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Impacted groups</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faira_form.A3_3 | format_list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How impacted parties are informed</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faira_form.A3_4 | format_list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Staff impacts identified</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faira_form.A3_5a | format_list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Staff impacts severity</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faira_form.A3_5b | rating_label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Impacts to affected groups identified</w:t>
            </w:r>
          </w:p>
        </w:tc>
        <w:tc>
          <w:tcPr>
            <w:tcW w:w="602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faira_form.A3_6a | format_list }}</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Affected group severity</w:t>
            </w:r>
          </w:p>
        </w:tc>
        <w:tc>
          <w:tcPr>
            <w:tcW w:w="6028"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 faira_form.A3_6b | severity_label }}</w:t>
            </w:r>
          </w:p>
        </w:tc>
      </w:tr>
    </w:tbl>
    <w:p>
      <w:pPr>
        <w:pStyle w:val="Caption"/>
        <w:rPr/>
      </w:pPr>
      <w:bookmarkStart w:id="9" w:name="_Toc220351596"/>
      <w:r>
        <w:rPr/>
        <w:t xml:space="preserve">Table </w:t>
      </w:r>
      <w:r>
        <w:rPr/>
        <w:fldChar w:fldCharType="begin"/>
      </w:r>
      <w:r>
        <w:rPr/>
        <w:instrText xml:space="preserve"> SEQ Table \* ARABIC </w:instrText>
      </w:r>
      <w:r>
        <w:rPr/>
        <w:fldChar w:fldCharType="separate"/>
      </w:r>
      <w:r>
        <w:rPr/>
        <w:t>3</w:t>
      </w:r>
      <w:r>
        <w:rPr/>
        <w:fldChar w:fldCharType="end"/>
      </w:r>
      <w:r>
        <w:rPr/>
        <w:t xml:space="preserve"> - Users and Stakeholders summary</w:t>
      </w:r>
      <w:bookmarkEnd w:id="9"/>
    </w:p>
    <w:p>
      <w:pPr>
        <w:pStyle w:val="Normal"/>
        <w:rPr>
          <w:lang w:eastAsia="en-AU"/>
        </w:rPr>
      </w:pPr>
      <w:r>
        <w:rPr>
          <w:lang w:eastAsia="en-AU"/>
        </w:rPr>
      </w:r>
    </w:p>
    <w:p>
      <w:pPr>
        <w:pStyle w:val="Heading02"/>
        <w:numPr>
          <w:ilvl w:val="1"/>
          <w:numId w:val="1"/>
        </w:numPr>
        <w:ind w:hanging="432" w:start="432"/>
        <w:rPr>
          <w:lang w:val="en-AU" w:eastAsia="en-AU"/>
        </w:rPr>
      </w:pPr>
      <w:bookmarkStart w:id="10" w:name="_Toc220351597"/>
      <w:r>
        <w:rPr>
          <w:lang w:val="en-AU" w:eastAsia="en-AU"/>
        </w:rPr>
        <w:t>Outputs and Actions</w:t>
      </w:r>
      <w:bookmarkEnd w:id="10"/>
    </w:p>
    <w:p>
      <w:pPr>
        <w:pStyle w:val="Heading2"/>
        <w:rPr>
          <w:rFonts w:ascii="Arial" w:hAnsi="Arial" w:eastAsia="Aptos" w:cs="" w:cstheme="minorBidi" w:eastAsiaTheme="minorHAnsi"/>
          <w:i/>
          <w:iCs/>
          <w:color w:themeColor="text2" w:themeTint="bf" w:val="215E99"/>
          <w:sz w:val="22"/>
          <w:szCs w:val="22"/>
          <w:lang w:eastAsia="en-AU"/>
        </w:rPr>
      </w:pPr>
      <w:r>
        <w:rPr>
          <w:rFonts w:eastAsia="Aptos" w:cs="" w:ascii="Arial" w:hAnsi="Arial" w:cstheme="minorBidi" w:eastAsiaTheme="minorHAnsi"/>
          <w:i/>
          <w:iCs/>
          <w:color w:themeColor="text2" w:themeTint="bf" w:val="215E99"/>
          <w:sz w:val="22"/>
          <w:szCs w:val="22"/>
          <w:lang w:eastAsia="en-AU"/>
        </w:rPr>
        <w:t>Maps to FAIRA Table 4: AI use outputs</w:t>
      </w:r>
    </w:p>
    <w:p>
      <w:pPr>
        <w:pStyle w:val="Normal"/>
        <w:rPr/>
      </w:pPr>
      <w:r>
        <w:rP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pPr>
        <w:pStyle w:val="Normal"/>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pPr>
        <w:pStyle w:val="Normal"/>
        <w:spacing w:before="60" w:after="60"/>
        <w:rPr>
          <w:lang w:val="en-AU"/>
        </w:rPr>
      </w:pPr>
      <w:r>
        <w:rPr>
          <w:lang w:val="en-AU"/>
        </w:rPr>
        <w:t>{%p if faira_form.A4_2 == "Yes" %}</w:t>
      </w:r>
    </w:p>
    <w:p>
      <w:pPr>
        <w:pStyle w:val="Normal"/>
        <w:spacing w:before="60" w:after="60"/>
        <w:rPr>
          <w:lang w:val="en-AU"/>
        </w:rPr>
      </w:pPr>
      <w:r>
        <w:rPr>
          <w:lang w:val="en-AU"/>
        </w:rPr>
        <w:t>AI outputs are sent to external systems without human review.</w:t>
      </w:r>
    </w:p>
    <w:p>
      <w:pPr>
        <w:pStyle w:val="Normal"/>
        <w:spacing w:before="60" w:after="60"/>
        <w:rPr>
          <w:lang w:val="en-AU"/>
        </w:rPr>
      </w:pPr>
      <w:r>
        <w:rPr>
          <w:lang w:val="en-AU"/>
        </w:rPr>
        <w:t>{%p else %}</w:t>
      </w:r>
    </w:p>
    <w:p>
      <w:pPr>
        <w:pStyle w:val="Normal"/>
        <w:spacing w:before="60" w:after="60"/>
        <w:rPr>
          <w:lang w:val="en-AU"/>
        </w:rPr>
      </w:pPr>
      <w:r>
        <w:rPr>
          <w:lang w:val="en-AU"/>
        </w:rPr>
        <w:t>AI outputs are not sent to external systems without human review.</w:t>
      </w:r>
    </w:p>
    <w:p>
      <w:pPr>
        <w:pStyle w:val="Normal"/>
        <w:spacing w:before="60" w:after="60"/>
        <w:rPr>
          <w:lang w:val="en-AU"/>
        </w:rPr>
      </w:pPr>
      <w:r>
        <w:rPr>
          <w:lang w:val="en-AU"/>
        </w:rPr>
        <w:t>{%p endif %}</w:t>
      </w:r>
    </w:p>
    <w:p>
      <w:pPr>
        <w:pStyle w:val="Normal"/>
        <w:rPr>
          <w:lang w:val="en-AU"/>
        </w:rPr>
      </w:pPr>
      <w:r>
        <w:rPr>
          <w:lang w:val="en-AU"/>
        </w:rPr>
        <w:t xml:space="preserve">Outputs are tracked and recorded </w:t>
      </w:r>
      <w:r>
        <w:rPr>
          <w:highlight w:val="yellow"/>
          <w:lang w:val="en-AU"/>
        </w:rPr>
        <w:t xml:space="preserve">using </w:t>
      </w:r>
      <w:r>
        <w:rPr>
          <w:b/>
          <w:bCs/>
          <w:highlight w:val="yellow"/>
          <w:lang w:val="en-AU"/>
        </w:rPr>
        <w:t>{{ faira_form.A4_4 | format_list }}</w:t>
      </w:r>
      <w:r>
        <w:rPr>
          <w:highlight w:val="yellow"/>
          <w:lang w:val="en-AU"/>
        </w:rPr>
        <w:t>,</w:t>
      </w:r>
      <w:r>
        <w:rPr>
          <w:lang w:val="en-AU"/>
        </w:rPr>
        <w:t xml:space="preserve"> which provides context on how outputs may be referenced, audited, or reviewed over time.</w:t>
      </w:r>
    </w:p>
    <w:p>
      <w:pPr>
        <w:pStyle w:val="Normal"/>
        <w:spacing w:before="60" w:after="60"/>
        <w:rPr>
          <w:lang w:val="en-AU"/>
        </w:rPr>
      </w:pPr>
      <w:r>
        <w:rPr>
          <w:lang w:val="en-AU"/>
        </w:rPr>
        <w:t>{%p if faira_form.A4_5 == "Yes" %}</w:t>
      </w:r>
    </w:p>
    <w:p>
      <w:pPr>
        <w:pStyle w:val="Normal"/>
        <w:spacing w:before="60" w:after="60"/>
        <w:rPr>
          <w:lang w:val="en-AU"/>
        </w:rPr>
      </w:pPr>
      <w:r>
        <w:rPr>
          <w:lang w:val="en-AU"/>
        </w:rPr>
        <w:t>The assessment indicates that AI outputs may be accessible in ways that could lead to unauthorised access. Relevant scenarios include {{ faira_form.A4_5_scenarios | format_list }}.</w:t>
      </w:r>
    </w:p>
    <w:p>
      <w:pPr>
        <w:pStyle w:val="Normal"/>
        <w:spacing w:before="60" w:after="60"/>
        <w:rPr>
          <w:lang w:val="en-AU"/>
        </w:rPr>
      </w:pPr>
      <w:r>
        <w:rPr>
          <w:lang w:val="en-AU"/>
        </w:rPr>
        <w:t>{%p else %}</w:t>
      </w:r>
    </w:p>
    <w:p>
      <w:pPr>
        <w:pStyle w:val="Normal"/>
        <w:spacing w:before="60" w:after="60"/>
        <w:rPr>
          <w:lang w:val="en-AU"/>
        </w:rPr>
      </w:pPr>
      <w:r>
        <w:rPr>
          <w:lang w:val="en-AU"/>
        </w:rPr>
        <w:t>The assessment indicates that unauthorised access to AI outputs has not been identified within the scope of this assessment.</w:t>
      </w:r>
    </w:p>
    <w:p>
      <w:pPr>
        <w:pStyle w:val="Normal"/>
        <w:spacing w:before="60" w:after="60"/>
        <w:rPr>
          <w:lang w:val="en-AU"/>
        </w:rPr>
      </w:pPr>
      <w:r>
        <w:rPr>
          <w:lang w:val="en-AU"/>
        </w:rPr>
        <w:t>{%p endif %}</w:t>
      </w:r>
    </w:p>
    <w:p>
      <w:pPr>
        <w:pStyle w:val="Normal"/>
        <w:spacing w:before="60" w:after="60"/>
        <w:rPr>
          <w:lang w:val="en-AU"/>
        </w:rPr>
      </w:pPr>
      <w:r>
        <w:rPr>
          <w:lang w:val="en-AU"/>
        </w:rPr>
        <w:t>{%p if faira_form.A4_6 == "Yes" %}</w:t>
      </w:r>
    </w:p>
    <w:p>
      <w:pPr>
        <w:pStyle w:val="Normal"/>
        <w:spacing w:before="60" w:after="60"/>
        <w:rPr>
          <w:lang w:val="en-AU"/>
        </w:rPr>
      </w:pPr>
      <w:r>
        <w:rPr>
          <w:lang w:val="en-AU"/>
        </w:rPr>
        <w:t>The AI outputs have been identified as potentially including regulated or sensitive information. The categories of regulated or sensitive data involved include {{ faira_form.A4_6_data_types | format_list }}.</w:t>
      </w:r>
    </w:p>
    <w:p>
      <w:pPr>
        <w:pStyle w:val="Normal"/>
        <w:spacing w:before="60" w:after="60"/>
        <w:rPr>
          <w:lang w:val="en-AU"/>
        </w:rPr>
      </w:pPr>
      <w:r>
        <w:rPr>
          <w:lang w:val="en-AU"/>
        </w:rPr>
        <w:t>{%p else %}</w:t>
      </w:r>
    </w:p>
    <w:p>
      <w:pPr>
        <w:pStyle w:val="Normal"/>
        <w:spacing w:before="60" w:after="60"/>
        <w:rPr>
          <w:lang w:val="en-AU"/>
        </w:rPr>
      </w:pPr>
      <w:r>
        <w:rPr>
          <w:lang w:val="en-AU"/>
        </w:rPr>
        <w:t>The AI outputs have not been identified as including regulated or sensitive information.</w:t>
      </w:r>
    </w:p>
    <w:p>
      <w:pPr>
        <w:pStyle w:val="Normal"/>
        <w:spacing w:before="60" w:after="60"/>
        <w:rPr>
          <w:lang w:val="en-AU"/>
        </w:rPr>
      </w:pPr>
      <w:r>
        <w:rPr>
          <w:lang w:val="en-AU"/>
        </w:rPr>
        <w:t>{%p endif %}</w:t>
      </w:r>
    </w:p>
    <w:p>
      <w:pPr>
        <w:pStyle w:val="Normal"/>
        <w:rPr/>
      </w:pPr>
      <w:r>
        <w:rPr/>
        <w:t>{%p if faira_form.A4_7 == "Yes" %}</w:t>
      </w:r>
    </w:p>
    <w:p>
      <w:pPr>
        <w:pStyle w:val="Normal"/>
        <w:rPr/>
      </w:pPr>
      <w:r>
        <w:rP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pPr>
        <w:pStyle w:val="Normal"/>
        <w:rPr/>
      </w:pPr>
      <w:r>
        <w:rPr/>
        <w:t>{% if faira_form.A4_7_notes %}. Additional notes: {{ faira_form.A4_7_notes }}.</w:t>
      </w:r>
    </w:p>
    <w:p>
      <w:pPr>
        <w:pStyle w:val="Normal"/>
        <w:rPr/>
      </w:pPr>
      <w:r>
        <w:rPr/>
        <w:t>{% endif %}</w:t>
      </w:r>
    </w:p>
    <w:p>
      <w:pPr>
        <w:pStyle w:val="Normal"/>
        <w:rPr/>
      </w:pPr>
      <w:r>
        <w:rPr/>
        <w:t>{%p else %}</w:t>
      </w:r>
    </w:p>
    <w:p>
      <w:pPr>
        <w:pStyle w:val="Normal"/>
        <w:rPr/>
      </w:pPr>
      <w:r>
        <w:rPr/>
        <w:t>The assessment indicates that AI outputs are not expected to contain personally identifiable information (PII).</w:t>
      </w:r>
    </w:p>
    <w:p>
      <w:pPr>
        <w:pStyle w:val="Normal"/>
        <w:rPr/>
      </w:pPr>
      <w:r>
        <w:rPr/>
        <w:t>{%p endif %}</w:t>
      </w:r>
    </w:p>
    <w:p>
      <w:pPr>
        <w:pStyle w:val="Normal"/>
        <w:rPr/>
      </w:pPr>
      <w:r>
        <w:rPr/>
        <w:t>{%p if faira_form.A4_8 == "Yes" %}</w:t>
      </w:r>
    </w:p>
    <w:p>
      <w:pPr>
        <w:pStyle w:val="Normal"/>
        <w:rPr>
          <w:highlight w:val="yellow"/>
        </w:rPr>
      </w:pPr>
      <w:r>
        <w:rPr/>
        <w:t xml:space="preserve">The assessment indicates that AI outputs may directly trigger actions with legal or regulatory effect. The types of actions identified include {{ faira_form.A4_8_action_types | format_list if faira_form.A4_8_action_types else "type(s) not specified" }}. </w:t>
      </w:r>
      <w:r>
        <w:rPr>
          <w:highlight w:val="green"/>
        </w:rPr>
        <w:t xml:space="preserve">These actions are </w:t>
      </w:r>
      <w:r>
        <w:rPr>
          <w:highlight w:val="yellow"/>
        </w:rPr>
        <w:t>triggered via {{ faira_form.A4_8_trigger_pathway if faira_form.A4_8_trigger_pathway else "a pathway not specified" }}.</w:t>
      </w:r>
    </w:p>
    <w:p>
      <w:pPr>
        <w:pStyle w:val="Normal"/>
        <w:rPr>
          <w:highlight w:val="green"/>
        </w:rPr>
      </w:pPr>
      <w:r>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pPr>
        <w:pStyle w:val="Normal"/>
        <w:rPr>
          <w:highlight w:val="green"/>
        </w:rPr>
      </w:pPr>
      <w:r>
        <w:rPr>
          <w:highlight w:val="green"/>
        </w:rPr>
        <w:t>{%p if faira_form.A4_8_review_appeal %}</w:t>
      </w:r>
    </w:p>
    <w:p>
      <w:pPr>
        <w:pStyle w:val="Normal"/>
        <w:rPr>
          <w:highlight w:val="green"/>
        </w:rPr>
      </w:pPr>
      <w:r>
        <w:rPr>
          <w:highlight w:val="green"/>
        </w:rPr>
        <w:t>Review or appeal mechanisms for affected parties are described as {{ faira_form.A4_8_review_appeal }}.</w:t>
      </w:r>
    </w:p>
    <w:p>
      <w:pPr>
        <w:pStyle w:val="Normal"/>
        <w:rPr>
          <w:highlight w:val="green"/>
        </w:rPr>
      </w:pPr>
      <w:r>
        <w:rPr>
          <w:highlight w:val="green"/>
        </w:rPr>
        <w:t>{%p endif %}</w:t>
      </w:r>
    </w:p>
    <w:p>
      <w:pPr>
        <w:pStyle w:val="Normal"/>
        <w:rPr>
          <w:highlight w:val="green"/>
        </w:rPr>
      </w:pPr>
      <w:r>
        <w:rPr>
          <w:highlight w:val="green"/>
        </w:rPr>
        <w:t>The legal or policy basis supporting these actions includes {{ faira_form.A4_8_legal_basis | format_list if faira_form.A4_8_legal_basis else "basis not specified" }}.</w:t>
      </w:r>
    </w:p>
    <w:p>
      <w:pPr>
        <w:pStyle w:val="Normal"/>
        <w:rPr>
          <w:highlight w:val="green"/>
        </w:rPr>
      </w:pPr>
      <w:r>
        <w:rPr>
          <w:highlight w:val="green"/>
        </w:rPr>
        <w:t>{% if faira_form.A4_8_notes %}. Additional notes: {{ faira_form.A4_8_notes }}{% endif %}.</w:t>
      </w:r>
    </w:p>
    <w:p>
      <w:pPr>
        <w:pStyle w:val="Normal"/>
        <w:rPr>
          <w:highlight w:val="green"/>
        </w:rPr>
      </w:pPr>
      <w:r>
        <w:rPr>
          <w:highlight w:val="green"/>
        </w:rPr>
        <w:t>{%p else %}</w:t>
      </w:r>
    </w:p>
    <w:p>
      <w:pPr>
        <w:pStyle w:val="Normal"/>
        <w:rPr>
          <w:highlight w:val="green"/>
        </w:rPr>
      </w:pPr>
      <w:r>
        <w:rPr>
          <w:highlight w:val="green"/>
        </w:rPr>
        <w:t>The assessment indicates that AI outputs are not used to directly trigger actions with legal or regulatory effect.</w:t>
      </w:r>
    </w:p>
    <w:p>
      <w:pPr>
        <w:pStyle w:val="Normal"/>
        <w:rPr/>
      </w:pPr>
      <w:r>
        <w:rPr>
          <w:highlight w:val="green"/>
        </w:rPr>
        <w:t>{%p endif %}</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2355"/>
        <w:gridCol w:w="6661"/>
      </w:tblGrid>
      <w:tr>
        <w:trPr>
          <w:tblHeader w:val="true"/>
        </w:trPr>
        <w:tc>
          <w:tcPr>
            <w:tcW w:w="235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Deployment Context</w:t>
            </w:r>
          </w:p>
        </w:tc>
        <w:tc>
          <w:tcPr>
            <w:tcW w:w="666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Primary outputs (A4.1)</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faira_form.A4_1 | format_list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Outputs sent externally without human review (A4.2)</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faira_form.A4_2 if faira_form.A4_2 else "Not specified"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Output Business Impact Level (BIL) (A4.3)</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faira_form.A4_3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Output tracking / recording method(s) (A4.4)</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faira_form.A4_4 | format_list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Unauthorised access to outputs identified (A4.5)</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if faira_form.A4_5 == "Yes" %}Yes — {{ faira_form.A4_5_scenarios | format_list }}{%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Outputs include regulated / sensitive data (A4.6)</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if faira_form.A4_6 == "Yes" %}Yes — {{ faira_form.A4_6_data_types | format_list }}{%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Personal information access / handling (A4.7)</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faira_form.A4_7 if faira_form.A4_7 else "Not specified"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Outputs contain PII</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faira_form.A4_7 if faira_form.A4_7 else "Not specified"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PII categories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faira_form.A4_7 == "Yes" %}{{ faira_form.A4_7_pii_types | format_list if faira_form.A4_7_pii_types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Access scope</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faira_form.A4_7 == "Yes" %}{{ faira_form.A4_7_access_scope if faira_form.A4_7_access_scope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Access controls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faira_form.A4_7 == "Yes" %}{{ faira_form.A4_7_access_controls | format_list if faira_form.A4_7_access_controls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rPr>
            </w:pPr>
            <w:r>
              <w:rPr>
                <w:sz w:val="20"/>
                <w:szCs w:val="20"/>
              </w:rPr>
              <w:t>Notes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rPr>
            </w:pPr>
            <w:r>
              <w:rPr>
                <w:sz w:val="20"/>
                <w:szCs w:val="20"/>
              </w:rPr>
              <w:t>{% if faira_form.A4_7 == "Yes" and faira_form.A4_7_notes %}{{ faira_form.A4_7_notes }}{% else %}—{%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Legal / regulatory / policy actions (A4.8)</w:t>
            </w:r>
          </w:p>
        </w:tc>
        <w:tc>
          <w:tcPr>
            <w:tcW w:w="666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 faira_form.A4_8 if faira_form.A4_8 else "Not specified"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Actions with legal/regulatory effect</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faira_form.A4_8 if faira_form.A4_8 else "Not specified"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Action types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faira_form.A4_8_action_types | format_list if faira_form.A4_8_action_types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Trigger pathway</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faira_form.A4_8_trigger_pathway if faira_form.A4_8_trigger_pathway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Affected parties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Decision records / traceability</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Review / appeal mechanism</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faira_form.A4_8_review_appeal if faira_form.A4_8_review_appeal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Legal / policy basis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 faira_form.A4_8_legal_basis | format_list if faira_form.A4_8_legal_basis else "Not specified" }}{% else %}Not applicable{% endif %}</w:t>
            </w:r>
          </w:p>
        </w:tc>
      </w:tr>
      <w:tr>
        <w:trPr/>
        <w:tc>
          <w:tcPr>
            <w:tcW w:w="235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Notes</w:t>
            </w:r>
          </w:p>
        </w:tc>
        <w:tc>
          <w:tcPr>
            <w:tcW w:w="66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faira_form.A4_8 == "Yes" and faira_form.A4_8_notes %}{{ faira_form.A4_8_notes }}{% else %}—{% endif %}</w:t>
            </w:r>
          </w:p>
        </w:tc>
      </w:tr>
    </w:tbl>
    <w:p>
      <w:pPr>
        <w:pStyle w:val="Caption"/>
        <w:rPr/>
      </w:pPr>
      <w:bookmarkStart w:id="11" w:name="_Toc220351598"/>
      <w:r>
        <w:rPr/>
        <w:t xml:space="preserve">Table </w:t>
      </w:r>
      <w:r>
        <w:rPr/>
        <w:fldChar w:fldCharType="begin"/>
      </w:r>
      <w:r>
        <w:rPr/>
        <w:instrText xml:space="preserve"> SEQ Table \* ARABIC </w:instrText>
      </w:r>
      <w:r>
        <w:rPr/>
        <w:fldChar w:fldCharType="separate"/>
      </w:r>
      <w:r>
        <w:rPr/>
        <w:t>4</w:t>
      </w:r>
      <w:r>
        <w:rPr/>
        <w:fldChar w:fldCharType="end"/>
      </w:r>
      <w:r>
        <w:rPr/>
        <w:t xml:space="preserve"> - Deployment Context summary</w:t>
      </w:r>
      <w:bookmarkEnd w:id="11"/>
    </w:p>
    <w:p>
      <w:pPr>
        <w:pStyle w:val="Normal"/>
        <w:rPr>
          <w:lang w:eastAsia="en-AU"/>
        </w:rPr>
      </w:pPr>
      <w:r>
        <w:rPr>
          <w:lang w:eastAsia="en-AU"/>
        </w:rPr>
      </w:r>
    </w:p>
    <w:p>
      <w:pPr>
        <w:pStyle w:val="Heading02"/>
        <w:numPr>
          <w:ilvl w:val="1"/>
          <w:numId w:val="1"/>
        </w:numPr>
        <w:ind w:hanging="432" w:start="432"/>
        <w:rPr>
          <w:lang w:val="en-AU" w:eastAsia="en-AU"/>
        </w:rPr>
      </w:pPr>
      <w:bookmarkStart w:id="12" w:name="_Toc220351599"/>
      <w:r>
        <w:rPr>
          <w:lang w:val="en-AU" w:eastAsia="en-AU"/>
        </w:rPr>
        <w:t>Governance and Oversight</w:t>
      </w:r>
      <w:bookmarkEnd w:id="12"/>
    </w:p>
    <w:p>
      <w:pPr>
        <w:pStyle w:val="Heading2"/>
        <w:rPr>
          <w:rFonts w:ascii="Arial" w:hAnsi="Arial" w:eastAsia="Aptos" w:cs="" w:cstheme="minorBidi" w:eastAsiaTheme="minorHAnsi"/>
          <w:i/>
          <w:iCs/>
          <w:color w:themeColor="text2" w:themeTint="bf" w:val="215E99"/>
          <w:sz w:val="22"/>
          <w:szCs w:val="22"/>
          <w:lang w:eastAsia="en-AU"/>
        </w:rPr>
      </w:pPr>
      <w:r>
        <w:rPr>
          <w:rFonts w:eastAsia="Aptos" w:cs="" w:ascii="Arial" w:hAnsi="Arial" w:cstheme="minorBidi" w:eastAsiaTheme="minorHAnsi"/>
          <w:i/>
          <w:iCs/>
          <w:color w:themeColor="text2" w:themeTint="bf" w:val="215E99"/>
          <w:sz w:val="22"/>
          <w:szCs w:val="22"/>
          <w:lang w:eastAsia="en-AU"/>
        </w:rPr>
        <w:t>Maps to FAIRA Table 9 (Monitoring and evaluation) plus accountability references</w:t>
      </w:r>
    </w:p>
    <w:p>
      <w:pPr>
        <w:pStyle w:val="Normal"/>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pPr>
        <w:pStyle w:val="Normal"/>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pPr>
        <w:pStyle w:val="Normal"/>
        <w:rPr/>
      </w:pPr>
      <w:r>
        <w:rPr/>
        <w:t>{%p if faira_form.A5_2 == "Yes" %}</w:t>
      </w:r>
    </w:p>
    <w:p>
      <w:pPr>
        <w:pStyle w:val="Normal"/>
        <w:rPr/>
      </w:pPr>
      <w:r>
        <w:rP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rPr/>
        <w:t xml:space="preserve"> using logging or record-keeping mechanisms such as {{ faira_form.A5_2_logging_mechanisms | format_list if faira_form.A5_2_logging_mechanisms else "mechanism(s) not specified" }}.</w:t>
      </w:r>
    </w:p>
    <w:p>
      <w:pPr>
        <w:pStyle w:val="Normal"/>
        <w:rPr/>
      </w:pPr>
      <w:r>
        <w:rPr/>
        <w:t>Records are retained for {{ faira_form.A5_2_retention if faira_form.A5_2_retention else "a period not specified" }}, with access to logs or records described as {{ faira_form.A5_2_access_scope if faira_form.A5_2_access_scope else "not specified" }}</w:t>
      </w:r>
    </w:p>
    <w:p>
      <w:pPr>
        <w:pStyle w:val="Normal"/>
        <w:rPr/>
      </w:pPr>
      <w:r>
        <w:rPr/>
        <w:t>{%p if faira_form.A5_2_notes %}. Additional notes: {{ faira_form.A5_2_notes }}.</w:t>
      </w:r>
    </w:p>
    <w:p>
      <w:pPr>
        <w:pStyle w:val="Normal"/>
        <w:rPr/>
      </w:pPr>
      <w:r>
        <w:rPr/>
        <w:t>{%p endif %}</w:t>
      </w:r>
    </w:p>
    <w:p>
      <w:pPr>
        <w:pStyle w:val="Normal"/>
        <w:rPr/>
      </w:pPr>
      <w:r>
        <w:rPr/>
        <w:t>{%p else %}</w:t>
      </w:r>
    </w:p>
    <w:p>
      <w:pPr>
        <w:pStyle w:val="Normal"/>
        <w:rPr/>
      </w:pPr>
      <w:r>
        <w:rPr/>
        <w:t>The assessment indicates that AI inputs, outputs, and/or decisions are not logged or recorded.</w:t>
      </w:r>
    </w:p>
    <w:p>
      <w:pPr>
        <w:pStyle w:val="Normal"/>
        <w:rPr/>
      </w:pPr>
      <w:r>
        <w:rPr/>
        <w:t>{%p endif %}</w:t>
      </w:r>
    </w:p>
    <w:p>
      <w:pPr>
        <w:pStyle w:val="Normal"/>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pPr>
        <w:pStyle w:val="Normal"/>
        <w:spacing w:before="60" w:after="60"/>
        <w:rPr>
          <w:lang w:val="en-AU" w:eastAsia="en-AU"/>
        </w:rPr>
      </w:pPr>
      <w:r>
        <w:rPr>
          <w:lang w:val="en-AU" w:eastAsia="en-AU"/>
        </w:rPr>
        <w:t>{%p if faira_form.A5_5 == "Yes" %}</w:t>
      </w:r>
    </w:p>
    <w:p>
      <w:pPr>
        <w:pStyle w:val="Normal"/>
        <w:spacing w:before="60" w:after="60"/>
        <w:rPr>
          <w:lang w:val="en-AU" w:eastAsia="en-AU"/>
        </w:rPr>
      </w:pPr>
      <w:r>
        <w:rPr>
          <w:lang w:val="en-AU" w:eastAsia="en-AU"/>
        </w:rPr>
        <w:t>The AI system has been subject to independent review.</w:t>
      </w:r>
    </w:p>
    <w:p>
      <w:pPr>
        <w:pStyle w:val="Normal"/>
        <w:spacing w:before="60" w:after="60"/>
        <w:rPr>
          <w:lang w:val="en-AU" w:eastAsia="en-AU"/>
        </w:rPr>
      </w:pPr>
      <w:r>
        <w:rPr>
          <w:lang w:val="en-AU" w:eastAsia="en-AU"/>
        </w:rPr>
        <w:t>{%p else %}</w:t>
      </w:r>
    </w:p>
    <w:p>
      <w:pPr>
        <w:pStyle w:val="Normal"/>
        <w:spacing w:before="60" w:after="60"/>
        <w:rPr>
          <w:lang w:val="en-AU" w:eastAsia="en-AU"/>
        </w:rPr>
      </w:pPr>
      <w:r>
        <w:rPr>
          <w:lang w:val="en-AU" w:eastAsia="en-AU"/>
        </w:rPr>
        <w:t>The AI system has not been subject to independent review.</w:t>
      </w:r>
    </w:p>
    <w:p>
      <w:pPr>
        <w:pStyle w:val="Normal"/>
        <w:spacing w:before="60" w:after="60"/>
        <w:rPr>
          <w:lang w:val="en-AU" w:eastAsia="en-AU"/>
        </w:rPr>
      </w:pPr>
      <w:r>
        <w:rPr>
          <w:lang w:val="en-AU" w:eastAsia="en-AU"/>
        </w:rPr>
        <w:t>{%p endif %}</w:t>
      </w:r>
    </w:p>
    <w:p>
      <w:pPr>
        <w:pStyle w:val="Normal"/>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pPr>
        <w:pStyle w:val="Normal"/>
        <w:rPr>
          <w:lang w:val="en-AU" w:eastAsia="en-AU"/>
        </w:rPr>
      </w:pPr>
      <w:r>
        <w:rPr>
          <w:lang w:val="en-AU" w:eastAsia="en-AU"/>
        </w:rPr>
        <w:t>The design and use of the AI system have been informed by the following values, principles, or organisational standards: {{ faira_form.A5_9 | format_list }}.</w:t>
      </w:r>
    </w:p>
    <w:p>
      <w:pPr>
        <w:pStyle w:val="Normal"/>
        <w:rPr>
          <w:lang w:val="en-AU" w:eastAsia="en-AU"/>
        </w:rPr>
      </w:pPr>
      <w:r>
        <w:rPr>
          <w:lang w:val="en-AU" w:eastAsia="en-AU"/>
        </w:rPr>
        <w:t>{%p if faira_form.A5_10 == "Yes" %}</w:t>
      </w:r>
    </w:p>
    <w:p>
      <w:pPr>
        <w:pStyle w:val="Normal"/>
        <w:rPr>
          <w:lang w:val="en-AU" w:eastAsia="en-AU"/>
        </w:rPr>
      </w:pPr>
      <w:r>
        <w:rPr>
          <w:lang w:val="en-AU" w:eastAsia="en-AU"/>
        </w:rPr>
        <w:t>Sector-specific frameworks, laws, or regulatory obligations have been identified as applicable to this AI system. These include:</w:t>
      </w:r>
    </w:p>
    <w:p>
      <w:pPr>
        <w:pStyle w:val="ListParagraph"/>
        <w:numPr>
          <w:ilvl w:val="0"/>
          <w:numId w:val="3"/>
        </w:numPr>
        <w:spacing w:before="60" w:after="60"/>
        <w:contextualSpacing w:val="false"/>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pPr>
        <w:pStyle w:val="ListParagraph"/>
        <w:numPr>
          <w:ilvl w:val="0"/>
          <w:numId w:val="3"/>
        </w:numPr>
        <w:spacing w:before="60" w:after="60"/>
        <w:contextualSpacing w:val="false"/>
        <w:rPr>
          <w:lang w:val="en-AU" w:eastAsia="en-AU"/>
        </w:rPr>
      </w:pPr>
      <w:r>
        <w:rPr>
          <w:b/>
          <w:bCs/>
          <w:lang w:val="en-AU" w:eastAsia="en-AU"/>
        </w:rPr>
        <w:t>Queensland legislation:</w:t>
      </w:r>
      <w:r>
        <w:rPr>
          <w:lang w:val="en-AU" w:eastAsia="en-AU"/>
        </w:rPr>
        <w:t xml:space="preserve"> {{ faira_form.A5_10_qld | format_list if faira_form.A5_10_qld else "not specified" }}</w:t>
      </w:r>
    </w:p>
    <w:p>
      <w:pPr>
        <w:pStyle w:val="ListParagraph"/>
        <w:numPr>
          <w:ilvl w:val="0"/>
          <w:numId w:val="3"/>
        </w:numPr>
        <w:spacing w:before="60" w:after="60"/>
        <w:contextualSpacing w:val="false"/>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pPr>
        <w:pStyle w:val="ListParagraph"/>
        <w:numPr>
          <w:ilvl w:val="0"/>
          <w:numId w:val="3"/>
        </w:numPr>
        <w:spacing w:before="60" w:after="60"/>
        <w:contextualSpacing w:val="false"/>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pPr>
        <w:pStyle w:val="Normal"/>
        <w:rPr>
          <w:lang w:val="en-AU" w:eastAsia="en-AU"/>
        </w:rPr>
      </w:pPr>
      <w:r>
        <w:rPr>
          <w:lang w:val="en-AU" w:eastAsia="en-AU"/>
        </w:rPr>
        <w:t>{%p if faira_form.A5_10_other %}</w:t>
      </w:r>
    </w:p>
    <w:p>
      <w:pPr>
        <w:pStyle w:val="ListParagraph"/>
        <w:numPr>
          <w:ilvl w:val="0"/>
          <w:numId w:val="3"/>
        </w:numPr>
        <w:rPr>
          <w:lang w:val="en-AU" w:eastAsia="en-AU"/>
        </w:rPr>
      </w:pPr>
      <w:r>
        <w:rPr>
          <w:b/>
          <w:bCs/>
          <w:lang w:val="en-AU" w:eastAsia="en-AU"/>
        </w:rPr>
        <w:t>Other obligations:</w:t>
      </w:r>
      <w:r>
        <w:rPr>
          <w:lang w:val="en-AU" w:eastAsia="en-AU"/>
        </w:rPr>
        <w:t xml:space="preserve"> {{ faira_form.A5_10_other }}</w:t>
      </w:r>
    </w:p>
    <w:p>
      <w:pPr>
        <w:pStyle w:val="Normal"/>
        <w:rPr>
          <w:lang w:val="en-AU" w:eastAsia="en-AU"/>
        </w:rPr>
      </w:pPr>
      <w:r>
        <w:rPr>
          <w:lang w:val="en-AU" w:eastAsia="en-AU"/>
        </w:rPr>
        <w:t>{%p endif %}</w:t>
      </w:r>
    </w:p>
    <w:p>
      <w:pPr>
        <w:pStyle w:val="Normal"/>
        <w:rPr>
          <w:lang w:val="en-AU" w:eastAsia="en-AU"/>
        </w:rPr>
      </w:pPr>
      <w:r>
        <w:rPr>
          <w:lang w:val="en-AU" w:eastAsia="en-AU"/>
        </w:rPr>
        <w:t>{%p else %}</w:t>
      </w:r>
    </w:p>
    <w:p>
      <w:pPr>
        <w:pStyle w:val="Normal"/>
        <w:rPr>
          <w:lang w:val="en-AU" w:eastAsia="en-AU"/>
        </w:rPr>
      </w:pPr>
      <w:r>
        <w:rPr>
          <w:lang w:val="en-AU" w:eastAsia="en-AU"/>
        </w:rPr>
        <w:t>No sector-specific frameworks, laws, or regulatory obligations were identified as applying to this AI system.</w:t>
      </w:r>
    </w:p>
    <w:p>
      <w:pPr>
        <w:pStyle w:val="Normal"/>
        <w:rPr>
          <w:lang w:val="en-AU" w:eastAsia="en-AU"/>
        </w:rPr>
      </w:pPr>
      <w:r>
        <w:rPr>
          <w:lang w:val="en-AU" w:eastAsia="en-AU"/>
        </w:rPr>
        <w:t>{%p endif %}</w:t>
      </w:r>
    </w:p>
    <w:p>
      <w:pPr>
        <w:pStyle w:val="Normal"/>
        <w:rPr>
          <w:lang w:val="en-AU" w:eastAsia="en-AU"/>
        </w:rPr>
      </w:pPr>
      <w:r>
        <w:rPr>
          <w:lang w:val="en-AU" w:eastAsia="en-AU"/>
        </w:rPr>
        <w:t xml:space="preserve">The AI system is deployed in the following context: {{ faira_form.A5_11 }}. </w:t>
      </w:r>
    </w:p>
    <w:p>
      <w:pPr>
        <w:pStyle w:val="Normal"/>
        <w:rPr>
          <w:lang w:val="en-AU" w:eastAsia="en-AU"/>
        </w:rPr>
      </w:pPr>
      <w:r>
        <w:rPr>
          <w:lang w:val="en-AU" w:eastAsia="en-AU"/>
        </w:rPr>
        <w:t>Additional frameworks, standards, or governance references relevant to the system are identified as {{ faira_form.A5_12 | format_list }}.</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4315"/>
        <w:gridCol w:w="4701"/>
      </w:tblGrid>
      <w:tr>
        <w:trPr>
          <w:tblHeader w:val="true"/>
        </w:trPr>
        <w:tc>
          <w:tcPr>
            <w:tcW w:w="431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Governance Aspect</w:t>
            </w:r>
          </w:p>
        </w:tc>
        <w:tc>
          <w:tcPr>
            <w:tcW w:w="470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Accountable role (A5.1)</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faira_form.A5_1 if faira_form.A5_1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Logging of AI inputs, outputs, and decisions (A5.2)</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60" w:after="60"/>
              <w:rPr>
                <w:sz w:val="20"/>
                <w:szCs w:val="20"/>
                <w:lang w:val="en-AU" w:eastAsia="en-AU"/>
              </w:rPr>
            </w:pPr>
            <w:r>
              <w:rPr>
                <w:sz w:val="20"/>
                <w:szCs w:val="20"/>
                <w:lang w:val="en-AU" w:eastAsia="en-AU"/>
              </w:rPr>
              <w:t>{% if faira_form.A5_2 == "Yes" %}</w:t>
            </w:r>
          </w:p>
          <w:p>
            <w:pPr>
              <w:pStyle w:val="Normal"/>
              <w:spacing w:before="60" w:after="60"/>
              <w:rPr>
                <w:sz w:val="20"/>
                <w:szCs w:val="20"/>
                <w:lang w:val="en-AU" w:eastAsia="en-AU"/>
              </w:rPr>
            </w:pPr>
            <w:r>
              <w:rPr>
                <w:sz w:val="20"/>
                <w:szCs w:val="20"/>
                <w:lang w:val="en-AU" w:eastAsia="en-AU"/>
              </w:rPr>
              <w:t xml:space="preserve">• </w:t>
            </w:r>
            <w:r>
              <w:rPr>
                <w:sz w:val="20"/>
                <w:szCs w:val="20"/>
                <w:lang w:val="en-AU" w:eastAsia="en-AU"/>
              </w:rPr>
              <w:t>Logged: {{ (faira_form.A5_2_logged_items | format_list) if faira_form.A5_2_logged_items else "not specified" }}</w:t>
            </w:r>
          </w:p>
          <w:p>
            <w:pPr>
              <w:pStyle w:val="Normal"/>
              <w:spacing w:before="60" w:after="60"/>
              <w:rPr>
                <w:sz w:val="20"/>
                <w:szCs w:val="20"/>
                <w:lang w:val="en-AU" w:eastAsia="en-AU"/>
              </w:rPr>
            </w:pPr>
            <w:r>
              <w:rPr>
                <w:sz w:val="20"/>
                <w:szCs w:val="20"/>
                <w:lang w:val="en-AU" w:eastAsia="en-AU"/>
              </w:rPr>
              <w:t xml:space="preserve">• </w:t>
            </w:r>
            <w:r>
              <w:rPr>
                <w:sz w:val="20"/>
                <w:szCs w:val="20"/>
                <w:lang w:val="en-AU" w:eastAsia="en-AU"/>
              </w:rPr>
              <w:t>Mechanisms: {{ (faira_form.A5_2_logging_mechanisms | format_list) if faira_form.A5_2_logging_mechanisms else "not specified" }}</w:t>
            </w:r>
          </w:p>
          <w:p>
            <w:pPr>
              <w:pStyle w:val="Normal"/>
              <w:spacing w:before="60" w:after="60"/>
              <w:rPr>
                <w:sz w:val="20"/>
                <w:szCs w:val="20"/>
                <w:lang w:val="en-AU" w:eastAsia="en-AU"/>
              </w:rPr>
            </w:pPr>
            <w:r>
              <w:rPr>
                <w:sz w:val="20"/>
                <w:szCs w:val="20"/>
                <w:lang w:val="en-AU" w:eastAsia="en-AU"/>
              </w:rPr>
              <w:t xml:space="preserve">• </w:t>
            </w:r>
            <w:r>
              <w:rPr>
                <w:sz w:val="20"/>
                <w:szCs w:val="20"/>
                <w:lang w:val="en-AU" w:eastAsia="en-AU"/>
              </w:rPr>
              <w:t>Retention: {{ faira_form.A5_2_retention if faira_form.A5_2_retention else "not specified" }}</w:t>
            </w:r>
          </w:p>
          <w:p>
            <w:pPr>
              <w:pStyle w:val="Normal"/>
              <w:spacing w:before="60" w:after="60"/>
              <w:rPr>
                <w:sz w:val="20"/>
                <w:szCs w:val="20"/>
                <w:lang w:val="en-AU" w:eastAsia="en-AU"/>
              </w:rPr>
            </w:pPr>
            <w:r>
              <w:rPr>
                <w:sz w:val="20"/>
                <w:szCs w:val="20"/>
                <w:lang w:val="en-AU" w:eastAsia="en-AU"/>
              </w:rPr>
              <w:t xml:space="preserve">• </w:t>
            </w:r>
            <w:r>
              <w:rPr>
                <w:sz w:val="20"/>
                <w:szCs w:val="20"/>
                <w:lang w:val="en-AU" w:eastAsia="en-AU"/>
              </w:rPr>
              <w:t>Access: {{ faira_form.A5_2_access_scope if faira_form.A5_2_access_scope else "not specified" }}</w:t>
            </w:r>
          </w:p>
          <w:p>
            <w:pPr>
              <w:pStyle w:val="Normal"/>
              <w:spacing w:before="60" w:after="60"/>
              <w:rPr>
                <w:sz w:val="20"/>
                <w:szCs w:val="20"/>
                <w:lang w:val="en-AU" w:eastAsia="en-AU"/>
              </w:rPr>
            </w:pPr>
            <w:r>
              <w:rPr>
                <w:sz w:val="20"/>
                <w:szCs w:val="20"/>
                <w:lang w:val="en-AU" w:eastAsia="en-AU"/>
              </w:rPr>
              <w:t xml:space="preserve">• </w:t>
            </w:r>
            <w:r>
              <w:rPr>
                <w:sz w:val="20"/>
                <w:szCs w:val="20"/>
                <w:lang w:val="en-AU" w:eastAsia="en-AU"/>
              </w:rPr>
              <w:t>Notes: {{ faira_form.A5_2_notes if faira_form.A5_2_notes else "" }}</w:t>
            </w:r>
          </w:p>
          <w:p>
            <w:pPr>
              <w:pStyle w:val="Normal"/>
              <w:spacing w:before="60" w:after="60"/>
              <w:rPr>
                <w:sz w:val="20"/>
                <w:szCs w:val="20"/>
                <w:lang w:val="en-AU" w:eastAsia="en-AU"/>
              </w:rPr>
            </w:pPr>
            <w:r>
              <w:rPr>
                <w:sz w:val="20"/>
                <w:szCs w:val="20"/>
                <w:lang w:val="en-AU" w:eastAsia="en-AU"/>
              </w:rPr>
            </w:r>
          </w:p>
          <w:p>
            <w:pPr>
              <w:pStyle w:val="Normal"/>
              <w:spacing w:before="60" w:after="60"/>
              <w:rPr>
                <w:sz w:val="20"/>
                <w:szCs w:val="20"/>
                <w:lang w:val="en-AU" w:eastAsia="en-AU"/>
              </w:rPr>
            </w:pPr>
            <w:r>
              <w:rPr>
                <w:sz w:val="20"/>
                <w:szCs w:val="20"/>
                <w:lang w:val="en-AU" w:eastAsia="en-AU"/>
              </w:rPr>
              <w:t>{% elif faira_form.A5_2 == "No" %}</w:t>
            </w:r>
          </w:p>
          <w:p>
            <w:pPr>
              <w:pStyle w:val="Normal"/>
              <w:spacing w:before="60" w:after="60"/>
              <w:rPr>
                <w:sz w:val="20"/>
                <w:szCs w:val="20"/>
                <w:lang w:val="en-AU" w:eastAsia="en-AU"/>
              </w:rPr>
            </w:pPr>
            <w:r>
              <w:rPr>
                <w:sz w:val="20"/>
                <w:szCs w:val="20"/>
                <w:lang w:val="en-AU" w:eastAsia="en-AU"/>
              </w:rPr>
              <w:t>No</w:t>
            </w:r>
          </w:p>
          <w:p>
            <w:pPr>
              <w:pStyle w:val="Normal"/>
              <w:spacing w:before="60" w:after="60"/>
              <w:rPr>
                <w:sz w:val="20"/>
                <w:szCs w:val="20"/>
                <w:lang w:val="en-AU" w:eastAsia="en-AU"/>
              </w:rPr>
            </w:pPr>
            <w:r>
              <w:rPr>
                <w:sz w:val="20"/>
                <w:szCs w:val="20"/>
                <w:lang w:val="en-AU" w:eastAsia="en-AU"/>
              </w:rPr>
            </w:r>
          </w:p>
          <w:p>
            <w:pPr>
              <w:pStyle w:val="Normal"/>
              <w:spacing w:before="60" w:after="60"/>
              <w:rPr>
                <w:sz w:val="20"/>
                <w:szCs w:val="20"/>
                <w:lang w:val="en-AU" w:eastAsia="en-AU"/>
              </w:rPr>
            </w:pPr>
            <w:r>
              <w:rPr>
                <w:sz w:val="20"/>
                <w:szCs w:val="20"/>
                <w:lang w:val="en-AU" w:eastAsia="en-AU"/>
              </w:rPr>
              <w:t>{% else %}</w:t>
            </w:r>
          </w:p>
          <w:p>
            <w:pPr>
              <w:pStyle w:val="Normal"/>
              <w:spacing w:before="60" w:after="60"/>
              <w:rPr>
                <w:sz w:val="20"/>
                <w:szCs w:val="20"/>
                <w:lang w:val="en-AU" w:eastAsia="en-AU"/>
              </w:rPr>
            </w:pPr>
            <w:r>
              <w:rPr>
                <w:sz w:val="20"/>
                <w:szCs w:val="20"/>
                <w:lang w:val="en-AU" w:eastAsia="en-AU"/>
              </w:rPr>
              <w:t>Not specified</w:t>
            </w:r>
          </w:p>
          <w:p>
            <w:pPr>
              <w:pStyle w:val="Normal"/>
              <w:spacing w:before="60" w:after="60"/>
              <w:rPr>
                <w:sz w:val="20"/>
                <w:szCs w:val="20"/>
                <w:lang w:val="en-AU" w:eastAsia="en-AU"/>
              </w:rPr>
            </w:pPr>
            <w:r>
              <w:rPr>
                <w:sz w:val="20"/>
                <w:szCs w:val="20"/>
                <w:lang w:val="en-AU" w:eastAsia="en-AU"/>
              </w:rPr>
            </w:r>
          </w:p>
          <w:p>
            <w:pPr>
              <w:pStyle w:val="Normal"/>
              <w:spacing w:before="60" w:after="60"/>
              <w:rPr>
                <w:sz w:val="20"/>
                <w:szCs w:val="20"/>
                <w:lang w:val="en-AU" w:eastAsia="en-AU"/>
              </w:rPr>
            </w:pPr>
            <w:r>
              <w:rPr>
                <w:sz w:val="20"/>
                <w:szCs w:val="20"/>
                <w:lang w:val="en-AU" w:eastAsia="en-AU"/>
              </w:rPr>
              <w:t>{% endif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Monitoring and evaluation processes (A5.3)</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faira_form.A5_3 | format_list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Monitoring frequency (A5.4)</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faira_form.A5_4 if faira_form.A5_4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Independent review conducted (A5.5)</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faira_form.A5_5 if faira_form.A5_5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Responsible monitoring role (A5.6)</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faira_form.A5_6 if faira_form.A5_6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Stakeholder engagement mechanisms (A5.7)</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faira_form.A5_7 | format_list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Detection of harmful outcomes (A5.8)</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faira_form.A5_8 | format_list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Values and principles applied (A5.9)</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faira_form.A5_9 | format_list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Sector-specific obligations identified (A5.10)</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faira_form.A5_10 if faira_form.A5_10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Deployment context (A5.11)</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 faira_form.A5_11 if faira_form.A5_11 else "Not specified" }}</w:t>
            </w:r>
          </w:p>
        </w:tc>
      </w:tr>
      <w:tr>
        <w:trPr/>
        <w:tc>
          <w:tcPr>
            <w:tcW w:w="431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Referenced frameworks and standards (A5.12)</w:t>
            </w:r>
          </w:p>
        </w:tc>
        <w:tc>
          <w:tcPr>
            <w:tcW w:w="470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 faira_form.A5_12 | format_list }}</w:t>
            </w:r>
          </w:p>
        </w:tc>
      </w:tr>
    </w:tbl>
    <w:p>
      <w:pPr>
        <w:pStyle w:val="Caption"/>
        <w:rPr>
          <w:lang w:eastAsia="en-AU"/>
        </w:rPr>
      </w:pPr>
      <w:bookmarkStart w:id="13" w:name="_Toc220351600"/>
      <w:r>
        <w:rPr/>
        <w:t xml:space="preserve">Table </w:t>
      </w:r>
      <w:r>
        <w:rPr/>
        <w:fldChar w:fldCharType="begin"/>
      </w:r>
      <w:r>
        <w:rPr/>
        <w:instrText xml:space="preserve"> SEQ Table \* ARABIC </w:instrText>
      </w:r>
      <w:r>
        <w:rPr/>
        <w:fldChar w:fldCharType="separate"/>
      </w:r>
      <w:r>
        <w:rPr/>
        <w:t>5</w:t>
      </w:r>
      <w:r>
        <w:rPr/>
        <w:fldChar w:fldCharType="end"/>
      </w:r>
      <w:r>
        <w:rPr/>
        <w:t xml:space="preserve"> - Governance and Oversight summary</w:t>
      </w:r>
      <w:bookmarkEnd w:id="13"/>
    </w:p>
    <w:p>
      <w:pPr>
        <w:pStyle w:val="Normal"/>
        <w:rPr>
          <w:lang w:val="en-AU" w:eastAsia="en-AU"/>
        </w:rPr>
      </w:pPr>
      <w:r>
        <w:rPr>
          <w:lang w:val="en-AU" w:eastAsia="en-AU"/>
        </w:rPr>
      </w:r>
    </w:p>
    <w:p>
      <w:pPr>
        <w:pStyle w:val="Heading01"/>
        <w:numPr>
          <w:ilvl w:val="0"/>
          <w:numId w:val="1"/>
        </w:numPr>
        <w:rPr>
          <w:lang w:val="en-AU" w:eastAsia="en-AU"/>
        </w:rPr>
      </w:pPr>
      <w:bookmarkStart w:id="14" w:name="_Toc220351601"/>
      <w:r>
        <w:rPr>
          <w:lang w:val="en-AU" w:eastAsia="en-AU"/>
        </w:rPr>
        <w:t>Part B – AI Ethics Principles Risk Assessment</w:t>
      </w:r>
      <w:bookmarkEnd w:id="14"/>
    </w:p>
    <w:p>
      <w:pPr>
        <w:pStyle w:val="Normal"/>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pPr>
        <w:pStyle w:val="Normal"/>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pPr>
        <w:pStyle w:val="Normal"/>
        <w:rPr>
          <w:lang w:eastAsia="en-AU"/>
        </w:rPr>
      </w:pPr>
      <w:r>
        <w:rPr>
          <w:lang w:eastAsia="en-AU"/>
        </w:rPr>
        <w:t>These domain-level results provide the basis for identifying priority risk areas and informing recommended controls and actions.</w:t>
      </w:r>
    </w:p>
    <w:p>
      <w:pPr>
        <w:pStyle w:val="Normal"/>
        <w:rPr>
          <w:i/>
          <w:iCs/>
          <w:color w:themeColor="text2" w:themeTint="bf" w:val="215E99"/>
          <w:sz w:val="22"/>
          <w:szCs w:val="22"/>
          <w:lang w:eastAsia="en-AU"/>
        </w:rPr>
      </w:pPr>
      <w:r>
        <w:rPr>
          <w:b/>
          <w:bCs/>
          <w:i/>
          <w:iCs/>
          <w:color w:themeColor="text2" w:themeTint="bf" w:val="215E99"/>
          <w:sz w:val="22"/>
          <w:szCs w:val="22"/>
          <w:lang w:eastAsia="en-AU"/>
        </w:rPr>
        <w:t>Note:</w:t>
      </w:r>
      <w:r>
        <w:rPr>
          <w:i/>
          <w:iCs/>
          <w:color w:themeColor="text2" w:themeTint="bf" w:val="215E99"/>
          <w:sz w:val="22"/>
          <w:szCs w:val="22"/>
          <w:lang w:eastAsia="en-AU"/>
        </w:rPr>
        <w:t xml:space="preserve"> Baseline exposure values are provided for contextual reference only and are not interpreted narratively in this report.</w:t>
      </w:r>
    </w:p>
    <w:p>
      <w:pPr>
        <w:pStyle w:val="Normal"/>
        <w:rPr>
          <w:i/>
          <w:iCs/>
          <w:color w:themeColor="text2" w:themeTint="bf" w:val="215E99"/>
          <w:sz w:val="22"/>
          <w:szCs w:val="22"/>
          <w:lang w:eastAsia="en-AU"/>
        </w:rPr>
      </w:pPr>
      <w:r>
        <w:rPr>
          <w:b/>
          <w:bCs/>
          <w:i/>
          <w:iCs/>
          <w:color w:themeColor="text2" w:themeTint="bf" w:val="215E99"/>
          <w:sz w:val="22"/>
          <w:szCs w:val="22"/>
          <w:lang w:eastAsia="en-AU"/>
        </w:rPr>
        <w:t>Note:</w:t>
      </w:r>
      <w:r>
        <w:rPr>
          <w:i/>
          <w:iCs/>
          <w:color w:themeColor="text2" w:themeTint="bf" w:val="215E99"/>
          <w:sz w:val="22"/>
          <w:szCs w:val="22"/>
          <w:lang w:eastAsia="en-AU"/>
        </w:rPr>
        <w:t xml:space="preserve"> Domain Interpretation sections are explanatory in nature and are intended to support understanding of risk concepts rather than restate scores, assessment inputs, or recommended actions.</w:t>
      </w:r>
    </w:p>
    <w:p>
      <w:pPr>
        <w:pStyle w:val="Normal"/>
        <w:rPr>
          <w:lang w:val="en-AU" w:eastAsia="en-AU"/>
        </w:rPr>
      </w:pPr>
      <w:r>
        <w:rPr>
          <w:lang w:val="en-AU" w:eastAsia="en-AU"/>
        </w:rPr>
        <w:t xml:space="preserve">{{ai.f_domain_analysis}} </w:t>
      </w:r>
    </w:p>
    <w:p>
      <w:pPr>
        <w:pStyle w:val="Heading02"/>
        <w:numPr>
          <w:ilvl w:val="1"/>
          <w:numId w:val="1"/>
        </w:numPr>
        <w:ind w:hanging="432" w:start="432"/>
        <w:rPr>
          <w:lang w:val="en-AU" w:eastAsia="en-AU"/>
        </w:rPr>
      </w:pPr>
      <w:bookmarkStart w:id="15" w:name="_Toc220351602"/>
      <w:r>
        <w:rPr>
          <w:lang w:val="en-AU" w:eastAsia="en-AU"/>
        </w:rPr>
        <w:t>Accountability</w:t>
      </w:r>
      <w:bookmarkEnd w:id="15"/>
    </w:p>
    <w:p>
      <w:pPr>
        <w:pStyle w:val="Normal"/>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pPr>
        <w:pStyle w:val="Normal"/>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pPr>
        <w:pStyle w:val="Normal"/>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pPr>
        <w:pStyle w:val="Normal"/>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Pr>
          <w:highlight w:val="yellow"/>
          <w:lang w:val="en-AU" w:eastAsia="en-AU"/>
        </w:rPr>
        <w:t>({{ faira_form.A5_2 | format_list }}).</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pPr>
        <w:pStyle w:val="Normal"/>
        <w:rPr>
          <w:lang w:val="en-AU" w:eastAsia="en-AU"/>
        </w:rPr>
      </w:pPr>
      <w:r>
        <w:rPr>
          <w:lang w:val="en-AU" w:eastAsia="en-AU"/>
        </w:rPr>
        <w:t>These results represent residual risk, indicating the extent to which accountability-related risks may persist under current operating conditions and governance arrangements.</w:t>
      </w:r>
    </w:p>
    <w:p>
      <w:pPr>
        <w:pStyle w:val="Normal"/>
        <w:rPr>
          <w:lang w:val="en-AU" w:eastAsia="en-AU"/>
        </w:rPr>
      </w:pPr>
      <w:r>
        <w:rPr/>
        <mc:AlternateContent>
          <mc:Choice Requires="wps">
            <w:drawing>
              <wp:inline distT="0" distB="0" distL="0" distR="0" wp14:anchorId="0E5B2135">
                <wp:extent cx="5731510" cy="19050"/>
                <wp:effectExtent l="0" t="0" r="0" b="0"/>
                <wp:docPr id="2" name="Rectangle 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0E5B2135">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Accountability Considerations</w:t>
      </w:r>
    </w:p>
    <w:p>
      <w:pPr>
        <w:pStyle w:val="Normal"/>
        <w:numPr>
          <w:ilvl w:val="0"/>
          <w:numId w:val="11"/>
        </w:numPr>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pPr>
        <w:pStyle w:val="Normal"/>
        <w:numPr>
          <w:ilvl w:val="0"/>
          <w:numId w:val="11"/>
        </w:numPr>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pPr>
        <w:pStyle w:val="Normal"/>
        <w:numPr>
          <w:ilvl w:val="0"/>
          <w:numId w:val="11"/>
        </w:numPr>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pPr>
        <w:pStyle w:val="Normal"/>
        <w:numPr>
          <w:ilvl w:val="0"/>
          <w:numId w:val="11"/>
        </w:numPr>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pPr>
        <w:pStyle w:val="Normal"/>
        <w:rPr>
          <w:b/>
          <w:bCs/>
          <w:lang w:eastAsia="en-AU"/>
        </w:rPr>
      </w:pPr>
      <w:r>
        <w:rPr>
          <w:b/>
          <w:bCs/>
          <w:lang w:eastAsia="en-AU"/>
        </w:rPr>
        <w:t>FAIRA Domain Risk Profile — Accountability</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2635"/>
        <w:gridCol w:w="2520"/>
        <w:gridCol w:w="3861"/>
      </w:tblGrid>
      <w:tr>
        <w:trPr>
          <w:tblHeader w:val="true"/>
        </w:trPr>
        <w:tc>
          <w:tcPr>
            <w:tcW w:w="263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52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386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263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52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{{domain_scores.Accountability.Impact}}</w:t>
            </w:r>
          </w:p>
        </w:tc>
        <w:tc>
          <w:tcPr>
            <w:tcW w:w="38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unclear or fragmented accountability</w:t>
            </w:r>
          </w:p>
        </w:tc>
      </w:tr>
      <w:tr>
        <w:trPr/>
        <w:tc>
          <w:tcPr>
            <w:tcW w:w="263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52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{{domain_scores.Accountability.Likelihood}}</w:t>
            </w:r>
          </w:p>
        </w:tc>
        <w:tc>
          <w:tcPr>
            <w:tcW w:w="38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accountability gaps may affect oversight or decision-making</w:t>
            </w:r>
          </w:p>
        </w:tc>
      </w:tr>
      <w:tr>
        <w:trPr/>
        <w:tc>
          <w:tcPr>
            <w:tcW w:w="263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52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{{domain_scores.Accountability.Inherent_Risk}}</w:t>
            </w:r>
          </w:p>
        </w:tc>
        <w:tc>
          <w:tcPr>
            <w:tcW w:w="38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263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52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accountability and oversight arrangements</w:t>
            </w:r>
          </w:p>
        </w:tc>
      </w:tr>
      <w:tr>
        <w:trPr/>
        <w:tc>
          <w:tcPr>
            <w:tcW w:w="263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52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{{domain_scores.Accountability.Risk}}</w:t>
            </w:r>
          </w:p>
        </w:tc>
        <w:tc>
          <w:tcPr>
            <w:tcW w:w="386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accountability-related risk requiring consideration</w:t>
            </w:r>
          </w:p>
        </w:tc>
      </w:tr>
    </w:tbl>
    <w:p>
      <w:pPr>
        <w:pStyle w:val="Caption"/>
        <w:rPr>
          <w:lang w:val="en-AU" w:eastAsia="en-AU"/>
        </w:rPr>
      </w:pPr>
      <w:bookmarkStart w:id="16" w:name="_Toc220351603"/>
      <w:r>
        <w:rPr/>
        <w:t xml:space="preserve">Table </w:t>
      </w:r>
      <w:r>
        <w:rPr/>
        <w:fldChar w:fldCharType="begin"/>
      </w:r>
      <w:r>
        <w:rPr/>
        <w:instrText xml:space="preserve"> SEQ Table \* ARABIC </w:instrText>
      </w:r>
      <w:r>
        <w:rPr/>
        <w:fldChar w:fldCharType="separate"/>
      </w:r>
      <w:r>
        <w:rPr/>
        <w:t>6</w:t>
      </w:r>
      <w:r>
        <w:rPr/>
        <w:fldChar w:fldCharType="end"/>
      </w:r>
      <w:r>
        <w:rPr/>
        <w:t xml:space="preserve"> - Accountability FAIRA domain risk profile</w:t>
      </w:r>
      <w:bookmarkEnd w:id="16"/>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pPr>
        <w:pStyle w:val="Normal"/>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pPr>
        <w:pStyle w:val="Normal"/>
        <w:rPr>
          <w:b/>
          <w:bCs/>
          <w:lang w:val="en-AU" w:eastAsia="en-AU"/>
        </w:rPr>
      </w:pPr>
      <w:r>
        <w:rPr>
          <w:b/>
          <w:bCs/>
          <w:lang w:val="en-AU"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ListParagraph"/>
        <w:numPr>
          <w:ilvl w:val="0"/>
          <w:numId w:val="11"/>
        </w:numPr>
        <w:spacing w:before="60" w:after="60"/>
        <w:contextualSpacing w:val="false"/>
        <w:rPr>
          <w:lang w:val="en-AU" w:eastAsia="en-AU"/>
        </w:rPr>
      </w:pPr>
      <w:r>
        <w:rPr>
          <w:lang w:val="en-AU" w:eastAsia="en-AU"/>
        </w:rPr>
        <w:t>Formal assignment of end-to-end accountability for AI outcomes, including approval, monitoring, escalation, and incident response.</w:t>
      </w:r>
    </w:p>
    <w:p>
      <w:pPr>
        <w:pStyle w:val="ListParagraph"/>
        <w:numPr>
          <w:ilvl w:val="0"/>
          <w:numId w:val="11"/>
        </w:numPr>
        <w:spacing w:before="60" w:after="60"/>
        <w:contextualSpacing w:val="false"/>
        <w:rPr>
          <w:lang w:val="en-AU" w:eastAsia="en-AU"/>
        </w:rPr>
      </w:pPr>
      <w:r>
        <w:rPr>
          <w:lang w:val="en-AU" w:eastAsia="en-AU"/>
        </w:rPr>
        <w:t>Clear documentation of roles and responsibilities across the AI system lifecycle (design, deployment, operation, review).</w:t>
      </w:r>
    </w:p>
    <w:p>
      <w:pPr>
        <w:pStyle w:val="ListParagraph"/>
        <w:numPr>
          <w:ilvl w:val="0"/>
          <w:numId w:val="11"/>
        </w:numPr>
        <w:spacing w:before="60" w:after="60"/>
        <w:contextualSpacing w:val="false"/>
        <w:rPr>
          <w:lang w:val="en-AU" w:eastAsia="en-AU"/>
        </w:rPr>
      </w:pPr>
      <w:r>
        <w:rPr>
          <w:lang w:val="en-AU" w:eastAsia="en-AU"/>
        </w:rPr>
        <w:t>Defined escalation and decision-authority pathways for AI-related issues.</w:t>
      </w:r>
    </w:p>
    <w:p>
      <w:pPr>
        <w:pStyle w:val="ListParagraph"/>
        <w:numPr>
          <w:ilvl w:val="0"/>
          <w:numId w:val="11"/>
        </w:numPr>
        <w:spacing w:before="60" w:after="60"/>
        <w:contextualSpacing w:val="false"/>
        <w:rPr>
          <w:lang w:val="en-AU" w:eastAsia="en-AU"/>
        </w:rPr>
      </w:pPr>
      <w:r>
        <w:rPr>
          <w:lang w:val="en-AU" w:eastAsia="en-AU"/>
        </w:rPr>
        <w:t>Evidence that accountability arrangements are reviewed and updated as system context or use changes.</w:t>
      </w:r>
    </w:p>
    <w:p>
      <w:pPr>
        <w:pStyle w:val="ListParagraph"/>
        <w:numPr>
          <w:ilvl w:val="0"/>
          <w:numId w:val="11"/>
        </w:numPr>
        <w:spacing w:before="60" w:after="60"/>
        <w:contextualSpacing w:val="false"/>
        <w:rPr>
          <w:lang w:val="en-AU" w:eastAsia="en-AU"/>
        </w:rPr>
      </w:pPr>
      <w:r>
        <w:rPr>
          <w:lang w:val="en-AU" w:eastAsia="en-AU"/>
        </w:rPr>
        <w:t>Integration of AI accountability into existing governance or risk management structures.</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17" w:name="_Toc220351604"/>
      <w:r>
        <w:rPr>
          <w:lang w:val="en-AU" w:eastAsia="en-AU"/>
        </w:rPr>
        <w:t>Contestability</w:t>
      </w:r>
      <w:bookmarkEnd w:id="17"/>
    </w:p>
    <w:p>
      <w:pPr>
        <w:pStyle w:val="Normal"/>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pPr>
        <w:pStyle w:val="Normal"/>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pPr>
        <w:pStyle w:val="Normal"/>
        <w:rPr/>
      </w:pPr>
      <w:r>
        <w:rPr/>
        <w:t>{%p if faira_form.B7_1 == "Yes" %}</w:t>
      </w:r>
    </w:p>
    <w:p>
      <w:pPr>
        <w:pStyle w:val="Normal"/>
        <w:rPr/>
      </w:pPr>
      <w:r>
        <w:rP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pPr>
        <w:pStyle w:val="Normal"/>
        <w:rPr/>
      </w:pPr>
      <w:r>
        <w:rP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Pr>
          <w:highlight w:val="yellow"/>
        </w:rPr>
        <w:t>Outcomes following review are described as {{ faira_form.B7_1_outcome_change if faira_form.B7_1_outcome_change else "not specified" }}{% if faira_form.B7_1_describe %}.</w:t>
      </w:r>
      <w:r>
        <w:rPr/>
        <w:t xml:space="preserve"> Additional notes: {{ faira_form.B7_1_describe }}.</w:t>
      </w:r>
    </w:p>
    <w:p>
      <w:pPr>
        <w:pStyle w:val="Normal"/>
        <w:rPr/>
      </w:pPr>
      <w:r>
        <w:rPr/>
        <w:t>{% endif %}</w:t>
      </w:r>
    </w:p>
    <w:p>
      <w:pPr>
        <w:pStyle w:val="Normal"/>
        <w:rPr/>
      </w:pPr>
      <w:r>
        <w:rPr/>
        <w:t>{%p else %}</w:t>
      </w:r>
    </w:p>
    <w:p>
      <w:pPr>
        <w:pStyle w:val="Normal"/>
        <w:rPr/>
      </w:pPr>
      <w:r>
        <w:rPr/>
        <w:t>The assessment indicates that there is no defined process for challenging or reviewing AI-supported outcomes.</w:t>
      </w:r>
    </w:p>
    <w:p>
      <w:pPr>
        <w:pStyle w:val="Normal"/>
        <w:rPr/>
      </w:pPr>
      <w:r>
        <w:rPr/>
        <w:t>{%p endif %}</w:t>
      </w:r>
    </w:p>
    <w:p>
      <w:pPr>
        <w:pStyle w:val="Normal"/>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pPr>
        <w:pStyle w:val="Normal"/>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pPr>
        <w:pStyle w:val="Normal"/>
        <w:rPr>
          <w:lang w:val="en-AU" w:eastAsia="en-AU"/>
        </w:rPr>
      </w:pPr>
      <w:r>
        <w:rPr/>
        <mc:AlternateContent>
          <mc:Choice Requires="wps">
            <w:drawing>
              <wp:inline distT="0" distB="0" distL="0" distR="0" wp14:anchorId="2E8B4D5D">
                <wp:extent cx="5731510" cy="19050"/>
                <wp:effectExtent l="0" t="0" r="0" b="0"/>
                <wp:docPr id="3" name="Rectangle 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2E8B4D5D">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Contestability Considerations</w:t>
      </w:r>
    </w:p>
    <w:p>
      <w:pPr>
        <w:pStyle w:val="Normal"/>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pPr>
        <w:pStyle w:val="Normal"/>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Mechanisms to request review or challenge outcomes were assessed as {{ faira_form.B7_1 }}.</w:t>
      </w:r>
    </w:p>
    <w:p>
      <w:pPr>
        <w:pStyle w:val="Normal"/>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pPr>
        <w:pStyle w:val="Normal"/>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pPr>
        <w:pStyle w:val="Normal"/>
        <w:rPr>
          <w:b/>
          <w:bCs/>
          <w:lang w:eastAsia="en-AU"/>
        </w:rPr>
      </w:pPr>
      <w:r>
        <w:rPr>
          <w:b/>
          <w:bCs/>
          <w:lang w:eastAsia="en-AU"/>
        </w:rPr>
        <w:t>FAIRA Domain Risk Profile — Contestability</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2027"/>
        <w:gridCol w:w="3368"/>
        <w:gridCol w:w="3621"/>
      </w:tblGrid>
      <w:tr>
        <w:trPr>
          <w:tblHeader w:val="true"/>
        </w:trPr>
        <w:tc>
          <w:tcPr>
            <w:tcW w:w="2027"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3368"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362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202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336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{{domain_scores.Contestability.Impact}}</w:t>
            </w:r>
          </w:p>
        </w:tc>
        <w:tc>
          <w:tcPr>
            <w:tcW w:w="362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limited ability to contest outcomes</w:t>
            </w:r>
          </w:p>
        </w:tc>
      </w:tr>
      <w:tr>
        <w:trPr/>
        <w:tc>
          <w:tcPr>
            <w:tcW w:w="202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336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{{domain_scores.Contestability.Likelihood}}</w:t>
            </w:r>
          </w:p>
        </w:tc>
        <w:tc>
          <w:tcPr>
            <w:tcW w:w="362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contestability limitations may affect affected parties</w:t>
            </w:r>
          </w:p>
        </w:tc>
      </w:tr>
      <w:tr>
        <w:trPr/>
        <w:tc>
          <w:tcPr>
            <w:tcW w:w="202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336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{{domain_scores.Contestability.Inherent_Risk}}</w:t>
            </w:r>
          </w:p>
        </w:tc>
        <w:tc>
          <w:tcPr>
            <w:tcW w:w="362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202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336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review and escalation mechanisms</w:t>
            </w:r>
          </w:p>
        </w:tc>
      </w:tr>
      <w:tr>
        <w:trPr/>
        <w:tc>
          <w:tcPr>
            <w:tcW w:w="2027"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336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{{domain_scores.Contestability.Risk}}</w:t>
            </w:r>
          </w:p>
        </w:tc>
        <w:tc>
          <w:tcPr>
            <w:tcW w:w="362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contestability-related risk requiring consideration</w:t>
            </w:r>
          </w:p>
        </w:tc>
      </w:tr>
    </w:tbl>
    <w:p>
      <w:pPr>
        <w:pStyle w:val="Caption"/>
        <w:rPr/>
      </w:pPr>
      <w:bookmarkStart w:id="18" w:name="_Toc220351605"/>
      <w:r>
        <w:rPr/>
        <w:t xml:space="preserve">Table </w:t>
      </w:r>
      <w:r>
        <w:rPr/>
        <w:fldChar w:fldCharType="begin"/>
      </w:r>
      <w:r>
        <w:rPr/>
        <w:instrText xml:space="preserve"> SEQ Table \* ARABIC </w:instrText>
      </w:r>
      <w:r>
        <w:rPr/>
        <w:fldChar w:fldCharType="separate"/>
      </w:r>
      <w:r>
        <w:rPr/>
        <w:t>7</w:t>
      </w:r>
      <w:r>
        <w:rPr/>
        <w:fldChar w:fldCharType="end"/>
      </w:r>
      <w:r>
        <w:rPr/>
        <w:t xml:space="preserve"> - Contestability FAIRA domain risk profile</w:t>
      </w:r>
      <w:bookmarkEnd w:id="18"/>
    </w:p>
    <w:p>
      <w:pPr>
        <w:pStyle w:val="Normal"/>
        <w:rPr>
          <w:b/>
          <w:bCs/>
          <w:lang w:val="en-AU" w:eastAsia="en-AU"/>
        </w:rPr>
      </w:pPr>
      <w:r>
        <w:rPr>
          <w:b/>
          <w:bCs/>
        </w:rPr>
        <w:t>Contestability process for AI-supported outcomes</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3241"/>
        <w:gridCol w:w="5785"/>
      </w:tblGrid>
      <w:tr>
        <w:trPr>
          <w:tblHeader w:val="true"/>
        </w:trPr>
        <w:tc>
          <w:tcPr>
            <w:tcW w:w="32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Aspect</w:t>
            </w:r>
          </w:p>
        </w:tc>
        <w:tc>
          <w:tcPr>
            <w:tcW w:w="578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32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green"/>
                <w:lang w:val="en-AU" w:eastAsia="en-AU"/>
              </w:rPr>
            </w:pPr>
            <w:r>
              <w:rPr>
                <w:sz w:val="20"/>
                <w:szCs w:val="20"/>
                <w:highlight w:val="green"/>
              </w:rPr>
              <w:t>Contestability process for AI-supported outcomes (B7.1)</w:t>
            </w:r>
          </w:p>
        </w:tc>
        <w:tc>
          <w:tcPr>
            <w:tcW w:w="578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{%p if faira_form.B7_1 == "Yes" %}</w:t>
            </w:r>
          </w:p>
          <w:p>
            <w:pPr>
              <w:pStyle w:val="Normal"/>
              <w:rPr>
                <w:sz w:val="20"/>
                <w:szCs w:val="20"/>
              </w:rPr>
            </w:pPr>
            <w:r>
              <w:rPr>
                <w:sz w:val="20"/>
                <w:szCs w:val="20"/>
              </w:rPr>
              <w:t xml:space="preserve">• </w:t>
            </w:r>
            <w:r>
              <w:rPr>
                <w:sz w:val="20"/>
                <w:szCs w:val="20"/>
              </w:rPr>
              <w:t>Initiators: {{ (faira_form.B7_1_initiators | format_list) if faira_form.B7_1_initiators else "not specified" }}</w:t>
            </w:r>
          </w:p>
          <w:p>
            <w:pPr>
              <w:pStyle w:val="Normal"/>
              <w:rPr>
                <w:sz w:val="20"/>
                <w:szCs w:val="20"/>
              </w:rPr>
            </w:pPr>
            <w:r>
              <w:rPr>
                <w:sz w:val="20"/>
                <w:szCs w:val="20"/>
              </w:rPr>
              <w:t xml:space="preserve">• </w:t>
            </w:r>
            <w:r>
              <w:rPr>
                <w:sz w:val="20"/>
                <w:szCs w:val="20"/>
              </w:rPr>
              <w:t>Channels: {{ (faira_form.B7_1_channels | format_list) if faira_form.B7_1_channels else "not specified" }}</w:t>
            </w:r>
          </w:p>
          <w:p>
            <w:pPr>
              <w:pStyle w:val="Normal"/>
              <w:rPr>
                <w:sz w:val="20"/>
                <w:szCs w:val="20"/>
              </w:rPr>
            </w:pPr>
            <w:r>
              <w:rPr>
                <w:sz w:val="20"/>
                <w:szCs w:val="20"/>
              </w:rPr>
              <w:t xml:space="preserve">• </w:t>
            </w:r>
            <w:r>
              <w:rPr>
                <w:sz w:val="20"/>
                <w:szCs w:val="20"/>
              </w:rPr>
              <w:t>Review process: {{ (faira_form.B7_1_review_process | format_list) if faira_form.B7_1_review_process else "not specified" }}</w:t>
            </w:r>
          </w:p>
          <w:p>
            <w:pPr>
              <w:pStyle w:val="Normal"/>
              <w:rPr>
                <w:sz w:val="20"/>
                <w:szCs w:val="20"/>
              </w:rPr>
            </w:pPr>
            <w:r>
              <w:rPr>
                <w:sz w:val="20"/>
                <w:szCs w:val="20"/>
              </w:rPr>
              <w:t xml:space="preserve">• </w:t>
            </w:r>
            <w:r>
              <w:rPr>
                <w:sz w:val="20"/>
                <w:szCs w:val="20"/>
              </w:rPr>
              <w:t>Review inputs: {{ (faira_form.B7_1_review_inputs | format_list) if faira_form.B7_1_review_inputs else "not specified" }}</w:t>
            </w:r>
          </w:p>
          <w:p>
            <w:pPr>
              <w:pStyle w:val="Normal"/>
              <w:rPr>
                <w:sz w:val="20"/>
                <w:szCs w:val="20"/>
              </w:rPr>
            </w:pPr>
            <w:r>
              <w:rPr>
                <w:sz w:val="20"/>
                <w:szCs w:val="20"/>
              </w:rPr>
              <w:t xml:space="preserve">• </w:t>
            </w:r>
            <w:r>
              <w:rPr>
                <w:sz w:val="20"/>
                <w:szCs w:val="20"/>
              </w:rPr>
              <w:t>Outcome change: {{ faira_form.B7_1_outcome_change if faira_form.B7_1_outcome_change else "not specified" }}</w:t>
            </w:r>
          </w:p>
          <w:p>
            <w:pPr>
              <w:pStyle w:val="Normal"/>
              <w:rPr>
                <w:sz w:val="20"/>
                <w:szCs w:val="20"/>
              </w:rPr>
            </w:pPr>
            <w:r>
              <w:rPr>
                <w:sz w:val="20"/>
                <w:szCs w:val="20"/>
              </w:rPr>
              <w:t>{%p if faira_form.B7_1_describe %}</w:t>
            </w:r>
          </w:p>
          <w:p>
            <w:pPr>
              <w:pStyle w:val="Normal"/>
              <w:rPr>
                <w:sz w:val="20"/>
                <w:szCs w:val="20"/>
              </w:rPr>
            </w:pPr>
            <w:r>
              <w:rPr>
                <w:sz w:val="20"/>
                <w:szCs w:val="20"/>
              </w:rPr>
              <w:t xml:space="preserve">• </w:t>
            </w:r>
            <w:r>
              <w:rPr>
                <w:sz w:val="20"/>
                <w:szCs w:val="20"/>
              </w:rPr>
              <w:t>Notes: {{ faira_form.B7_1_describe }}</w:t>
            </w:r>
          </w:p>
          <w:p>
            <w:pPr>
              <w:pStyle w:val="Normal"/>
              <w:rPr>
                <w:sz w:val="20"/>
                <w:szCs w:val="20"/>
              </w:rPr>
            </w:pPr>
            <w:r>
              <w:rPr>
                <w:sz w:val="20"/>
                <w:szCs w:val="20"/>
              </w:rPr>
              <w:t>{%p endif %}</w:t>
            </w:r>
          </w:p>
          <w:p>
            <w:pPr>
              <w:pStyle w:val="Normal"/>
              <w:rPr>
                <w:sz w:val="20"/>
                <w:szCs w:val="20"/>
              </w:rPr>
            </w:pPr>
            <w:r>
              <w:rPr>
                <w:sz w:val="20"/>
                <w:szCs w:val="20"/>
              </w:rPr>
              <w:t>{%p elif faira_form.B7_1 == "No" %}</w:t>
            </w:r>
          </w:p>
          <w:p>
            <w:pPr>
              <w:pStyle w:val="Normal"/>
              <w:rPr>
                <w:sz w:val="20"/>
                <w:szCs w:val="20"/>
              </w:rPr>
            </w:pPr>
            <w:r>
              <w:rPr>
                <w:sz w:val="20"/>
                <w:szCs w:val="20"/>
              </w:rPr>
              <w:t>No</w:t>
            </w:r>
          </w:p>
          <w:p>
            <w:pPr>
              <w:pStyle w:val="Normal"/>
              <w:rPr>
                <w:sz w:val="20"/>
                <w:szCs w:val="20"/>
              </w:rPr>
            </w:pPr>
            <w:r>
              <w:rPr>
                <w:sz w:val="20"/>
                <w:szCs w:val="20"/>
              </w:rPr>
              <w:t>{%p else %}</w:t>
            </w:r>
          </w:p>
          <w:p>
            <w:pPr>
              <w:pStyle w:val="Normal"/>
              <w:rPr>
                <w:sz w:val="20"/>
                <w:szCs w:val="20"/>
              </w:rPr>
            </w:pPr>
            <w:r>
              <w:rPr>
                <w:sz w:val="20"/>
                <w:szCs w:val="20"/>
              </w:rPr>
              <w:t>Not specified</w:t>
            </w:r>
          </w:p>
          <w:p>
            <w:pPr>
              <w:pStyle w:val="Normal"/>
              <w:keepNext w:val="true"/>
              <w:spacing w:before="60" w:after="60"/>
              <w:rPr>
                <w:sz w:val="20"/>
                <w:szCs w:val="20"/>
                <w:lang w:val="en-AU" w:eastAsia="en-AU"/>
              </w:rPr>
            </w:pPr>
            <w:r>
              <w:rPr>
                <w:sz w:val="20"/>
                <w:szCs w:val="20"/>
              </w:rPr>
              <w:t>{%p endif %}</w:t>
            </w:r>
          </w:p>
        </w:tc>
      </w:tr>
    </w:tbl>
    <w:p>
      <w:pPr>
        <w:pStyle w:val="Caption"/>
        <w:rPr>
          <w:b/>
          <w:bCs/>
          <w:lang w:val="en-AU" w:eastAsia="en-AU"/>
        </w:rPr>
      </w:pPr>
      <w:r>
        <w:rPr/>
        <w:t xml:space="preserve">Table </w:t>
      </w:r>
      <w:r>
        <w:rPr/>
        <w:fldChar w:fldCharType="begin"/>
      </w:r>
      <w:r>
        <w:rPr/>
        <w:instrText xml:space="preserve"> SEQ Table \* ARABIC </w:instrText>
      </w:r>
      <w:r>
        <w:rPr/>
        <w:fldChar w:fldCharType="separate"/>
      </w:r>
      <w:r>
        <w:rPr/>
        <w:t>8</w:t>
      </w:r>
      <w:r>
        <w:rPr/>
        <w:fldChar w:fldCharType="end"/>
      </w:r>
      <w:r>
        <w:rPr/>
        <w:t xml:space="preserve"> - Contestability process for AI-supported outcomes</w:t>
      </w:r>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pPr>
        <w:pStyle w:val="Normal"/>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pPr>
        <w:pStyle w:val="Normal"/>
        <w:rPr>
          <w:b/>
          <w:bCs/>
          <w:lang w:val="en-AU" w:eastAsia="en-AU"/>
        </w:rPr>
      </w:pPr>
      <w:r>
        <w:rPr>
          <w:b/>
          <w:bCs/>
          <w:lang w:val="en-AU"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Normal"/>
        <w:numPr>
          <w:ilvl w:val="0"/>
          <w:numId w:val="13"/>
        </w:numPr>
        <w:spacing w:before="60" w:after="60"/>
        <w:rPr>
          <w:lang w:val="en-AU" w:eastAsia="en-AU"/>
        </w:rPr>
      </w:pPr>
      <w:r>
        <w:rPr>
          <w:lang w:val="en-AU" w:eastAsia="en-AU"/>
        </w:rPr>
        <w:t>Establishment of clear, accessible processes for individuals or groups to challenge or seek review of AI-supported outcomes.</w:t>
      </w:r>
    </w:p>
    <w:p>
      <w:pPr>
        <w:pStyle w:val="Normal"/>
        <w:numPr>
          <w:ilvl w:val="0"/>
          <w:numId w:val="13"/>
        </w:numPr>
        <w:spacing w:before="60" w:after="60"/>
        <w:rPr>
          <w:lang w:val="en-AU" w:eastAsia="en-AU"/>
        </w:rPr>
      </w:pPr>
      <w:r>
        <w:rPr>
          <w:lang w:val="en-AU" w:eastAsia="en-AU"/>
        </w:rPr>
        <w:t>Defined service levels or timeframes for responding to challenges or review requests.</w:t>
      </w:r>
    </w:p>
    <w:p>
      <w:pPr>
        <w:pStyle w:val="Normal"/>
        <w:numPr>
          <w:ilvl w:val="0"/>
          <w:numId w:val="13"/>
        </w:numPr>
        <w:spacing w:before="60" w:after="60"/>
        <w:rPr>
          <w:lang w:val="en-AU" w:eastAsia="en-AU"/>
        </w:rPr>
      </w:pPr>
      <w:r>
        <w:rPr>
          <w:lang w:val="en-AU" w:eastAsia="en-AU"/>
        </w:rPr>
        <w:t>Availability of human review or override for contested decisions where appropriate.</w:t>
      </w:r>
    </w:p>
    <w:p>
      <w:pPr>
        <w:pStyle w:val="Normal"/>
        <w:numPr>
          <w:ilvl w:val="0"/>
          <w:numId w:val="13"/>
        </w:numPr>
        <w:spacing w:before="60" w:after="60"/>
        <w:rPr>
          <w:lang w:val="en-AU" w:eastAsia="en-AU"/>
        </w:rPr>
      </w:pPr>
      <w:r>
        <w:rPr>
          <w:lang w:val="en-AU" w:eastAsia="en-AU"/>
        </w:rPr>
        <w:t>Clear communication to affected parties about how and when decisions can be challenged.</w:t>
      </w:r>
    </w:p>
    <w:p>
      <w:pPr>
        <w:pStyle w:val="Normal"/>
        <w:numPr>
          <w:ilvl w:val="0"/>
          <w:numId w:val="13"/>
        </w:numPr>
        <w:spacing w:before="60" w:after="60"/>
        <w:rPr>
          <w:lang w:val="en-AU" w:eastAsia="en-AU"/>
        </w:rPr>
      </w:pPr>
      <w:r>
        <w:rPr>
          <w:lang w:val="en-AU" w:eastAsia="en-AU"/>
        </w:rPr>
        <w:t>Evidence that contestability processes are actively used, monitored, and improved over time.</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19" w:name="_Toc220351606"/>
      <w:r>
        <w:rPr>
          <w:lang w:val="en-AU" w:eastAsia="en-AU"/>
        </w:rPr>
        <w:t>Fairness</w:t>
      </w:r>
      <w:bookmarkEnd w:id="19"/>
    </w:p>
    <w:p>
      <w:pPr>
        <w:pStyle w:val="Normal"/>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pPr>
        <w:pStyle w:val="Normal"/>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pPr>
        <w:pStyle w:val="Normal"/>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pPr>
        <w:pStyle w:val="Normal"/>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pPr>
        <w:pStyle w:val="Normal"/>
        <w:rPr>
          <w:lang w:val="en-AU" w:eastAsia="en-AU"/>
        </w:rPr>
      </w:pPr>
      <w:r>
        <w:rPr/>
        <mc:AlternateContent>
          <mc:Choice Requires="wps">
            <w:drawing>
              <wp:inline distT="0" distB="0" distL="0" distR="0" wp14:anchorId="43C6079C">
                <wp:extent cx="5731510" cy="19050"/>
                <wp:effectExtent l="0" t="0" r="0" b="0"/>
                <wp:docPr id="4" name="Rectangle 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43C6079C">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Fairness Considerations</w:t>
      </w:r>
    </w:p>
    <w:p>
      <w:pPr>
        <w:pStyle w:val="Normal"/>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pPr>
        <w:pStyle w:val="Normal"/>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pPr>
        <w:pStyle w:val="Normal"/>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pPr>
        <w:pStyle w:val="Normal"/>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pPr>
        <w:pStyle w:val="Normal"/>
        <w:rPr>
          <w:b/>
          <w:bCs/>
          <w:lang w:eastAsia="en-AU"/>
        </w:rPr>
      </w:pPr>
      <w:r>
        <w:rPr>
          <w:b/>
          <w:bCs/>
          <w:lang w:eastAsia="en-AU"/>
        </w:rPr>
        <w:t>FAIRA Domain Risk Profile — Fairness</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1795"/>
        <w:gridCol w:w="2758"/>
        <w:gridCol w:w="4463"/>
      </w:tblGrid>
      <w:tr>
        <w:trPr>
          <w:tblHeader w:val="true"/>
        </w:trPr>
        <w:tc>
          <w:tcPr>
            <w:tcW w:w="179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758"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4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75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{{domain_scores.Fairness.Impact}}</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unfair or discriminatory outcomes</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75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{{domain_scores.Fairness.Likelihood}}</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fairness-related harms may occur</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75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{{domain_scores.Fairness.Inherent_Risk}}</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75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{{domain_scores.Fairness.Control_Effectiveness}}</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bias mitigation and oversight mechanisms</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758"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{{domain_scores.Fairness.Risk}}</w:t>
            </w:r>
          </w:p>
        </w:tc>
        <w:tc>
          <w:tcPr>
            <w:tcW w:w="4463"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fairness-related risk requiring consideration</w:t>
            </w:r>
          </w:p>
        </w:tc>
      </w:tr>
    </w:tbl>
    <w:p>
      <w:pPr>
        <w:pStyle w:val="Caption"/>
        <w:rPr/>
      </w:pPr>
      <w:bookmarkStart w:id="20" w:name="_Toc220351607"/>
      <w:r>
        <w:rPr/>
        <w:t xml:space="preserve">Table </w:t>
      </w:r>
      <w:r>
        <w:rPr/>
        <w:fldChar w:fldCharType="begin"/>
      </w:r>
      <w:r>
        <w:rPr/>
        <w:instrText xml:space="preserve"> SEQ Table \* ARABIC </w:instrText>
      </w:r>
      <w:r>
        <w:rPr/>
        <w:fldChar w:fldCharType="separate"/>
      </w:r>
      <w:r>
        <w:rPr/>
        <w:t>9</w:t>
      </w:r>
      <w:r>
        <w:rPr/>
        <w:fldChar w:fldCharType="end"/>
      </w:r>
      <w:r>
        <w:rPr/>
        <w:t xml:space="preserve"> - Fairness FAIRA domain risk profile</w:t>
      </w:r>
      <w:bookmarkEnd w:id="20"/>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pPr>
        <w:pStyle w:val="Normal"/>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Normal"/>
        <w:numPr>
          <w:ilvl w:val="0"/>
          <w:numId w:val="14"/>
        </w:numPr>
        <w:spacing w:before="60" w:after="60"/>
        <w:rPr>
          <w:lang w:val="en-AU" w:eastAsia="en-AU"/>
        </w:rPr>
      </w:pPr>
      <w:r>
        <w:rPr>
          <w:lang w:val="en-AU" w:eastAsia="en-AU"/>
        </w:rPr>
        <w:t>Regular assessment of training and operational data for bias, representativeness, and proxy variables.</w:t>
      </w:r>
    </w:p>
    <w:p>
      <w:pPr>
        <w:pStyle w:val="Normal"/>
        <w:numPr>
          <w:ilvl w:val="0"/>
          <w:numId w:val="14"/>
        </w:numPr>
        <w:spacing w:before="60" w:after="60"/>
        <w:rPr>
          <w:lang w:val="en-AU" w:eastAsia="en-AU"/>
        </w:rPr>
      </w:pPr>
      <w:r>
        <w:rPr>
          <w:lang w:val="en-AU" w:eastAsia="en-AU"/>
        </w:rPr>
        <w:t>Implementation of fairness testing or monitoring processes relevant to the system's use and affected groups.</w:t>
      </w:r>
    </w:p>
    <w:p>
      <w:pPr>
        <w:pStyle w:val="Normal"/>
        <w:numPr>
          <w:ilvl w:val="0"/>
          <w:numId w:val="14"/>
        </w:numPr>
        <w:spacing w:before="60" w:after="60"/>
        <w:rPr>
          <w:lang w:val="en-AU" w:eastAsia="en-AU"/>
        </w:rPr>
      </w:pPr>
      <w:r>
        <w:rPr>
          <w:lang w:val="en-AU" w:eastAsia="en-AU"/>
        </w:rPr>
        <w:t>Clear documentation of identified bias risks and mitigation strategies.</w:t>
      </w:r>
    </w:p>
    <w:p>
      <w:pPr>
        <w:pStyle w:val="Normal"/>
        <w:numPr>
          <w:ilvl w:val="0"/>
          <w:numId w:val="14"/>
        </w:numPr>
        <w:spacing w:before="60" w:after="60"/>
        <w:rPr>
          <w:lang w:val="en-AU" w:eastAsia="en-AU"/>
        </w:rPr>
      </w:pPr>
      <w:r>
        <w:rPr>
          <w:lang w:val="en-AU" w:eastAsia="en-AU"/>
        </w:rPr>
        <w:t>Human oversight of outcomes where fairness risks are elevated or uncertain.</w:t>
      </w:r>
    </w:p>
    <w:p>
      <w:pPr>
        <w:pStyle w:val="Normal"/>
        <w:numPr>
          <w:ilvl w:val="0"/>
          <w:numId w:val="14"/>
        </w:numPr>
        <w:spacing w:before="60" w:after="60"/>
        <w:rPr>
          <w:lang w:val="en-AU" w:eastAsia="en-AU"/>
        </w:rPr>
      </w:pPr>
      <w:r>
        <w:rPr>
          <w:lang w:val="en-AU" w:eastAsia="en-AU"/>
        </w:rPr>
        <w:t>Ongoing monitoring to detect changes in population, data quality, or system behaviour that may affect fairness.</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21" w:name="_Toc220351608"/>
      <w:r>
        <w:rPr>
          <w:lang w:val="en-AU" w:eastAsia="en-AU"/>
        </w:rPr>
        <w:t>Human, Societal and Environmental Wellbeing</w:t>
      </w:r>
      <w:bookmarkEnd w:id="21"/>
    </w:p>
    <w:p>
      <w:pPr>
        <w:pStyle w:val="Normal"/>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pPr>
        <w:pStyle w:val="Normal"/>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pPr>
        <w:pStyle w:val="Normal"/>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pPr>
        <w:pStyle w:val="Normal"/>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pPr>
        <w:pStyle w:val="Normal"/>
        <w:rPr>
          <w:lang w:val="en-AU" w:eastAsia="en-AU"/>
        </w:rPr>
      </w:pPr>
      <w:r>
        <w:rPr/>
        <mc:AlternateContent>
          <mc:Choice Requires="wps">
            <w:drawing>
              <wp:inline distT="0" distB="0" distL="0" distR="0" wp14:anchorId="77A0A5E2">
                <wp:extent cx="5731510" cy="19050"/>
                <wp:effectExtent l="0" t="0" r="0" b="0"/>
                <wp:docPr id="5" name="Rectangle 8"/>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77A0A5E2">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Wellbeing Risk Considerations</w:t>
      </w:r>
    </w:p>
    <w:p>
      <w:pPr>
        <w:pStyle w:val="Normal"/>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pPr>
        <w:pStyle w:val="Normal"/>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pPr>
        <w:pStyle w:val="Normal"/>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pPr>
        <w:pStyle w:val="Normal"/>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pPr>
        <w:pStyle w:val="Normal"/>
        <w:rPr>
          <w:b/>
          <w:bCs/>
          <w:lang w:eastAsia="en-AU"/>
        </w:rPr>
      </w:pPr>
      <w:r>
        <w:rPr>
          <w:b/>
          <w:bCs/>
          <w:lang w:eastAsia="en-AU"/>
        </w:rPr>
        <w:t>FAIRA Domain Risk Profile — Human, Societal and Environmental Wellbeing</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1795"/>
        <w:gridCol w:w="2160"/>
        <w:gridCol w:w="5061"/>
      </w:tblGrid>
      <w:tr>
        <w:trPr>
          <w:tblHeader w:val="true"/>
        </w:trPr>
        <w:tc>
          <w:tcPr>
            <w:tcW w:w="179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16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506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1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{{domain_scores.Wellbeing.Impact}}</w:t>
            </w:r>
          </w:p>
        </w:tc>
        <w:tc>
          <w:tcPr>
            <w:tcW w:w="50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to individuals, communities, or broader societal outcomes</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1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{{domain_scores.Wellbeing.Likelihood}}</w:t>
            </w:r>
          </w:p>
        </w:tc>
        <w:tc>
          <w:tcPr>
            <w:tcW w:w="50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of wellbeing-related impacts occurring in the current context</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1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{{domain_scores.Wellbeing.Inherent_Risk}}</w:t>
            </w:r>
          </w:p>
        </w:tc>
        <w:tc>
          <w:tcPr>
            <w:tcW w:w="50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1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{{domain_scores.Wellbeing.Control_Effectiveness}}</w:t>
            </w:r>
          </w:p>
        </w:tc>
        <w:tc>
          <w:tcPr>
            <w:tcW w:w="506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governance, monitoring, and mitigation measures</w:t>
            </w:r>
          </w:p>
        </w:tc>
      </w:tr>
      <w:tr>
        <w:trPr/>
        <w:tc>
          <w:tcPr>
            <w:tcW w:w="1795"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1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{{domain_scores.Wellbeing.Risk}}</w:t>
            </w:r>
          </w:p>
        </w:tc>
        <w:tc>
          <w:tcPr>
            <w:tcW w:w="506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risk requiring management and explicit consideration</w:t>
            </w:r>
          </w:p>
        </w:tc>
      </w:tr>
    </w:tbl>
    <w:p>
      <w:pPr>
        <w:pStyle w:val="Caption"/>
        <w:rPr>
          <w:lang w:eastAsia="en-AU"/>
        </w:rPr>
      </w:pPr>
      <w:bookmarkStart w:id="22" w:name="_Toc220351609"/>
      <w:r>
        <w:rPr/>
        <w:t xml:space="preserve">Table </w:t>
      </w:r>
      <w:r>
        <w:rPr/>
        <w:fldChar w:fldCharType="begin"/>
      </w:r>
      <w:r>
        <w:rPr/>
        <w:instrText xml:space="preserve"> SEQ Table \* ARABIC </w:instrText>
      </w:r>
      <w:r>
        <w:rPr/>
        <w:fldChar w:fldCharType="separate"/>
      </w:r>
      <w:r>
        <w:rPr/>
        <w:t>10</w:t>
      </w:r>
      <w:r>
        <w:rPr/>
        <w:fldChar w:fldCharType="end"/>
      </w:r>
      <w:r>
        <w:rPr/>
        <w:t xml:space="preserve"> - Human, Societal and Environmental Wellbeing FAIRA domain risk profile</w:t>
      </w:r>
      <w:bookmarkEnd w:id="22"/>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pPr>
        <w:pStyle w:val="Normal"/>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ListParagraph"/>
        <w:numPr>
          <w:ilvl w:val="0"/>
          <w:numId w:val="5"/>
        </w:numPr>
        <w:spacing w:before="60" w:after="60"/>
        <w:contextualSpacing w:val="false"/>
        <w:rPr>
          <w:lang w:val="en-AU" w:eastAsia="en-AU"/>
        </w:rPr>
      </w:pPr>
      <w:r>
        <w:rPr>
          <w:lang w:val="en-AU" w:eastAsia="en-AU"/>
        </w:rPr>
        <w:t>Formal identification and documentation of potential impacts on individuals, communities, workforce conditions, or public trust.</w:t>
      </w:r>
    </w:p>
    <w:p>
      <w:pPr>
        <w:pStyle w:val="ListParagraph"/>
        <w:numPr>
          <w:ilvl w:val="0"/>
          <w:numId w:val="5"/>
        </w:numPr>
        <w:spacing w:before="60" w:after="60"/>
        <w:contextualSpacing w:val="false"/>
        <w:rPr>
          <w:lang w:val="en-AU" w:eastAsia="en-AU"/>
        </w:rPr>
      </w:pPr>
      <w:r>
        <w:rPr>
          <w:lang w:val="en-AU" w:eastAsia="en-AU"/>
        </w:rPr>
        <w:t>Clear mechanisms for detecting unintended or harmful outcomes during system operation.</w:t>
      </w:r>
    </w:p>
    <w:p>
      <w:pPr>
        <w:pStyle w:val="ListParagraph"/>
        <w:numPr>
          <w:ilvl w:val="0"/>
          <w:numId w:val="5"/>
        </w:numPr>
        <w:spacing w:before="60" w:after="60"/>
        <w:contextualSpacing w:val="false"/>
        <w:rPr>
          <w:lang w:val="en-AU" w:eastAsia="en-AU"/>
        </w:rPr>
      </w:pPr>
      <w:r>
        <w:rPr>
          <w:lang w:val="en-AU" w:eastAsia="en-AU"/>
        </w:rPr>
        <w:t>Engagement with affected stakeholders or user groups to understand real-world impacts.</w:t>
      </w:r>
    </w:p>
    <w:p>
      <w:pPr>
        <w:pStyle w:val="ListParagraph"/>
        <w:numPr>
          <w:ilvl w:val="0"/>
          <w:numId w:val="5"/>
        </w:numPr>
        <w:spacing w:before="60" w:after="60"/>
        <w:contextualSpacing w:val="false"/>
        <w:rPr>
          <w:lang w:val="en-AU" w:eastAsia="en-AU"/>
        </w:rPr>
      </w:pPr>
      <w:r>
        <w:rPr>
          <w:lang w:val="en-AU" w:eastAsia="en-AU"/>
        </w:rPr>
        <w:t>Governance processes that explicitly consider cumulative, long-term, or indirect impacts.</w:t>
      </w:r>
    </w:p>
    <w:p>
      <w:pPr>
        <w:pStyle w:val="ListParagraph"/>
        <w:numPr>
          <w:ilvl w:val="0"/>
          <w:numId w:val="5"/>
        </w:numPr>
        <w:spacing w:before="60" w:after="60"/>
        <w:contextualSpacing w:val="false"/>
        <w:rPr>
          <w:lang w:val="en-AU" w:eastAsia="en-AU"/>
        </w:rPr>
      </w:pPr>
      <w:r>
        <w:rPr>
          <w:lang w:val="en-AU" w:eastAsia="en-AU"/>
        </w:rPr>
        <w:t>Periodic review of wellbeing impacts as system use, scale, or context evolves.</w:t>
      </w:r>
    </w:p>
    <w:p>
      <w:pPr>
        <w:pStyle w:val="Normal"/>
        <w:rPr>
          <w:b/>
          <w:bCs/>
          <w:lang w:val="en-AU" w:eastAsia="en-AU"/>
        </w:rPr>
      </w:pPr>
      <w:r>
        <w:rPr>
          <w:b/>
          <w:bCs/>
          <w:lang w:val="en-AU" w:eastAsia="en-AU"/>
        </w:rPr>
      </w:r>
    </w:p>
    <w:p>
      <w:pPr>
        <w:pStyle w:val="Heading02"/>
        <w:numPr>
          <w:ilvl w:val="1"/>
          <w:numId w:val="1"/>
        </w:numPr>
        <w:ind w:hanging="432" w:start="432"/>
        <w:rPr>
          <w:lang w:val="en-AU" w:eastAsia="en-AU"/>
        </w:rPr>
      </w:pPr>
      <w:bookmarkStart w:id="23" w:name="_Toc220351610"/>
      <w:r>
        <w:rPr>
          <w:lang w:val="en-AU" w:eastAsia="en-AU"/>
        </w:rPr>
        <w:t>Human-Centred Values</w:t>
      </w:r>
      <w:bookmarkEnd w:id="23"/>
    </w:p>
    <w:p>
      <w:pPr>
        <w:pStyle w:val="Normal"/>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pPr>
        <w:pStyle w:val="Normal"/>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pPr>
        <w:pStyle w:val="Normal"/>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{{domain_scores.HumanCenteredValues.Impact}}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{{domain_scores.HumanCenteredValues.Likelihood}}</w:t>
      </w:r>
      <w:r>
        <w:rPr>
          <w:lang w:val="en-AU" w:eastAsia="en-AU"/>
        </w:rPr>
        <w:t>, informed by the clarity, consistency, and practical application of stated values across the system lifecycle.</w:t>
      </w:r>
    </w:p>
    <w:p>
      <w:pPr>
        <w:pStyle w:val="Normal"/>
        <w:rPr>
          <w:lang w:val="en-AU" w:eastAsia="en-AU"/>
        </w:rPr>
      </w:pPr>
      <w:r>
        <w:rPr>
          <w:lang w:val="en-AU" w:eastAsia="en-AU"/>
        </w:rPr>
        <w:t xml:space="preserve">The effectiveness of existing controls relevant to this domain was assessed as </w:t>
      </w:r>
      <w:r>
        <w:rPr>
          <w:b/>
          <w:bCs/>
          <w:lang w:val="en-AU" w:eastAsia="en-AU"/>
        </w:rPr>
        <w:t>{{domain_scores.HumanCenteredValues.Control_Effectiveness}}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{{domain_scores.HumanCenteredValues.Risk}}</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pPr>
        <w:pStyle w:val="Normal"/>
        <w:rPr>
          <w:lang w:val="en-AU" w:eastAsia="en-AU"/>
        </w:rPr>
      </w:pPr>
      <w:r>
        <w:rPr/>
        <mc:AlternateContent>
          <mc:Choice Requires="wps">
            <w:drawing>
              <wp:inline distT="0" distB="0" distL="0" distR="0" wp14:anchorId="118CFA84">
                <wp:extent cx="5731510" cy="19050"/>
                <wp:effectExtent l="0" t="0" r="0" b="0"/>
                <wp:docPr id="6" name="Rectangle 10"/>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118CFA84">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Human-Centred Value Risk Considerations</w:t>
      </w:r>
    </w:p>
    <w:p>
      <w:pPr>
        <w:pStyle w:val="Normal"/>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pPr>
        <w:pStyle w:val="Normal"/>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pPr>
        <w:pStyle w:val="Normal"/>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pPr>
        <w:pStyle w:val="Normal"/>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pPr>
        <w:pStyle w:val="Normal"/>
        <w:rPr>
          <w:lang w:eastAsia="en-AU"/>
        </w:rPr>
      </w:pPr>
      <w:r>
        <w:rPr>
          <w:lang w:eastAsia="en-AU"/>
        </w:rPr>
      </w:r>
    </w:p>
    <w:p>
      <w:pPr>
        <w:pStyle w:val="Normal"/>
        <w:rPr>
          <w:b/>
          <w:bCs/>
          <w:lang w:eastAsia="en-AU"/>
        </w:rPr>
      </w:pPr>
      <w:r>
        <w:rPr>
          <w:b/>
          <w:bCs/>
          <w:lang w:eastAsia="en-AU"/>
        </w:rPr>
        <w:t>FAIRA Domain Risk Profile — Human-Centred Values</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2034"/>
        <w:gridCol w:w="2281"/>
        <w:gridCol w:w="4701"/>
      </w:tblGrid>
      <w:tr>
        <w:trPr>
          <w:tblHeader w:val="true"/>
        </w:trPr>
        <w:tc>
          <w:tcPr>
            <w:tcW w:w="203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28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470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20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28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{{domain_scores.HumanCenteredValues.Impact}}</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Potential severity of harm arising from misalignment with human-centred values</w:t>
            </w:r>
          </w:p>
        </w:tc>
      </w:tr>
      <w:tr>
        <w:trPr/>
        <w:tc>
          <w:tcPr>
            <w:tcW w:w="20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28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{{domain_scores.HumanCenteredValues.Likelihood}}</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misalignment may occur under current conditions</w:t>
            </w:r>
          </w:p>
        </w:tc>
      </w:tr>
      <w:tr>
        <w:trPr/>
        <w:tc>
          <w:tcPr>
            <w:tcW w:w="20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28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{{domain_scores.HumanCenteredValues.Inherent_Risk}}</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20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28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{{domain_scores.HumanCenteredValues.Control_Effectiveness}}</w:t>
            </w:r>
          </w:p>
        </w:tc>
        <w:tc>
          <w:tcPr>
            <w:tcW w:w="470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governance and ethical reinforcement mechanisms</w:t>
            </w:r>
          </w:p>
        </w:tc>
      </w:tr>
      <w:tr>
        <w:trPr/>
        <w:tc>
          <w:tcPr>
            <w:tcW w:w="20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28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{{domain_scores.HumanCenteredValues.Risk}}</w:t>
            </w:r>
          </w:p>
        </w:tc>
        <w:tc>
          <w:tcPr>
            <w:tcW w:w="4701"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risk requiring consideration and oversight</w:t>
            </w:r>
          </w:p>
        </w:tc>
      </w:tr>
    </w:tbl>
    <w:p>
      <w:pPr>
        <w:pStyle w:val="Caption"/>
        <w:rPr>
          <w:lang w:val="en-AU" w:eastAsia="en-AU"/>
        </w:rPr>
      </w:pPr>
      <w:bookmarkStart w:id="24" w:name="_Toc220351611"/>
      <w:r>
        <w:rPr/>
        <w:t xml:space="preserve">Table </w:t>
      </w:r>
      <w:r>
        <w:rPr/>
        <w:fldChar w:fldCharType="begin"/>
      </w:r>
      <w:r>
        <w:rPr/>
        <w:instrText xml:space="preserve"> SEQ Table \* ARABIC </w:instrText>
      </w:r>
      <w:r>
        <w:rPr/>
        <w:fldChar w:fldCharType="separate"/>
      </w:r>
      <w:r>
        <w:rPr/>
        <w:t>11</w:t>
      </w:r>
      <w:r>
        <w:rPr/>
        <w:fldChar w:fldCharType="end"/>
      </w:r>
      <w:r>
        <w:rPr/>
        <w:t xml:space="preserve"> - Human-Centred Values FAIRA domain risk profile</w:t>
      </w:r>
      <w:bookmarkEnd w:id="24"/>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pPr>
        <w:pStyle w:val="Normal"/>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Normal"/>
        <w:numPr>
          <w:ilvl w:val="0"/>
          <w:numId w:val="15"/>
        </w:numPr>
        <w:spacing w:before="60" w:after="60"/>
        <w:rPr>
          <w:lang w:val="en-AU" w:eastAsia="en-AU"/>
        </w:rPr>
      </w:pPr>
      <w:r>
        <w:rPr>
          <w:lang w:val="en-AU" w:eastAsia="en-AU"/>
        </w:rPr>
        <w:t>Clear articulation of human-centred or ethical principles relevant to the AI system.</w:t>
      </w:r>
    </w:p>
    <w:p>
      <w:pPr>
        <w:pStyle w:val="Normal"/>
        <w:numPr>
          <w:ilvl w:val="0"/>
          <w:numId w:val="15"/>
        </w:numPr>
        <w:spacing w:before="60" w:after="60"/>
        <w:rPr>
          <w:lang w:val="en-AU" w:eastAsia="en-AU"/>
        </w:rPr>
      </w:pPr>
      <w:r>
        <w:rPr>
          <w:lang w:val="en-AU" w:eastAsia="en-AU"/>
        </w:rPr>
        <w:t>Evidence that these principles are embedded into system design, decision-making, and governance processes.</w:t>
      </w:r>
    </w:p>
    <w:p>
      <w:pPr>
        <w:pStyle w:val="Normal"/>
        <w:numPr>
          <w:ilvl w:val="0"/>
          <w:numId w:val="15"/>
        </w:numPr>
        <w:spacing w:before="60" w:after="60"/>
        <w:rPr>
          <w:lang w:val="en-AU" w:eastAsia="en-AU"/>
        </w:rPr>
      </w:pPr>
      <w:r>
        <w:rPr>
          <w:lang w:val="en-AU" w:eastAsia="en-AU"/>
        </w:rPr>
        <w:t>Training or guidance to ensure staff understand and apply stated values in practice.</w:t>
      </w:r>
    </w:p>
    <w:p>
      <w:pPr>
        <w:pStyle w:val="Normal"/>
        <w:numPr>
          <w:ilvl w:val="0"/>
          <w:numId w:val="15"/>
        </w:numPr>
        <w:spacing w:before="60" w:after="60"/>
        <w:rPr>
          <w:lang w:val="en-AU" w:eastAsia="en-AU"/>
        </w:rPr>
      </w:pPr>
      <w:r>
        <w:rPr>
          <w:lang w:val="en-AU" w:eastAsia="en-AU"/>
        </w:rPr>
        <w:t>Governance mechanisms that reinforce ethical alignment, such as reviews, approvals, or oversight bodies.</w:t>
      </w:r>
    </w:p>
    <w:p>
      <w:pPr>
        <w:pStyle w:val="Normal"/>
        <w:numPr>
          <w:ilvl w:val="0"/>
          <w:numId w:val="15"/>
        </w:numPr>
        <w:spacing w:before="60" w:after="60"/>
        <w:rPr>
          <w:lang w:val="en-AU" w:eastAsia="en-AU"/>
        </w:rPr>
      </w:pPr>
      <w:r>
        <w:rPr>
          <w:lang w:val="en-AU" w:eastAsia="en-AU"/>
        </w:rPr>
        <w:t>Regular reassessment of value alignment as system capabilities or organisational expectations change.</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25" w:name="_Toc220351612"/>
      <w:r>
        <w:rPr>
          <w:lang w:val="en-AU" w:eastAsia="en-AU"/>
        </w:rPr>
        <w:t>Privacy Protection and Security</w:t>
      </w:r>
      <w:bookmarkEnd w:id="25"/>
    </w:p>
    <w:p>
      <w:pPr>
        <w:pStyle w:val="Normal"/>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pPr>
        <w:pStyle w:val="Normal"/>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pPr>
        <w:pStyle w:val="Normal"/>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{{domain_scores.PrivacySecurity.Impact}}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{{domain_scores.PrivacySecurity.Likelihood}}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pPr>
        <w:pStyle w:val="Normal"/>
        <w:rPr>
          <w:lang w:val="en-AU" w:eastAsia="en-AU"/>
        </w:rPr>
      </w:pPr>
      <w:r>
        <w:rPr>
          <w:lang w:val="en-AU" w:eastAsia="en-AU"/>
        </w:rPr>
        <w:t xml:space="preserve">The effectiveness of existing controls relevant to this domain was assessed as </w:t>
      </w:r>
      <w:r>
        <w:rPr>
          <w:b/>
          <w:bCs/>
          <w:lang w:val="en-AU" w:eastAsia="en-AU"/>
        </w:rPr>
        <w:t>{{domain_scores.PrivacySecurity.Control_Effectiveness}}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{{domain_scores.PrivacySecurity.Risk}}</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pPr>
        <w:pStyle w:val="Normal"/>
        <w:rPr>
          <w:lang w:val="en-AU" w:eastAsia="en-AU"/>
        </w:rPr>
      </w:pPr>
      <w:r>
        <w:rPr/>
        <mc:AlternateContent>
          <mc:Choice Requires="wps">
            <w:drawing>
              <wp:inline distT="0" distB="0" distL="0" distR="0" wp14:anchorId="2E597980">
                <wp:extent cx="5731510" cy="19050"/>
                <wp:effectExtent l="0" t="0" r="0" b="0"/>
                <wp:docPr id="7" name="Rectangle 1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2E597980">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Privacy and Security Considerations</w:t>
      </w:r>
    </w:p>
    <w:p>
      <w:pPr>
        <w:pStyle w:val="Normal"/>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pPr>
        <w:pStyle w:val="Normal"/>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pPr>
        <w:pStyle w:val="Normal"/>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pPr>
        <w:pStyle w:val="Normal"/>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pPr>
        <w:pStyle w:val="Normal"/>
        <w:rPr>
          <w:b/>
          <w:bCs/>
          <w:lang w:eastAsia="en-AU"/>
        </w:rPr>
      </w:pPr>
      <w:r>
        <w:rPr>
          <w:b/>
          <w:bCs/>
          <w:lang w:eastAsia="en-AU"/>
        </w:rPr>
        <w:t>FAIRA Domain Risk Profile — Privacy Protection and Security</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1914"/>
        <w:gridCol w:w="2759"/>
        <w:gridCol w:w="4343"/>
      </w:tblGrid>
      <w:tr>
        <w:trPr>
          <w:tblHeader w:val="true"/>
        </w:trPr>
        <w:tc>
          <w:tcPr>
            <w:tcW w:w="19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75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43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19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7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{{domain_scores.PrivacySecurity.Impact}}</w:t>
            </w:r>
          </w:p>
        </w:tc>
        <w:tc>
          <w:tcPr>
            <w:tcW w:w="43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privacy breaches or security incidents</w:t>
            </w:r>
          </w:p>
        </w:tc>
      </w:tr>
      <w:tr>
        <w:trPr/>
        <w:tc>
          <w:tcPr>
            <w:tcW w:w="19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7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{{domain_scores.PrivacySecurity.Likelihood}}</w:t>
            </w:r>
          </w:p>
        </w:tc>
        <w:tc>
          <w:tcPr>
            <w:tcW w:w="43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privacy or security incidents may occur</w:t>
            </w:r>
          </w:p>
        </w:tc>
      </w:tr>
      <w:tr>
        <w:trPr/>
        <w:tc>
          <w:tcPr>
            <w:tcW w:w="19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7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{{domain_scores.PrivacySecurity.Inherent_Risk}}</w:t>
            </w:r>
          </w:p>
        </w:tc>
        <w:tc>
          <w:tcPr>
            <w:tcW w:w="43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19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7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{{domain_scores.PrivacySecurity.Control_Effectiveness}}</w:t>
            </w:r>
          </w:p>
        </w:tc>
        <w:tc>
          <w:tcPr>
            <w:tcW w:w="43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privacy and security safeguards</w:t>
            </w:r>
          </w:p>
        </w:tc>
      </w:tr>
      <w:tr>
        <w:trPr/>
        <w:tc>
          <w:tcPr>
            <w:tcW w:w="19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7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{{domain_scores.PrivacySecurity.Risk}}</w:t>
            </w:r>
          </w:p>
        </w:tc>
        <w:tc>
          <w:tcPr>
            <w:tcW w:w="43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Ongoing privacy and security risk requiring consideration</w:t>
            </w:r>
          </w:p>
        </w:tc>
      </w:tr>
    </w:tbl>
    <w:p>
      <w:pPr>
        <w:pStyle w:val="Normal"/>
        <w:rPr>
          <w:lang w:val="en-AU" w:eastAsia="en-AU"/>
        </w:rPr>
      </w:pPr>
      <w:r>
        <w:rPr>
          <w:lang w:val="en-AU" w:eastAsia="en-AU"/>
        </w:rPr>
      </w:r>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pPr>
        <w:pStyle w:val="Normal"/>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ListParagraph"/>
        <w:numPr>
          <w:ilvl w:val="0"/>
          <w:numId w:val="8"/>
        </w:numPr>
        <w:spacing w:before="60" w:after="60"/>
        <w:contextualSpacing w:val="false"/>
        <w:rPr>
          <w:lang w:val="en-AU" w:eastAsia="en-AU"/>
        </w:rPr>
      </w:pPr>
      <w:r>
        <w:rPr>
          <w:lang w:val="en-AU" w:eastAsia="en-AU"/>
        </w:rPr>
        <w:t>Reduction in the volume, sensitivity, or scope of data collected or processed by the system.</w:t>
      </w:r>
    </w:p>
    <w:p>
      <w:pPr>
        <w:pStyle w:val="ListParagraph"/>
        <w:numPr>
          <w:ilvl w:val="0"/>
          <w:numId w:val="8"/>
        </w:numPr>
        <w:spacing w:before="60" w:after="60"/>
        <w:contextualSpacing w:val="false"/>
        <w:rPr>
          <w:lang w:val="en-AU" w:eastAsia="en-AU"/>
        </w:rPr>
      </w:pPr>
      <w:r>
        <w:rPr>
          <w:lang w:val="en-AU" w:eastAsia="en-AU"/>
        </w:rPr>
        <w:t>Implementation or strengthening of access controls, logging, and monitoring for data use.</w:t>
      </w:r>
    </w:p>
    <w:p>
      <w:pPr>
        <w:pStyle w:val="ListParagraph"/>
        <w:numPr>
          <w:ilvl w:val="0"/>
          <w:numId w:val="8"/>
        </w:numPr>
        <w:spacing w:before="60" w:after="60"/>
        <w:contextualSpacing w:val="false"/>
        <w:rPr>
          <w:lang w:val="en-AU" w:eastAsia="en-AU"/>
        </w:rPr>
      </w:pPr>
      <w:r>
        <w:rPr>
          <w:lang w:val="en-AU" w:eastAsia="en-AU"/>
        </w:rPr>
        <w:t>Clear data governance practices covering retention, disposal, and purpose limitation.</w:t>
      </w:r>
    </w:p>
    <w:p>
      <w:pPr>
        <w:pStyle w:val="ListParagraph"/>
        <w:numPr>
          <w:ilvl w:val="0"/>
          <w:numId w:val="8"/>
        </w:numPr>
        <w:spacing w:before="60" w:after="60"/>
        <w:contextualSpacing w:val="false"/>
        <w:rPr>
          <w:lang w:val="en-AU" w:eastAsia="en-AU"/>
        </w:rPr>
      </w:pPr>
      <w:r>
        <w:rPr>
          <w:lang w:val="en-AU" w:eastAsia="en-AU"/>
        </w:rPr>
        <w:t>Formal privacy risk assessments or reviews aligned to the system's operating context.</w:t>
      </w:r>
    </w:p>
    <w:p>
      <w:pPr>
        <w:pStyle w:val="ListParagraph"/>
        <w:numPr>
          <w:ilvl w:val="0"/>
          <w:numId w:val="8"/>
        </w:numPr>
        <w:spacing w:before="60" w:after="60"/>
        <w:contextualSpacing w:val="false"/>
        <w:rPr>
          <w:lang w:val="en-AU" w:eastAsia="en-AU"/>
        </w:rPr>
      </w:pPr>
      <w:r>
        <w:rPr>
          <w:lang w:val="en-AU" w:eastAsia="en-AU"/>
        </w:rPr>
        <w:t>Ongoing monitoring of integrations, data flows, and access pathways as the system evolves.</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26" w:name="_Toc220351613"/>
      <w:r>
        <w:rPr>
          <w:lang w:val="en-AU" w:eastAsia="en-AU"/>
        </w:rPr>
        <w:t>Reliability and Safety</w:t>
      </w:r>
      <w:bookmarkEnd w:id="26"/>
    </w:p>
    <w:p>
      <w:pPr>
        <w:pStyle w:val="Normal"/>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pPr>
        <w:pStyle w:val="Normal"/>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pPr>
        <w:pStyle w:val="Normal"/>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{{domain_scores.ReliabilitySafety.Impact}}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{{domain_scores.ReliabilitySafety.Likelihood}}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pPr>
        <w:pStyle w:val="Normal"/>
        <w:rPr>
          <w:lang w:val="en-AU" w:eastAsia="en-AU"/>
        </w:rPr>
      </w:pPr>
      <w:r>
        <w:rPr>
          <w:lang w:val="en-AU" w:eastAsia="en-AU"/>
        </w:rPr>
        <w:t xml:space="preserve">The effectiveness of existing controls relevant to this domain was assessed as </w:t>
      </w:r>
      <w:r>
        <w:rPr>
          <w:b/>
          <w:bCs/>
          <w:lang w:val="en-AU" w:eastAsia="en-AU"/>
        </w:rPr>
        <w:t>{{domain_scores.ReliabilitySafety.Control_Effectiveness}}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{{domain_scores.ReliabilitySafety.Risk}}</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pPr>
        <w:pStyle w:val="Normal"/>
        <w:rPr>
          <w:lang w:val="en-AU" w:eastAsia="en-AU"/>
        </w:rPr>
      </w:pPr>
      <w:r>
        <w:rPr/>
        <mc:AlternateContent>
          <mc:Choice Requires="wps">
            <w:drawing>
              <wp:inline distT="0" distB="0" distL="0" distR="0" wp14:anchorId="6D9F0583">
                <wp:extent cx="5731510" cy="19050"/>
                <wp:effectExtent l="0" t="0" r="0" b="0"/>
                <wp:docPr id="8" name="Rectangle 14"/>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6D9F0583">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Reliability and Safety Considerations</w:t>
      </w:r>
    </w:p>
    <w:p>
      <w:pPr>
        <w:pStyle w:val="Normal"/>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pPr>
        <w:pStyle w:val="Normal"/>
        <w:numPr>
          <w:ilvl w:val="0"/>
          <w:numId w:val="12"/>
        </w:numPr>
        <w:rPr>
          <w:lang w:val="en-AU" w:eastAsia="en-AU"/>
        </w:rPr>
      </w:pPr>
      <w:r>
        <w:rPr>
          <w:b/>
          <w:bCs/>
          <w:lang w:val="en-AU" w:eastAsia="en-AU"/>
        </w:rPr>
        <w:t>Automation and autonomy:</w:t>
      </w:r>
      <w:r>
        <w:rPr>
          <w:lang w:val="en-AU" w:eastAsia="en-AU"/>
        </w:rPr>
        <w:t xml:space="preserve"> The level of automation applied to decision-making was assessed as </w:t>
      </w:r>
      <w:r>
        <w:rPr>
          <w:highlight w:val="yellow"/>
          <w:lang w:val="en-AU" w:eastAsia="en-AU"/>
        </w:rPr>
        <w:t>{{ faira_form.A1_6 }},</w:t>
      </w:r>
      <w:r>
        <w:rPr>
          <w:lang w:val="en-AU" w:eastAsia="en-AU"/>
        </w:rPr>
        <w:t xml:space="preserve"> affecting both the likelihood and detectability of failures.</w:t>
      </w:r>
    </w:p>
    <w:p>
      <w:pPr>
        <w:pStyle w:val="Normal"/>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pPr>
        <w:pStyle w:val="Normal"/>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pPr>
        <w:pStyle w:val="Normal"/>
        <w:rPr>
          <w:b/>
          <w:bCs/>
          <w:lang w:eastAsia="en-AU"/>
        </w:rPr>
      </w:pPr>
      <w:r>
        <w:rPr>
          <w:b/>
          <w:bCs/>
          <w:lang w:eastAsia="en-AU"/>
        </w:rPr>
        <w:t>FAIRA Domain Risk Profile — Reliability and Safety</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2134"/>
        <w:gridCol w:w="2659"/>
        <w:gridCol w:w="4223"/>
      </w:tblGrid>
      <w:tr>
        <w:trPr>
          <w:tblHeader w:val="true"/>
        </w:trPr>
        <w:tc>
          <w:tcPr>
            <w:tcW w:w="213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65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422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21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6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{{domain_scores.ReliabilitySafety.Impact}}</w:t>
            </w:r>
          </w:p>
        </w:tc>
        <w:tc>
          <w:tcPr>
            <w:tcW w:w="422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system failure or unsafe behaviour</w:t>
            </w:r>
          </w:p>
        </w:tc>
      </w:tr>
      <w:tr>
        <w:trPr/>
        <w:tc>
          <w:tcPr>
            <w:tcW w:w="21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6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{{domain_scores.ReliabilitySafety.Likelihood}}</w:t>
            </w:r>
          </w:p>
        </w:tc>
        <w:tc>
          <w:tcPr>
            <w:tcW w:w="422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reliability or safety failures may occur</w:t>
            </w:r>
          </w:p>
        </w:tc>
      </w:tr>
      <w:tr>
        <w:trPr/>
        <w:tc>
          <w:tcPr>
            <w:tcW w:w="21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6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{{domain_scores.ReliabilitySafety.Inherent_Risk}}</w:t>
            </w:r>
          </w:p>
        </w:tc>
        <w:tc>
          <w:tcPr>
            <w:tcW w:w="422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21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6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{{domain_scores.ReliabilitySafety.Control_Effectiveness}}</w:t>
            </w:r>
          </w:p>
        </w:tc>
        <w:tc>
          <w:tcPr>
            <w:tcW w:w="422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safeguards and monitoring arrangements</w:t>
            </w:r>
          </w:p>
        </w:tc>
      </w:tr>
      <w:tr>
        <w:trPr/>
        <w:tc>
          <w:tcPr>
            <w:tcW w:w="213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659"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{{domain_scores.ReliabilitySafety.Risk}}</w:t>
            </w:r>
          </w:p>
        </w:tc>
        <w:tc>
          <w:tcPr>
            <w:tcW w:w="422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Ongoing reliability and safety risk requiring consideration</w:t>
            </w:r>
          </w:p>
        </w:tc>
      </w:tr>
    </w:tbl>
    <w:p>
      <w:pPr>
        <w:pStyle w:val="Normal"/>
        <w:rPr>
          <w:b/>
          <w:bCs/>
          <w:lang w:val="en-AU" w:eastAsia="en-AU"/>
        </w:rPr>
      </w:pPr>
      <w:r>
        <w:rPr>
          <w:b/>
          <w:bCs/>
          <w:lang w:val="en-AU" w:eastAsia="en-AU"/>
        </w:rPr>
      </w:r>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pPr>
        <w:pStyle w:val="Normal"/>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ListParagraph"/>
        <w:numPr>
          <w:ilvl w:val="0"/>
          <w:numId w:val="12"/>
        </w:numPr>
        <w:spacing w:before="60" w:after="60"/>
        <w:contextualSpacing w:val="false"/>
        <w:rPr>
          <w:lang w:val="en-AU" w:eastAsia="en-AU"/>
        </w:rPr>
      </w:pPr>
      <w:r>
        <w:rPr>
          <w:lang w:val="en-AU" w:eastAsia="en-AU"/>
        </w:rPr>
        <w:t>Improved testing and validation of system behaviour under normal and edge-case conditions.</w:t>
      </w:r>
    </w:p>
    <w:p>
      <w:pPr>
        <w:pStyle w:val="ListParagraph"/>
        <w:numPr>
          <w:ilvl w:val="0"/>
          <w:numId w:val="12"/>
        </w:numPr>
        <w:spacing w:before="60" w:after="60"/>
        <w:contextualSpacing w:val="false"/>
        <w:rPr>
          <w:lang w:val="en-AU" w:eastAsia="en-AU"/>
        </w:rPr>
      </w:pPr>
      <w:r>
        <w:rPr>
          <w:lang w:val="en-AU" w:eastAsia="en-AU"/>
        </w:rPr>
        <w:t>Clear thresholds for human intervention or system shutdown when unexpected behaviour occurs.</w:t>
      </w:r>
    </w:p>
    <w:p>
      <w:pPr>
        <w:pStyle w:val="ListParagraph"/>
        <w:numPr>
          <w:ilvl w:val="0"/>
          <w:numId w:val="12"/>
        </w:numPr>
        <w:spacing w:before="60" w:after="60"/>
        <w:contextualSpacing w:val="false"/>
        <w:rPr>
          <w:lang w:val="en-AU" w:eastAsia="en-AU"/>
        </w:rPr>
      </w:pPr>
      <w:r>
        <w:rPr>
          <w:lang w:val="en-AU" w:eastAsia="en-AU"/>
        </w:rPr>
        <w:t>Enhanced monitoring and alerting for errors, failures, or unsafe outcomes.</w:t>
      </w:r>
    </w:p>
    <w:p>
      <w:pPr>
        <w:pStyle w:val="ListParagraph"/>
        <w:numPr>
          <w:ilvl w:val="0"/>
          <w:numId w:val="12"/>
        </w:numPr>
        <w:spacing w:before="60" w:after="60"/>
        <w:contextualSpacing w:val="false"/>
        <w:rPr>
          <w:lang w:val="en-AU" w:eastAsia="en-AU"/>
        </w:rPr>
      </w:pPr>
      <w:r>
        <w:rPr>
          <w:lang w:val="en-AU" w:eastAsia="en-AU"/>
        </w:rPr>
        <w:t>Reduction in system autonomy for high-impact or safety-critical decisions.</w:t>
      </w:r>
    </w:p>
    <w:p>
      <w:pPr>
        <w:pStyle w:val="ListParagraph"/>
        <w:numPr>
          <w:ilvl w:val="0"/>
          <w:numId w:val="12"/>
        </w:numPr>
        <w:spacing w:before="60" w:after="60"/>
        <w:contextualSpacing w:val="false"/>
        <w:rPr>
          <w:lang w:val="en-AU" w:eastAsia="en-AU"/>
        </w:rPr>
      </w:pPr>
      <w:r>
        <w:rPr>
          <w:lang w:val="en-AU" w:eastAsia="en-AU"/>
        </w:rPr>
        <w:t>Documented incident response and recovery processes specific to AI-related failures.</w:t>
      </w:r>
    </w:p>
    <w:p>
      <w:pPr>
        <w:pStyle w:val="Normal"/>
        <w:rPr>
          <w:sz w:val="20"/>
          <w:szCs w:val="20"/>
          <w:lang w:val="en-AU" w:eastAsia="en-AU"/>
        </w:rPr>
      </w:pPr>
      <w:r>
        <w:rPr>
          <w:sz w:val="20"/>
          <w:szCs w:val="20"/>
          <w:lang w:val="en-AU" w:eastAsia="en-AU"/>
        </w:rPr>
      </w:r>
    </w:p>
    <w:p>
      <w:pPr>
        <w:pStyle w:val="Heading02"/>
        <w:numPr>
          <w:ilvl w:val="1"/>
          <w:numId w:val="1"/>
        </w:numPr>
        <w:ind w:hanging="432" w:start="432"/>
        <w:rPr>
          <w:lang w:val="en-AU" w:eastAsia="en-AU"/>
        </w:rPr>
      </w:pPr>
      <w:bookmarkStart w:id="27" w:name="_Toc220351614"/>
      <w:r>
        <w:rPr>
          <w:lang w:val="en-AU" w:eastAsia="en-AU"/>
        </w:rPr>
        <w:t>Transparency and Explainability</w:t>
      </w:r>
      <w:bookmarkEnd w:id="27"/>
    </w:p>
    <w:p>
      <w:pPr>
        <w:pStyle w:val="Normal"/>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pPr>
        <w:pStyle w:val="Normal"/>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pPr>
        <w:pStyle w:val="Normal"/>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{{domain_scores.TransparencyExplainability.Impact}}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{{domain_scores.TransparencyExplainability.Likelihood}}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pPr>
        <w:pStyle w:val="Normal"/>
        <w:rPr/>
      </w:pPr>
      <w:r>
        <w:rPr/>
        <w:t>{%p if faira_form.B6_3 == "Yes" %}</w:t>
      </w:r>
    </w:p>
    <w:p>
      <w:pPr>
        <w:pStyle w:val="Normal"/>
        <w:rPr/>
      </w:pPr>
      <w:r>
        <w:rP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pPr>
        <w:pStyle w:val="Normal"/>
        <w:rPr/>
      </w:pPr>
      <w:r>
        <w:rPr/>
        <w:t>Information provided as part of the disclosure includes {{ faira_form.B6_3_information_provided | format_list if faira_form.B6_3_information_provided else "information not specified" }}{% if faira_form.B6_3_notes %}. Additional notes: {{ faira_form.B6_3_notes }}{% endif %}.</w:t>
      </w:r>
    </w:p>
    <w:p>
      <w:pPr>
        <w:pStyle w:val="Normal"/>
        <w:rPr/>
      </w:pPr>
      <w:r>
        <w:rPr/>
        <w:t>{%p else %}</w:t>
      </w:r>
    </w:p>
    <w:p>
      <w:pPr>
        <w:pStyle w:val="Normal"/>
        <w:rPr/>
      </w:pPr>
      <w:r>
        <w:rPr/>
        <w:t>The assessment indicates that users and/or affected individuals are not informed that AI is being used.</w:t>
      </w:r>
    </w:p>
    <w:p>
      <w:pPr>
        <w:pStyle w:val="Normal"/>
        <w:rPr/>
      </w:pPr>
      <w:r>
        <w:rPr/>
        <w:t>{%p endif %}</w:t>
      </w:r>
    </w:p>
    <w:p>
      <w:pPr>
        <w:pStyle w:val="Normal"/>
        <w:rPr/>
      </w:pPr>
      <w:r>
        <w:rPr/>
        <w:t>{%p if faira_form.B6_4 == "Yes" %}</w:t>
      </w:r>
    </w:p>
    <w:p>
      <w:pPr>
        <w:pStyle w:val="Normal"/>
        <w:rPr/>
      </w:pPr>
      <w:r>
        <w:rP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pPr>
        <w:pStyle w:val="Normal"/>
        <w:rPr/>
      </w:pPr>
      <w:r>
        <w:rPr/>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Pr>
          <w:highlight w:val="yellow"/>
        </w:rPr>
        <w:t>{{ faira_form.B6_4_limitations_disclosed | lower }}</w:t>
      </w:r>
      <w:r>
        <w:rPr/>
        <w:t>{% endif %}{% if faira_form.B6_4_notes %}. Additional notes: {{ faira_form.B6_4_notes }}{% endif %}.</w:t>
      </w:r>
    </w:p>
    <w:p>
      <w:pPr>
        <w:pStyle w:val="Normal"/>
        <w:rPr/>
      </w:pPr>
      <w:r>
        <w:rPr/>
        <w:t>{%p else %}</w:t>
      </w:r>
    </w:p>
    <w:p>
      <w:pPr>
        <w:pStyle w:val="Normal"/>
        <w:rPr/>
      </w:pPr>
      <w:r>
        <w:rPr/>
        <w:t>The assessment indicates that meaningful explanations of AI-supported outcomes cannot be provided to users or affected individuals.</w:t>
      </w:r>
    </w:p>
    <w:p>
      <w:pPr>
        <w:pStyle w:val="Normal"/>
        <w:rPr/>
      </w:pPr>
      <w:r>
        <w:rPr/>
        <w:t>{%p endif %}</w:t>
      </w:r>
    </w:p>
    <w:p>
      <w:pPr>
        <w:pStyle w:val="Normal"/>
        <w:rPr>
          <w:lang w:val="en-AU" w:eastAsia="en-AU"/>
        </w:rPr>
      </w:pPr>
      <w:r>
        <w:rPr>
          <w:lang w:val="en-AU" w:eastAsia="en-AU"/>
        </w:rPr>
        <w:t xml:space="preserve">The effectiveness of existing controls relevant to this domain was assessed as </w:t>
      </w:r>
      <w:r>
        <w:rPr>
          <w:b/>
          <w:bCs/>
          <w:lang w:val="en-AU" w:eastAsia="en-AU"/>
        </w:rPr>
        <w:t>{{domain_scores.TransparencyExplainability.Control_Effectiveness}}</w:t>
      </w:r>
      <w:r>
        <w:rPr>
          <w:lang w:val="en-AU" w:eastAsia="en-AU"/>
        </w:rPr>
        <w:t xml:space="preserve">, taking into account governance arrangements, documentation practices, and processes intended to support transparency and explainability across the system lifecycle </w:t>
      </w:r>
      <w:r>
        <w:rPr>
          <w:highlight w:val="yellow"/>
          <w:lang w:val="en-AU" w:eastAsia="en-AU"/>
        </w:rPr>
        <w:t>({{ faira_form.A5_5 | format_list }}</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{{domain_scores.TransparencyExplainability.Risk}}</w:t>
      </w:r>
      <w:r>
        <w:rPr>
          <w:lang w:val="en-AU" w:eastAsia="en-AU"/>
        </w:rPr>
        <w:t>.</w:t>
      </w:r>
    </w:p>
    <w:p>
      <w:pPr>
        <w:pStyle w:val="Normal"/>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pPr>
        <w:pStyle w:val="Normal"/>
        <w:rPr>
          <w:lang w:val="en-AU" w:eastAsia="en-AU"/>
        </w:rPr>
      </w:pPr>
      <w:r>
        <w:rPr/>
        <mc:AlternateContent>
          <mc:Choice Requires="wps">
            <w:drawing>
              <wp:inline distT="0" distB="0" distL="0" distR="0" wp14:anchorId="7F24A22F">
                <wp:extent cx="5731510" cy="19050"/>
                <wp:effectExtent l="0" t="0" r="0" b="0"/>
                <wp:docPr id="9" name="Rectangle 16"/>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1.25pt;height:1.45pt;mso-wrap-style:none;v-text-anchor:middle;mso-position-vertical:top" wp14:anchorId="7F24A22F">
                <v:fill o:detectmouseclick="t" type="solid" color2="#5f5f5f"/>
                <v:stroke color="#3465a4" joinstyle="round" endcap="flat"/>
                <w10:wrap type="square"/>
              </v:rect>
            </w:pict>
          </mc:Fallback>
        </mc:AlternateContent>
      </w:r>
    </w:p>
    <w:p>
      <w:pPr>
        <w:pStyle w:val="Normal"/>
        <w:rPr>
          <w:b/>
          <w:bCs/>
          <w:lang w:val="en-AU" w:eastAsia="en-AU"/>
        </w:rPr>
      </w:pPr>
      <w:r>
        <w:rPr>
          <w:b/>
          <w:bCs/>
          <w:lang w:val="en-AU" w:eastAsia="en-AU"/>
        </w:rPr>
        <w:t>Key Transparency and Explainability Considerations</w:t>
      </w:r>
    </w:p>
    <w:p>
      <w:pPr>
        <w:pStyle w:val="Normal"/>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pPr>
        <w:pStyle w:val="Normal"/>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pPr>
        <w:pStyle w:val="Normal"/>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pPr>
        <w:pStyle w:val="Normal"/>
        <w:numPr>
          <w:ilvl w:val="0"/>
          <w:numId w:val="9"/>
        </w:numPr>
        <w:rPr>
          <w:lang w:val="en-AU" w:eastAsia="en-AU"/>
        </w:rPr>
      </w:pPr>
      <w:r>
        <w:rPr>
          <w:b/>
          <w:bCs/>
          <w:lang w:val="en-AU" w:eastAsia="en-AU"/>
        </w:rPr>
        <w:t>Governance support:</w:t>
      </w:r>
      <w:r>
        <w:rPr>
          <w:lang w:val="en-AU" w:eastAsia="en-AU"/>
        </w:rPr>
        <w:t xml:space="preserve"> Documentation and governance mechanisms supporting transparency include {{ faira_form.A5_5 | format_list if faira_form.A5_5 else "no explicitly defined transparency mechanisms" }}.</w:t>
      </w:r>
    </w:p>
    <w:p>
      <w:pPr>
        <w:pStyle w:val="Normal"/>
        <w:rPr>
          <w:b/>
          <w:bCs/>
          <w:lang w:eastAsia="en-AU"/>
        </w:rPr>
      </w:pPr>
      <w:r>
        <w:rPr>
          <w:b/>
          <w:bCs/>
          <w:lang w:eastAsia="en-AU"/>
        </w:rPr>
        <w:t>FAIRA Domain Risk Profile — Transparency and Explainability</w:t>
      </w:r>
    </w:p>
    <w:tbl>
      <w:tblPr>
        <w:tblW w:w="9016" w:type="dxa"/>
        <w:jc w:val="start"/>
        <w:tblInd w:w="0" w:type="dxa"/>
        <w:tblLayout w:type="fixed"/>
        <w:tblCellMar>
          <w:top w:w="43" w:type="dxa"/>
          <w:start w:w="43" w:type="dxa"/>
          <w:bottom w:w="43" w:type="dxa"/>
          <w:end w:w="43" w:type="dxa"/>
        </w:tblCellMar>
        <w:tblLook w:firstRow="1" w:noVBand="1" w:lastRow="0" w:firstColumn="1" w:lastColumn="0" w:noHBand="0" w:val="04a0"/>
      </w:tblPr>
      <w:tblGrid>
        <w:gridCol w:w="1760"/>
        <w:gridCol w:w="2793"/>
        <w:gridCol w:w="4463"/>
      </w:tblGrid>
      <w:tr>
        <w:trPr>
          <w:tblHeader w:val="true"/>
        </w:trPr>
        <w:tc>
          <w:tcPr>
            <w:tcW w:w="176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Measure</w:t>
            </w:r>
          </w:p>
        </w:tc>
        <w:tc>
          <w:tcPr>
            <w:tcW w:w="279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Score</w:t>
            </w:r>
          </w:p>
        </w:tc>
        <w:tc>
          <w:tcPr>
            <w:tcW w:w="4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Interpretation</w:t>
            </w:r>
          </w:p>
        </w:tc>
      </w:tr>
      <w:tr>
        <w:trPr/>
        <w:tc>
          <w:tcPr>
            <w:tcW w:w="17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Impact</w:t>
            </w:r>
          </w:p>
        </w:tc>
        <w:tc>
          <w:tcPr>
            <w:tcW w:w="279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{{domain_scores.TransparencyExplainability.Impact}}</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Severity of potential harm arising from insufficient transparency or explainability</w:t>
            </w:r>
          </w:p>
        </w:tc>
      </w:tr>
      <w:tr>
        <w:trPr/>
        <w:tc>
          <w:tcPr>
            <w:tcW w:w="17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Likelihood</w:t>
            </w:r>
          </w:p>
        </w:tc>
        <w:tc>
          <w:tcPr>
            <w:tcW w:w="279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{{domain_scores.TransparencyExplainability.Likelihood}}</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Probability that transparency-related issues may affect understanding or trust</w:t>
            </w:r>
          </w:p>
        </w:tc>
      </w:tr>
      <w:tr>
        <w:trPr/>
        <w:tc>
          <w:tcPr>
            <w:tcW w:w="17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Baseline exposure (context only)</w:t>
            </w:r>
          </w:p>
        </w:tc>
        <w:tc>
          <w:tcPr>
            <w:tcW w:w="279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{{domain_scores.TransparencyExplainability.Inherent_Risk}}</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Contextual reference only — not interpreted</w:t>
            </w:r>
          </w:p>
        </w:tc>
      </w:tr>
      <w:tr>
        <w:trPr/>
        <w:tc>
          <w:tcPr>
            <w:tcW w:w="17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Control effectiveness</w:t>
            </w:r>
          </w:p>
        </w:tc>
        <w:tc>
          <w:tcPr>
            <w:tcW w:w="279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{{domain_scores.TransparencyExplainability.Control_Effectiveness}}</w:t>
            </w:r>
          </w:p>
        </w:tc>
        <w:tc>
          <w:tcPr>
            <w:tcW w:w="4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lang w:val="en-AU" w:eastAsia="en-AU"/>
              </w:rPr>
              <w:t>Strength of existing transparency and explainability mechanisms</w:t>
            </w:r>
          </w:p>
        </w:tc>
      </w:tr>
      <w:tr>
        <w:trPr/>
        <w:tc>
          <w:tcPr>
            <w:tcW w:w="176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Residual risk</w:t>
            </w:r>
          </w:p>
        </w:tc>
        <w:tc>
          <w:tcPr>
            <w:tcW w:w="279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b/>
                <w:bCs/>
                <w:sz w:val="20"/>
                <w:szCs w:val="20"/>
                <w:lang w:val="en-AU" w:eastAsia="en-AU"/>
              </w:rPr>
              <w:t>{{domain_scores.TransparencyExplainability.Risk}}</w:t>
            </w:r>
          </w:p>
        </w:tc>
        <w:tc>
          <w:tcPr>
            <w:tcW w:w="4463"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lang w:val="en-AU" w:eastAsia="en-AU"/>
              </w:rPr>
              <w:t>Ongoing transparency-related risk requiring consideration</w:t>
            </w:r>
          </w:p>
        </w:tc>
      </w:tr>
    </w:tbl>
    <w:p>
      <w:pPr>
        <w:pStyle w:val="Caption"/>
        <w:rPr>
          <w:lang w:val="en-AU" w:eastAsia="en-AU"/>
        </w:rPr>
      </w:pPr>
      <w:bookmarkStart w:id="28" w:name="_Toc220351615"/>
      <w:r>
        <w:rPr/>
        <w:t xml:space="preserve">Table </w:t>
      </w:r>
      <w:r>
        <w:rPr/>
        <w:fldChar w:fldCharType="begin"/>
      </w:r>
      <w:r>
        <w:rPr/>
        <w:instrText xml:space="preserve"> SEQ Table \* ARABIC </w:instrText>
      </w:r>
      <w:r>
        <w:rPr/>
        <w:fldChar w:fldCharType="separate"/>
      </w:r>
      <w:r>
        <w:rPr/>
        <w:t>12</w:t>
      </w:r>
      <w:r>
        <w:rPr/>
        <w:fldChar w:fldCharType="end"/>
      </w:r>
      <w:r>
        <w:rPr/>
        <w:t xml:space="preserve"> - Transparency and Explainability FAIRA risk domain profile</w:t>
      </w:r>
      <w:bookmarkEnd w:id="28"/>
    </w:p>
    <w:p>
      <w:pPr>
        <w:pStyle w:val="Normal"/>
        <w:rPr>
          <w:b/>
          <w:bCs/>
          <w:lang w:val="en-AU" w:eastAsia="en-AU"/>
        </w:rPr>
      </w:pPr>
      <w:r>
        <w:rPr>
          <w:b/>
          <w:bCs/>
          <w:lang w:val="en-AU" w:eastAsia="en-AU"/>
        </w:rPr>
        <w:t>Disclosure of AI Use</w:t>
      </w:r>
    </w:p>
    <w:p>
      <w:pPr>
        <w:pStyle w:val="Normal"/>
        <w:rPr>
          <w:lang w:val="en-AU" w:eastAsia="en-AU"/>
        </w:rPr>
      </w:pPr>
      <w:r>
        <w:rPr>
          <w:lang w:val="en-AU" w:eastAsia="en-AU"/>
        </w:rPr>
        <w:t>The table below summarises the various aspects surrounding the disclosure of AI use:</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556"/>
        <w:gridCol w:w="6470"/>
      </w:tblGrid>
      <w:tr>
        <w:trPr>
          <w:tblHeader w:val="true"/>
        </w:trPr>
        <w:tc>
          <w:tcPr>
            <w:tcW w:w="2556"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Aspect</w:t>
            </w:r>
          </w:p>
        </w:tc>
        <w:tc>
          <w:tcPr>
            <w:tcW w:w="647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AI use disclosed</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faira_form.B6_3 if faira_form.B6_3 else "Not specified" }}</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Who is informed</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faira_form.B6_3 == "Yes" %}{{ faira_form.B6_3_audience | format_list if faira_form.B6_3_audience else "Not specified" }}{% else %}Not applicable{% endif %}</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Disclosure method(s)</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faira_form.B6_3 == "Yes" %}{{ faira_form.B6_3_methods | format_list if faira_form.B6_3_methods else "Not specified" }}{% else %}Not applicable{% endif %}</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Timing of disclosure</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 if faira_form.B6_3 == "Yes" %}{{ faira_form.B6_3_timing if faira_form.B6_3_timing else "Not specified" }}{% else %}Not applicable{% endif %}</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Information provided</w:t>
            </w:r>
          </w:p>
        </w:tc>
        <w:tc>
          <w:tcPr>
            <w:tcW w:w="6470"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rPr>
            </w:pPr>
            <w:r>
              <w:rPr>
                <w:sz w:val="20"/>
                <w:szCs w:val="20"/>
              </w:rPr>
              <w:t>Notes</w:t>
            </w:r>
          </w:p>
        </w:tc>
        <w:tc>
          <w:tcPr>
            <w:tcW w:w="6470" w:type="dxa"/>
            <w:tcBorders>
              <w:top w:val="single" w:sz="4" w:space="0" w:color="000000"/>
              <w:start w:val="single" w:sz="4" w:space="0" w:color="000000"/>
              <w:bottom w:val="single" w:sz="4" w:space="0" w:color="000000"/>
              <w:end w:val="single" w:sz="4" w:space="0" w:color="000000"/>
            </w:tcBorders>
          </w:tcPr>
          <w:p>
            <w:pPr>
              <w:pStyle w:val="Normal"/>
              <w:keepNext w:val="true"/>
              <w:spacing w:before="0" w:after="160"/>
              <w:rPr>
                <w:sz w:val="20"/>
                <w:szCs w:val="20"/>
              </w:rPr>
            </w:pPr>
            <w:r>
              <w:rPr>
                <w:sz w:val="20"/>
                <w:szCs w:val="20"/>
              </w:rPr>
              <w:t>{% if faira_form.B6_3 == "Yes" and faira_form.B6_3_notes %}{{ faira_form.B6_3_notes }}{% else %}—{% endif %}</w:t>
            </w:r>
          </w:p>
        </w:tc>
      </w:tr>
    </w:tbl>
    <w:p>
      <w:pPr>
        <w:pStyle w:val="Caption"/>
        <w:rPr>
          <w:b/>
          <w:bCs/>
          <w:lang w:val="en-AU" w:eastAsia="en-AU"/>
        </w:rPr>
      </w:pPr>
      <w:r>
        <w:rPr/>
        <w:t xml:space="preserve">Table </w:t>
      </w:r>
      <w:r>
        <w:rPr/>
        <w:fldChar w:fldCharType="begin"/>
      </w:r>
      <w:r>
        <w:rPr/>
        <w:instrText xml:space="preserve"> SEQ Table \* ARABIC </w:instrText>
      </w:r>
      <w:r>
        <w:rPr/>
        <w:fldChar w:fldCharType="separate"/>
      </w:r>
      <w:r>
        <w:rPr/>
        <w:t>13</w:t>
      </w:r>
      <w:r>
        <w:rPr/>
        <w:fldChar w:fldCharType="end"/>
      </w:r>
      <w:r>
        <w:rPr/>
        <w:t xml:space="preserve"> - Disclosure of AI Use summary</w:t>
      </w:r>
    </w:p>
    <w:p>
      <w:pPr>
        <w:pStyle w:val="Normal"/>
        <w:rPr>
          <w:b/>
          <w:bCs/>
          <w:lang w:val="en-AU" w:eastAsia="en-AU"/>
        </w:rPr>
      </w:pPr>
      <w:r>
        <w:rPr>
          <w:b/>
          <w:bCs/>
          <w:lang w:val="en-AU" w:eastAsia="en-AU"/>
        </w:rPr>
        <w:t>Explainability of Outcomes</w:t>
      </w:r>
    </w:p>
    <w:p>
      <w:pPr>
        <w:pStyle w:val="Normal"/>
        <w:rPr>
          <w:lang w:val="en-AU" w:eastAsia="en-AU"/>
        </w:rPr>
      </w:pPr>
      <w:r>
        <w:rPr>
          <w:lang w:val="en-AU" w:eastAsia="en-AU"/>
        </w:rPr>
        <w:t>The table below summarises the various aspects surrounding the explainability of outcomes:</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556"/>
        <w:gridCol w:w="6470"/>
      </w:tblGrid>
      <w:tr>
        <w:trPr>
          <w:tblHeader w:val="true"/>
        </w:trPr>
        <w:tc>
          <w:tcPr>
            <w:tcW w:w="2556"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Aspect</w:t>
            </w:r>
          </w:p>
        </w:tc>
        <w:tc>
          <w:tcPr>
            <w:tcW w:w="647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Description</w:t>
            </w:r>
          </w:p>
        </w:tc>
      </w:tr>
      <w:tr>
        <w:trPr/>
        <w:tc>
          <w:tcPr>
            <w:tcW w:w="2556"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lang w:val="en-AU" w:eastAsia="en-AU"/>
              </w:rPr>
            </w:pPr>
            <w:r>
              <w:rPr>
                <w:sz w:val="20"/>
                <w:szCs w:val="20"/>
              </w:rPr>
              <w:t>Explainability of AI-supported outcomes (B6.4)</w:t>
            </w:r>
          </w:p>
        </w:tc>
        <w:tc>
          <w:tcPr>
            <w:tcW w:w="6470" w:type="dxa"/>
            <w:tcBorders>
              <w:top w:val="single" w:sz="4" w:space="0" w:color="000000"/>
              <w:start w:val="single" w:sz="4" w:space="0" w:color="000000"/>
              <w:bottom w:val="single" w:sz="4" w:space="0" w:color="000000"/>
              <w:end w:val="single" w:sz="4" w:space="0" w:color="000000"/>
            </w:tcBorders>
          </w:tcPr>
          <w:p>
            <w:pPr>
              <w:pStyle w:val="Normal"/>
              <w:keepNext w:val="true"/>
              <w:spacing w:before="60" w:after="60"/>
              <w:rPr>
                <w:sz w:val="20"/>
                <w:szCs w:val="20"/>
                <w:lang w:val="en-AU" w:eastAsia="en-AU"/>
              </w:rPr>
            </w:pPr>
            <w:r>
              <w:rPr>
                <w:sz w:val="20"/>
                <w:szCs w:val="20"/>
                <w:lang w:val="en-AU" w:eastAsia="en-AU"/>
              </w:rPr>
              <w:t>{%p if faira_form.B6_4 == "Yes"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Audience: {{ (faira_form.B6_4_audience | format_list) if faira_form.B6_4_audience else "not specified"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Methods: {{ (faira_form.B6_4_explanation_methods | format_list) if faira_form.B6_4_explanation_methods else "not specified"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Timing: {{ faira_form.B6_4_timing if faira_form.B6_4_timing else "not specified"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Content: {{ (faira_form.B6_4_explanation_content | format_list) if faira_form.B6_4_explanation_content else "not specified"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Accessibility: {{ faira_form.B6_4_accessibility if faira_form.B6_4_accessibility else "not specified"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Limitations disclosed: {{ faira_form.B6_4_limitations_disclosed if faira_form.B6_4_limitations_disclosed else "not specified" }}</w:t>
            </w:r>
          </w:p>
          <w:p>
            <w:pPr>
              <w:pStyle w:val="Normal"/>
              <w:keepNext w:val="true"/>
              <w:spacing w:before="60" w:after="60"/>
              <w:rPr>
                <w:sz w:val="20"/>
                <w:szCs w:val="20"/>
                <w:lang w:val="en-AU" w:eastAsia="en-AU"/>
              </w:rPr>
            </w:pPr>
            <w:r>
              <w:rPr>
                <w:sz w:val="20"/>
                <w:szCs w:val="20"/>
                <w:lang w:val="en-AU" w:eastAsia="en-AU"/>
              </w:rPr>
              <w:t>{%p if faira_form.B6_4_notes %}</w:t>
            </w:r>
          </w:p>
          <w:p>
            <w:pPr>
              <w:pStyle w:val="Normal"/>
              <w:keepNext w:val="true"/>
              <w:spacing w:before="60" w:after="60"/>
              <w:rPr>
                <w:sz w:val="20"/>
                <w:szCs w:val="20"/>
                <w:lang w:val="en-AU" w:eastAsia="en-AU"/>
              </w:rPr>
            </w:pPr>
            <w:r>
              <w:rPr>
                <w:sz w:val="20"/>
                <w:szCs w:val="20"/>
                <w:lang w:val="en-AU" w:eastAsia="en-AU"/>
              </w:rPr>
              <w:t xml:space="preserve">• </w:t>
            </w:r>
            <w:r>
              <w:rPr>
                <w:sz w:val="20"/>
                <w:szCs w:val="20"/>
                <w:lang w:val="en-AU" w:eastAsia="en-AU"/>
              </w:rPr>
              <w:t>Notes: {{ faira_form.B6_4_notes }}</w:t>
            </w:r>
          </w:p>
          <w:p>
            <w:pPr>
              <w:pStyle w:val="Normal"/>
              <w:keepNext w:val="true"/>
              <w:spacing w:before="60" w:after="60"/>
              <w:rPr>
                <w:sz w:val="20"/>
                <w:szCs w:val="20"/>
                <w:lang w:val="en-AU" w:eastAsia="en-AU"/>
              </w:rPr>
            </w:pPr>
            <w:r>
              <w:rPr>
                <w:sz w:val="20"/>
                <w:szCs w:val="20"/>
                <w:lang w:val="en-AU" w:eastAsia="en-AU"/>
              </w:rPr>
              <w:t>{%p endif %}</w:t>
            </w:r>
          </w:p>
          <w:p>
            <w:pPr>
              <w:pStyle w:val="Normal"/>
              <w:keepNext w:val="true"/>
              <w:spacing w:before="60" w:after="60"/>
              <w:rPr>
                <w:sz w:val="20"/>
                <w:szCs w:val="20"/>
                <w:lang w:val="en-AU" w:eastAsia="en-AU"/>
              </w:rPr>
            </w:pPr>
            <w:r>
              <w:rPr>
                <w:sz w:val="20"/>
                <w:szCs w:val="20"/>
                <w:lang w:val="en-AU" w:eastAsia="en-AU"/>
              </w:rPr>
              <w:t>{%p elif faira_form.B6_4 == "No" %}</w:t>
            </w:r>
          </w:p>
          <w:p>
            <w:pPr>
              <w:pStyle w:val="Normal"/>
              <w:keepNext w:val="true"/>
              <w:spacing w:before="60" w:after="60"/>
              <w:rPr>
                <w:sz w:val="20"/>
                <w:szCs w:val="20"/>
                <w:lang w:val="en-AU" w:eastAsia="en-AU"/>
              </w:rPr>
            </w:pPr>
            <w:r>
              <w:rPr>
                <w:sz w:val="20"/>
                <w:szCs w:val="20"/>
                <w:lang w:val="en-AU" w:eastAsia="en-AU"/>
              </w:rPr>
              <w:t>No</w:t>
            </w:r>
          </w:p>
          <w:p>
            <w:pPr>
              <w:pStyle w:val="Normal"/>
              <w:keepNext w:val="true"/>
              <w:spacing w:before="60" w:after="60"/>
              <w:rPr>
                <w:sz w:val="20"/>
                <w:szCs w:val="20"/>
                <w:lang w:val="en-AU" w:eastAsia="en-AU"/>
              </w:rPr>
            </w:pPr>
            <w:r>
              <w:rPr>
                <w:sz w:val="20"/>
                <w:szCs w:val="20"/>
                <w:lang w:val="en-AU" w:eastAsia="en-AU"/>
              </w:rPr>
              <w:t>{%p else %}</w:t>
            </w:r>
          </w:p>
          <w:p>
            <w:pPr>
              <w:pStyle w:val="Normal"/>
              <w:keepNext w:val="true"/>
              <w:spacing w:before="60" w:after="60"/>
              <w:rPr>
                <w:sz w:val="20"/>
                <w:szCs w:val="20"/>
                <w:lang w:val="en-AU" w:eastAsia="en-AU"/>
              </w:rPr>
            </w:pPr>
            <w:r>
              <w:rPr>
                <w:sz w:val="20"/>
                <w:szCs w:val="20"/>
                <w:lang w:val="en-AU" w:eastAsia="en-AU"/>
              </w:rPr>
              <w:t>Not specified</w:t>
            </w:r>
          </w:p>
          <w:p>
            <w:pPr>
              <w:pStyle w:val="Normal"/>
              <w:keepNext w:val="true"/>
              <w:spacing w:before="60" w:after="60"/>
              <w:rPr>
                <w:sz w:val="20"/>
                <w:szCs w:val="20"/>
                <w:lang w:val="en-AU" w:eastAsia="en-AU"/>
              </w:rPr>
            </w:pPr>
            <w:r>
              <w:rPr>
                <w:sz w:val="20"/>
                <w:szCs w:val="20"/>
                <w:lang w:val="en-AU" w:eastAsia="en-AU"/>
              </w:rPr>
              <w:t>{%p endif %}</w:t>
            </w:r>
          </w:p>
        </w:tc>
      </w:tr>
    </w:tbl>
    <w:p>
      <w:pPr>
        <w:pStyle w:val="Caption"/>
        <w:rPr>
          <w:b/>
          <w:bCs/>
          <w:lang w:val="en-AU" w:eastAsia="en-AU"/>
        </w:rPr>
      </w:pPr>
      <w:r>
        <w:rPr/>
        <w:t xml:space="preserve">Table </w:t>
      </w:r>
      <w:r>
        <w:rPr/>
        <w:fldChar w:fldCharType="begin"/>
      </w:r>
      <w:r>
        <w:rPr/>
        <w:instrText xml:space="preserve"> SEQ Table \* ARABIC </w:instrText>
      </w:r>
      <w:r>
        <w:rPr/>
        <w:fldChar w:fldCharType="separate"/>
      </w:r>
      <w:r>
        <w:rPr/>
        <w:t>14</w:t>
      </w:r>
      <w:r>
        <w:rPr/>
        <w:fldChar w:fldCharType="end"/>
      </w:r>
      <w:r>
        <w:rPr/>
        <w:t xml:space="preserve"> - Explainability of Outcomes summary</w:t>
      </w:r>
    </w:p>
    <w:p>
      <w:pPr>
        <w:pStyle w:val="Normal"/>
        <w:rPr>
          <w:b/>
          <w:bCs/>
          <w:lang w:val="en-AU" w:eastAsia="en-AU"/>
        </w:rPr>
      </w:pPr>
      <w:r>
        <w:rPr>
          <w:b/>
          <w:bCs/>
          <w:lang w:val="en-AU" w:eastAsia="en-AU"/>
        </w:rPr>
        <w:t>Domain Interpretation</w:t>
      </w:r>
    </w:p>
    <w:p>
      <w:pPr>
        <w:pStyle w:val="Normal"/>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pPr>
        <w:pStyle w:val="Normal"/>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pPr>
        <w:pStyle w:val="Normal"/>
        <w:rPr>
          <w:b/>
          <w:bCs/>
          <w:lang w:eastAsia="en-AU"/>
        </w:rPr>
      </w:pPr>
      <w:r>
        <w:rPr>
          <w:b/>
          <w:bCs/>
          <w:lang w:eastAsia="en-AU"/>
        </w:rPr>
        <w:t>What would change this score?</w:t>
      </w:r>
    </w:p>
    <w:p>
      <w:pPr>
        <w:pStyle w:val="Normal"/>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pPr>
        <w:pStyle w:val="ListParagraph"/>
        <w:numPr>
          <w:ilvl w:val="0"/>
          <w:numId w:val="12"/>
        </w:numPr>
        <w:spacing w:before="60" w:after="60"/>
        <w:contextualSpacing w:val="false"/>
        <w:rPr>
          <w:lang w:val="en-AU" w:eastAsia="en-AU"/>
        </w:rPr>
      </w:pPr>
      <w:r>
        <w:rPr>
          <w:lang w:val="en-AU" w:eastAsia="en-AU"/>
        </w:rPr>
        <w:t>Clear disclosure to users or affected individuals that AI is being used in decision-making.</w:t>
      </w:r>
    </w:p>
    <w:p>
      <w:pPr>
        <w:pStyle w:val="ListParagraph"/>
        <w:numPr>
          <w:ilvl w:val="0"/>
          <w:numId w:val="12"/>
        </w:numPr>
        <w:spacing w:before="60" w:after="60"/>
        <w:contextualSpacing w:val="false"/>
        <w:rPr>
          <w:lang w:val="en-AU" w:eastAsia="en-AU"/>
        </w:rPr>
      </w:pPr>
      <w:r>
        <w:rPr>
          <w:lang w:val="en-AU" w:eastAsia="en-AU"/>
        </w:rPr>
        <w:t>Availability of meaningful explanations appropriate to different audiences (technical and non-technical).</w:t>
      </w:r>
    </w:p>
    <w:p>
      <w:pPr>
        <w:pStyle w:val="ListParagraph"/>
        <w:numPr>
          <w:ilvl w:val="0"/>
          <w:numId w:val="12"/>
        </w:numPr>
        <w:spacing w:before="60" w:after="60"/>
        <w:contextualSpacing w:val="false"/>
        <w:rPr>
          <w:lang w:val="en-AU" w:eastAsia="en-AU"/>
        </w:rPr>
      </w:pPr>
      <w:r>
        <w:rPr>
          <w:lang w:val="en-AU" w:eastAsia="en-AU"/>
        </w:rPr>
        <w:t>Documentation of system limitations, uncertainty, and assumptions.</w:t>
      </w:r>
    </w:p>
    <w:p>
      <w:pPr>
        <w:pStyle w:val="ListParagraph"/>
        <w:numPr>
          <w:ilvl w:val="0"/>
          <w:numId w:val="12"/>
        </w:numPr>
        <w:spacing w:before="60" w:after="60"/>
        <w:contextualSpacing w:val="false"/>
        <w:rPr>
          <w:lang w:val="en-AU" w:eastAsia="en-AU"/>
        </w:rPr>
      </w:pPr>
      <w:r>
        <w:rPr>
          <w:lang w:val="en-AU" w:eastAsia="en-AU"/>
        </w:rPr>
        <w:t>Timely access to explanations when decisions materially affect individuals or groups.</w:t>
      </w:r>
    </w:p>
    <w:p>
      <w:pPr>
        <w:pStyle w:val="ListParagraph"/>
        <w:numPr>
          <w:ilvl w:val="0"/>
          <w:numId w:val="12"/>
        </w:numPr>
        <w:spacing w:before="60" w:after="60"/>
        <w:contextualSpacing w:val="false"/>
        <w:rPr>
          <w:lang w:val="en-AU" w:eastAsia="en-AU"/>
        </w:rPr>
      </w:pPr>
      <w:r>
        <w:rPr>
          <w:lang w:val="en-AU" w:eastAsia="en-AU"/>
        </w:rPr>
        <w:t>Governance processes ensuring transparency practices are maintained as the system changes.</w:t>
      </w:r>
    </w:p>
    <w:p>
      <w:pPr>
        <w:pStyle w:val="Normal"/>
        <w:rPr>
          <w:lang w:val="en-AU" w:eastAsia="en-AU"/>
        </w:rPr>
      </w:pPr>
      <w:r>
        <w:rPr>
          <w:lang w:val="en-AU" w:eastAsia="en-AU"/>
        </w:rPr>
      </w:r>
    </w:p>
    <w:p>
      <w:pPr>
        <w:pStyle w:val="Heading01"/>
        <w:numPr>
          <w:ilvl w:val="0"/>
          <w:numId w:val="1"/>
        </w:numPr>
        <w:rPr>
          <w:lang w:val="en-AU" w:eastAsia="en-AU"/>
        </w:rPr>
      </w:pPr>
      <w:bookmarkStart w:id="29" w:name="_Toc220351616"/>
      <w:r>
        <w:rPr>
          <w:lang w:val="en-AU" w:eastAsia="en-AU"/>
        </w:rPr>
        <w:t>Top Risk Areas</w:t>
      </w:r>
      <w:bookmarkEnd w:id="29"/>
    </w:p>
    <w:p>
      <w:pPr>
        <w:pStyle w:val="Normal"/>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pPr>
        <w:pStyle w:val="Normal"/>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pPr>
        <w:pStyle w:val="Normal"/>
        <w:rPr>
          <w:lang w:eastAsia="en-AU"/>
        </w:rPr>
      </w:pPr>
      <w:r>
        <w:rPr>
          <w:lang w:eastAsia="en-AU"/>
        </w:rPr>
        <w:t>These results are based on normalised scores to support comparison across domains.</w:t>
      </w:r>
    </w:p>
    <w:p>
      <w:pPr>
        <w:pStyle w:val="Normal"/>
        <w:rPr>
          <w:b/>
          <w:bCs/>
          <w:lang w:eastAsia="en-AU"/>
        </w:rPr>
      </w:pPr>
      <w:r>
        <w:rPr>
          <w:b/>
          <w:bCs/>
          <w:lang w:eastAsia="en-AU"/>
        </w:rPr>
        <w:t>Top FAIRA Risk Areas (by Residual Risk)</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974"/>
        <w:gridCol w:w="4205"/>
        <w:gridCol w:w="3847"/>
      </w:tblGrid>
      <w:tr>
        <w:trPr>
          <w:tblHeader w:val="true"/>
        </w:trPr>
        <w:tc>
          <w:tcPr>
            <w:tcW w:w="97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Rank</w:t>
            </w:r>
          </w:p>
        </w:tc>
        <w:tc>
          <w:tcPr>
            <w:tcW w:w="4205"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Domain</w:t>
            </w:r>
          </w:p>
        </w:tc>
        <w:tc>
          <w:tcPr>
            <w:tcW w:w="3847"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Residual Risk</w:t>
            </w:r>
          </w:p>
        </w:tc>
      </w:tr>
      <w:tr>
        <w:trPr/>
        <w:tc>
          <w:tcPr>
            <w:tcW w:w="97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1</w:t>
            </w:r>
          </w:p>
        </w:tc>
        <w:tc>
          <w:tcPr>
            <w:tcW w:w="420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{{top_domains[0].name}}</w:t>
            </w:r>
          </w:p>
        </w:tc>
        <w:tc>
          <w:tcPr>
            <w:tcW w:w="384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{{top_domains[0].risk}}</w:t>
            </w:r>
          </w:p>
        </w:tc>
      </w:tr>
      <w:tr>
        <w:trPr/>
        <w:tc>
          <w:tcPr>
            <w:tcW w:w="97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2</w:t>
            </w:r>
          </w:p>
        </w:tc>
        <w:tc>
          <w:tcPr>
            <w:tcW w:w="420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{{top_domains[1].name}}</w:t>
            </w:r>
          </w:p>
        </w:tc>
        <w:tc>
          <w:tcPr>
            <w:tcW w:w="384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{{top_domains[1].risk}}</w:t>
            </w:r>
          </w:p>
        </w:tc>
      </w:tr>
      <w:tr>
        <w:trPr/>
        <w:tc>
          <w:tcPr>
            <w:tcW w:w="97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3</w:t>
            </w:r>
          </w:p>
        </w:tc>
        <w:tc>
          <w:tcPr>
            <w:tcW w:w="420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{{top_domains[2].name}}</w:t>
            </w:r>
          </w:p>
        </w:tc>
        <w:tc>
          <w:tcPr>
            <w:tcW w:w="384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{{top_domains[2].risk}}</w:t>
            </w:r>
          </w:p>
        </w:tc>
      </w:tr>
    </w:tbl>
    <w:p>
      <w:pPr>
        <w:pStyle w:val="Normal"/>
        <w:rPr>
          <w:lang w:val="en-AU" w:eastAsia="en-AU"/>
        </w:rPr>
      </w:pPr>
      <w:r>
        <w:rPr>
          <w:lang w:val="en-AU" w:eastAsia="en-AU"/>
        </w:rPr>
      </w:r>
    </w:p>
    <w:p>
      <w:pPr>
        <w:pStyle w:val="Normal"/>
        <w:rPr>
          <w:lang w:eastAsia="en-AU"/>
        </w:rPr>
      </w:pPr>
      <w:r>
        <w:rPr>
          <w:lang w:eastAsia="en-AU"/>
        </w:rPr>
        <w:t>Concentration of risk in specific domains may reflect assessed factors such as system context, data sensitivity, user interaction patterns, or governance maturity.</w:t>
      </w:r>
    </w:p>
    <w:p>
      <w:pPr>
        <w:pStyle w:val="Normal"/>
        <w:rPr>
          <w:lang w:val="en-AU" w:eastAsia="en-AU"/>
        </w:rPr>
      </w:pPr>
      <w:r>
        <w:rPr>
          <w:lang w:val="en-AU" w:eastAsia="en-AU"/>
        </w:rPr>
        <w:t xml:space="preserve">{{ai.f_top_risk_areas_analysis}} </w:t>
      </w:r>
    </w:p>
    <w:p>
      <w:pPr>
        <w:pStyle w:val="Heading01"/>
        <w:numPr>
          <w:ilvl w:val="0"/>
          <w:numId w:val="1"/>
        </w:numPr>
        <w:rPr>
          <w:lang w:val="en-AU" w:eastAsia="en-AU"/>
        </w:rPr>
      </w:pPr>
      <w:bookmarkStart w:id="30" w:name="_Toc220351617"/>
      <w:r>
        <w:rPr>
          <w:lang w:val="en-AU" w:eastAsia="en-AU"/>
        </w:rPr>
        <w:t>Part C – Controls and Mitigations</w:t>
      </w:r>
      <w:bookmarkEnd w:id="30"/>
    </w:p>
    <w:p>
      <w:pPr>
        <w:pStyle w:val="Normal"/>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pPr>
        <w:pStyle w:val="Normal"/>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pPr>
        <w:pStyle w:val="Normal"/>
        <w:rPr>
          <w:lang w:eastAsia="en-AU"/>
        </w:rPr>
      </w:pPr>
      <w:r>
        <w:rPr>
          <w:lang w:eastAsia="en-AU"/>
        </w:rPr>
        <w:t>This approach supports targeted and proportionate risk treatment rather than uniform application of controls.</w:t>
      </w:r>
    </w:p>
    <w:p>
      <w:pPr>
        <w:pStyle w:val="Normal"/>
        <w:rPr>
          <w:lang w:val="en-AU" w:eastAsia="en-AU"/>
        </w:rPr>
      </w:pPr>
      <w:r>
        <w:rPr>
          <w:lang w:val="en-AU" w:eastAsia="en-AU"/>
        </w:rPr>
        <w:t xml:space="preserve">{{ai.f_controls_overview}} </w:t>
      </w:r>
    </w:p>
    <w:p>
      <w:pPr>
        <w:pStyle w:val="Heading02"/>
        <w:numPr>
          <w:ilvl w:val="1"/>
          <w:numId w:val="1"/>
        </w:numPr>
        <w:ind w:hanging="432" w:start="432"/>
        <w:rPr>
          <w:lang w:val="en-AU" w:eastAsia="en-AU"/>
        </w:rPr>
      </w:pPr>
      <w:bookmarkStart w:id="31" w:name="_Toc220351618"/>
      <w:r>
        <w:rPr>
          <w:lang w:val="en-AU" w:eastAsia="en-AU"/>
        </w:rPr>
        <w:t>C1 — Control Prioritisation and Approach</w:t>
      </w:r>
      <w:bookmarkEnd w:id="31"/>
    </w:p>
    <w:p>
      <w:pPr>
        <w:pStyle w:val="Normal"/>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pPr>
        <w:pStyle w:val="Normal"/>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pPr>
        <w:pStyle w:val="Normal"/>
        <w:rPr>
          <w:lang w:eastAsia="en-AU"/>
        </w:rPr>
      </w:pPr>
      <w:r>
        <w:rPr>
          <w:lang w:eastAsia="en-AU"/>
        </w:rPr>
        <w:t>This prioritisation approach supports targeted risk reduction while maintaining alignment with organisational capabilities and constraints.</w:t>
      </w:r>
    </w:p>
    <w:p>
      <w:pPr>
        <w:pStyle w:val="Normal"/>
        <w:rPr>
          <w:lang w:val="en-AU" w:eastAsia="en-AU"/>
        </w:rPr>
      </w:pPr>
      <w:r>
        <w:rPr>
          <w:highlight w:val="yellow"/>
          <w:lang w:val="en-AU" w:eastAsia="en-AU"/>
        </w:rPr>
        <w:t>{{ai.f_control_prioritisation_rationale}}</w:t>
      </w:r>
    </w:p>
    <w:p>
      <w:pPr>
        <w:pStyle w:val="Heading02"/>
        <w:numPr>
          <w:ilvl w:val="1"/>
          <w:numId w:val="1"/>
        </w:numPr>
        <w:ind w:hanging="432" w:start="432"/>
        <w:rPr>
          <w:lang w:val="en-AU" w:eastAsia="en-AU"/>
        </w:rPr>
      </w:pPr>
      <w:bookmarkStart w:id="32" w:name="_Toc220351619"/>
      <w:r>
        <w:rPr>
          <w:lang w:val="en-AU" w:eastAsia="en-AU"/>
        </w:rPr>
        <w:t>C2 — Recommended Controls by Domain</w:t>
      </w:r>
      <w:bookmarkEnd w:id="32"/>
    </w:p>
    <w:p>
      <w:pPr>
        <w:pStyle w:val="Normal"/>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pPr>
        <w:pStyle w:val="Normal"/>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pPr>
        <w:pStyle w:val="Normal"/>
        <w:rPr>
          <w:lang w:eastAsia="en-AU"/>
        </w:rPr>
      </w:pPr>
      <w:r>
        <w:rPr>
          <w:lang w:eastAsia="en-AU"/>
        </w:rPr>
        <w:t>This approach supports targeted risk treatment and avoids unnecessary control duplication.</w:t>
      </w:r>
    </w:p>
    <w:p>
      <w:pPr>
        <w:pStyle w:val="Normal"/>
        <w:rPr>
          <w:b/>
          <w:bCs/>
          <w:i/>
          <w:iCs/>
          <w:lang w:eastAsia="en-AU"/>
        </w:rPr>
      </w:pPr>
      <w:r>
        <w:rPr>
          <w:b/>
          <w:bCs/>
          <w:lang w:eastAsia="en-AU"/>
        </w:rPr>
        <w:t>C2.1 — Accountability</w:t>
      </w:r>
    </w:p>
    <w:p>
      <w:pPr>
        <w:pStyle w:val="Normal"/>
        <w:rPr>
          <w:lang w:eastAsia="en-AU"/>
        </w:rPr>
      </w:pPr>
      <w:r>
        <w:rPr>
          <w:lang w:eastAsia="en-AU"/>
        </w:rPr>
        <w:t>The following recommended controls are intended to address risks identified within the Accountability domain.</w:t>
      </w:r>
    </w:p>
    <w:p>
      <w:pPr>
        <w:pStyle w:val="Normal"/>
        <w:rPr>
          <w:b/>
          <w:bCs/>
          <w:i/>
          <w:iCs/>
          <w:lang w:eastAsia="en-AU"/>
        </w:rPr>
      </w:pPr>
      <w:r>
        <w:rPr>
          <w:b/>
          <w:bCs/>
          <w:lang w:eastAsia="en-AU"/>
        </w:rPr>
        <w:t>Recommended Controls — Accountability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{{ai.f_domain_b1_controls_rationale}}</w:t>
      </w:r>
    </w:p>
    <w:p>
      <w:pPr>
        <w:pStyle w:val="Normal"/>
        <w:rPr>
          <w:lang w:val="en-AU" w:eastAsia="en-AU"/>
        </w:rPr>
      </w:pPr>
      <w:r>
        <w:rPr>
          <w:lang w:val="en-AU" w:eastAsia="en-AU"/>
        </w:rPr>
      </w:r>
    </w:p>
    <w:p>
      <w:pPr>
        <w:pStyle w:val="Normal"/>
        <w:rPr>
          <w:b/>
          <w:bCs/>
          <w:i/>
          <w:iCs/>
          <w:lang w:eastAsia="en-AU"/>
        </w:rPr>
      </w:pPr>
      <w:r>
        <w:rPr>
          <w:b/>
          <w:bCs/>
          <w:lang w:eastAsia="en-AU"/>
        </w:rPr>
        <w:t>C2.2 — Contestability</w:t>
      </w:r>
    </w:p>
    <w:p>
      <w:pPr>
        <w:pStyle w:val="Normal"/>
        <w:rPr>
          <w:lang w:eastAsia="en-AU"/>
        </w:rPr>
      </w:pPr>
      <w:r>
        <w:rPr>
          <w:lang w:eastAsia="en-AU"/>
        </w:rPr>
        <w:t>The following recommended controls are intended to address risks identified within the Contestability domain.</w:t>
      </w:r>
    </w:p>
    <w:p>
      <w:pPr>
        <w:pStyle w:val="Normal"/>
        <w:rPr>
          <w:b/>
          <w:bCs/>
          <w:i/>
          <w:iCs/>
          <w:lang w:eastAsia="en-AU"/>
        </w:rPr>
      </w:pPr>
      <w:r>
        <w:rPr>
          <w:b/>
          <w:bCs/>
          <w:lang w:eastAsia="en-AU"/>
        </w:rPr>
        <w:t>Recommended Controls — Contestability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{{ai.f_domain_b2_controls_rationale}}</w:t>
      </w:r>
    </w:p>
    <w:p>
      <w:pPr>
        <w:pStyle w:val="Normal"/>
        <w:rPr>
          <w:lang w:val="en-AU" w:eastAsia="en-AU"/>
        </w:rPr>
      </w:pPr>
      <w:r>
        <w:rPr>
          <w:lang w:val="en-AU" w:eastAsia="en-AU"/>
        </w:rPr>
      </w:r>
    </w:p>
    <w:p>
      <w:pPr>
        <w:pStyle w:val="Normal"/>
        <w:rPr>
          <w:b/>
          <w:bCs/>
          <w:i/>
          <w:iCs/>
          <w:lang w:eastAsia="en-AU"/>
        </w:rPr>
      </w:pPr>
      <w:r>
        <w:rPr>
          <w:b/>
          <w:bCs/>
          <w:lang w:eastAsia="en-AU"/>
        </w:rPr>
        <w:t>C2.3 — Fairness</w:t>
      </w:r>
    </w:p>
    <w:p>
      <w:pPr>
        <w:pStyle w:val="Normal"/>
        <w:rPr>
          <w:lang w:eastAsia="en-AU"/>
        </w:rPr>
      </w:pPr>
      <w:r>
        <w:rPr>
          <w:lang w:eastAsia="en-AU"/>
        </w:rPr>
        <w:t>The following recommended controls are intended to address risks identified within the Fairness domain.</w:t>
      </w:r>
    </w:p>
    <w:p>
      <w:pPr>
        <w:pStyle w:val="Normal"/>
        <w:rPr>
          <w:b/>
          <w:bCs/>
          <w:i/>
          <w:iCs/>
          <w:lang w:eastAsia="en-AU"/>
        </w:rPr>
      </w:pPr>
      <w:r>
        <w:rPr>
          <w:b/>
          <w:bCs/>
          <w:lang w:eastAsia="en-AU"/>
        </w:rPr>
        <w:t>Recommended Controls — Fairness</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{{ai.f_domain_b3_controls_rationale}}</w:t>
      </w:r>
    </w:p>
    <w:p>
      <w:pPr>
        <w:pStyle w:val="Normal"/>
        <w:rPr>
          <w:lang w:val="en-AU" w:eastAsia="en-AU"/>
        </w:rPr>
      </w:pPr>
      <w:r>
        <w:rPr>
          <w:lang w:val="en-AU" w:eastAsia="en-AU"/>
        </w:rPr>
      </w:r>
    </w:p>
    <w:p>
      <w:pPr>
        <w:pStyle w:val="Normal"/>
        <w:rPr>
          <w:b/>
          <w:bCs/>
          <w:i/>
          <w:iCs/>
          <w:lang w:eastAsia="en-AU"/>
        </w:rPr>
      </w:pPr>
      <w:r>
        <w:rPr>
          <w:b/>
          <w:bCs/>
          <w:lang w:eastAsia="en-AU"/>
        </w:rPr>
        <w:t>C2.4 — Human, Societal and Environmental Wellbeing</w:t>
      </w:r>
    </w:p>
    <w:p>
      <w:pPr>
        <w:pStyle w:val="Normal"/>
        <w:rPr>
          <w:lang w:eastAsia="en-AU"/>
        </w:rPr>
      </w:pPr>
      <w:r>
        <w:rPr>
          <w:lang w:eastAsia="en-AU"/>
        </w:rPr>
        <w:t>The following recommended controls are intended to address risks identified within the Human, Societal and Environmental Wellbeing domain.</w:t>
      </w:r>
    </w:p>
    <w:p>
      <w:pPr>
        <w:pStyle w:val="Normal"/>
        <w:rPr>
          <w:b/>
          <w:bCs/>
          <w:i/>
          <w:iCs/>
          <w:lang w:eastAsia="en-AU"/>
        </w:rPr>
      </w:pPr>
      <w:r>
        <w:rPr>
          <w:b/>
          <w:bCs/>
          <w:lang w:eastAsia="en-AU"/>
        </w:rPr>
        <w:t>Recommended Controls — Human, Societal and Environmental Wellbeing</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b/>
          <w:bCs/>
          <w:lang w:eastAsia="en-AU"/>
        </w:rPr>
      </w:pPr>
      <w:r>
        <w:rPr>
          <w:b/>
          <w:bCs/>
          <w:lang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{{ai.f_domain_b4_controls_rationale}}</w:t>
      </w:r>
    </w:p>
    <w:p>
      <w:pPr>
        <w:pStyle w:val="Normal"/>
        <w:rPr>
          <w:lang w:val="en-AU" w:eastAsia="en-AU"/>
        </w:rPr>
      </w:pPr>
      <w:r>
        <w:rPr>
          <w:lang w:val="en-AU" w:eastAsia="en-AU"/>
        </w:rPr>
      </w:r>
    </w:p>
    <w:p>
      <w:pPr>
        <w:pStyle w:val="Normal"/>
        <w:rPr>
          <w:b/>
          <w:bCs/>
          <w:i/>
          <w:iCs/>
          <w:lang w:eastAsia="en-AU"/>
        </w:rPr>
      </w:pPr>
      <w:r>
        <w:rPr>
          <w:b/>
          <w:bCs/>
          <w:lang w:eastAsia="en-AU"/>
        </w:rPr>
        <w:t>C2.5 — Human-Centred Values</w:t>
      </w:r>
    </w:p>
    <w:p>
      <w:pPr>
        <w:pStyle w:val="Normal"/>
        <w:rPr>
          <w:lang w:eastAsia="en-AU"/>
        </w:rPr>
      </w:pPr>
      <w:r>
        <w:rPr>
          <w:lang w:eastAsia="en-AU"/>
        </w:rPr>
        <w:t>The following recommended controls are intended to address risks identified within the Human-Centred Values domain.</w:t>
      </w:r>
    </w:p>
    <w:p>
      <w:pPr>
        <w:pStyle w:val="Normal"/>
        <w:rPr>
          <w:b/>
          <w:bCs/>
          <w:i/>
          <w:iCs/>
          <w:lang w:eastAsia="en-AU"/>
        </w:rPr>
      </w:pPr>
      <w:r>
        <w:rPr>
          <w:b/>
          <w:bCs/>
          <w:lang w:eastAsia="en-AU"/>
        </w:rPr>
        <w:t>Recommended Controls — Human-Centred Values</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{{ai.f_domain_b5_controls_rationale}}</w:t>
      </w:r>
    </w:p>
    <w:p>
      <w:pPr>
        <w:pStyle w:val="Normal"/>
        <w:rPr>
          <w:lang w:val="en-AU" w:eastAsia="en-AU"/>
        </w:rPr>
      </w:pPr>
      <w:r>
        <w:rPr>
          <w:lang w:val="en-AU" w:eastAsia="en-AU"/>
        </w:rPr>
      </w:r>
    </w:p>
    <w:p>
      <w:pPr>
        <w:pStyle w:val="Normal"/>
        <w:rPr>
          <w:b/>
          <w:bCs/>
          <w:i/>
          <w:iCs/>
          <w:lang w:eastAsia="en-AU"/>
        </w:rPr>
      </w:pPr>
      <w:r>
        <w:rPr>
          <w:b/>
          <w:bCs/>
          <w:lang w:eastAsia="en-AU"/>
        </w:rPr>
        <w:t>C2.6 — Privacy Protection and Security</w:t>
      </w:r>
    </w:p>
    <w:p>
      <w:pPr>
        <w:pStyle w:val="Normal"/>
        <w:rPr>
          <w:lang w:eastAsia="en-AU"/>
        </w:rPr>
      </w:pPr>
      <w:r>
        <w:rPr>
          <w:lang w:eastAsia="en-AU"/>
        </w:rPr>
        <w:t>The following recommended controls are intended to address risks identified within the Privacy Protection and Security domain.</w:t>
      </w:r>
    </w:p>
    <w:p>
      <w:pPr>
        <w:pStyle w:val="Normal"/>
        <w:rPr>
          <w:b/>
          <w:bCs/>
          <w:i/>
          <w:iCs/>
          <w:lang w:eastAsia="en-AU"/>
        </w:rPr>
      </w:pPr>
      <w:r>
        <w:rPr>
          <w:b/>
          <w:bCs/>
          <w:lang w:eastAsia="en-AU"/>
        </w:rPr>
        <w:t>Recommended Controls — Privacy Protection and Security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{{ai.f_domain_b6_controls_rationale}}</w:t>
      </w:r>
    </w:p>
    <w:p>
      <w:pPr>
        <w:pStyle w:val="Normal"/>
        <w:rPr>
          <w:lang w:val="en-AU" w:eastAsia="en-AU"/>
        </w:rPr>
      </w:pPr>
      <w:r>
        <w:rPr>
          <w:lang w:val="en-AU" w:eastAsia="en-AU"/>
        </w:rPr>
      </w:r>
    </w:p>
    <w:p>
      <w:pPr>
        <w:pStyle w:val="Normal"/>
        <w:rPr>
          <w:b/>
          <w:bCs/>
          <w:i/>
          <w:iCs/>
          <w:lang w:eastAsia="en-AU"/>
        </w:rPr>
      </w:pPr>
      <w:r>
        <w:rPr>
          <w:b/>
          <w:bCs/>
          <w:lang w:eastAsia="en-AU"/>
        </w:rPr>
        <w:t>C2.7 — Reliability and Safety</w:t>
      </w:r>
    </w:p>
    <w:p>
      <w:pPr>
        <w:pStyle w:val="Normal"/>
        <w:rPr>
          <w:lang w:eastAsia="en-AU"/>
        </w:rPr>
      </w:pPr>
      <w:r>
        <w:rPr>
          <w:lang w:eastAsia="en-AU"/>
        </w:rPr>
        <w:t>The following recommended controls are intended to address risks identified within the Reliability and Safety domain.</w:t>
      </w:r>
    </w:p>
    <w:p>
      <w:pPr>
        <w:pStyle w:val="Normal"/>
        <w:rPr>
          <w:b/>
          <w:bCs/>
          <w:i/>
          <w:iCs/>
          <w:lang w:eastAsia="en-AU"/>
        </w:rPr>
      </w:pPr>
      <w:r>
        <w:rPr>
          <w:b/>
          <w:bCs/>
          <w:lang w:eastAsia="en-AU"/>
        </w:rPr>
        <w:t>Recommended Controls — Reliability and Safety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{{ai.f_domain_b7_controls_rationale}}</w:t>
      </w:r>
    </w:p>
    <w:p>
      <w:pPr>
        <w:pStyle w:val="Normal"/>
        <w:rPr>
          <w:lang w:val="en-AU" w:eastAsia="en-AU"/>
        </w:rPr>
      </w:pPr>
      <w:r>
        <w:rPr>
          <w:lang w:val="en-AU" w:eastAsia="en-AU"/>
        </w:rPr>
      </w:r>
    </w:p>
    <w:p>
      <w:pPr>
        <w:pStyle w:val="Normal"/>
        <w:rPr>
          <w:b/>
          <w:bCs/>
          <w:i/>
          <w:iCs/>
          <w:lang w:eastAsia="en-AU"/>
        </w:rPr>
      </w:pPr>
      <w:r>
        <w:rPr>
          <w:b/>
          <w:bCs/>
          <w:lang w:eastAsia="en-AU"/>
        </w:rPr>
        <w:t>C2.8 — Transparency and Explainability</w:t>
      </w:r>
    </w:p>
    <w:p>
      <w:pPr>
        <w:pStyle w:val="Normal"/>
        <w:rPr>
          <w:lang w:eastAsia="en-AU"/>
        </w:rPr>
      </w:pPr>
      <w:r>
        <w:rPr>
          <w:lang w:eastAsia="en-AU"/>
        </w:rPr>
        <w:t>The following recommended controls are intended to address risks identified within the Transparency and Explainability domain.</w:t>
      </w:r>
    </w:p>
    <w:p>
      <w:pPr>
        <w:pStyle w:val="Normal"/>
        <w:rPr>
          <w:b/>
          <w:bCs/>
          <w:i/>
          <w:iCs/>
          <w:lang w:eastAsia="en-AU"/>
        </w:rPr>
      </w:pPr>
      <w:r>
        <w:rPr>
          <w:b/>
          <w:bCs/>
          <w:lang w:eastAsia="en-AU"/>
        </w:rPr>
        <w:t>Recommended Controls — Transparency and Explainability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lang w:val="en-AU" w:eastAsia="en-AU"/>
              </w:rPr>
            </w:pPr>
            <w:r>
              <w:rPr>
                <w:b/>
                <w:bCs/>
                <w:sz w:val="18"/>
                <w:szCs w:val="18"/>
                <w:lang w:val="en-AU" w:eastAsia="en-AU"/>
              </w:rPr>
              <w:t>Implementation 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for control in recommended_controls_top3.Transparency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16"/>
                <w:szCs w:val="16"/>
                <w:lang w:val="en-AU" w:eastAsia="en-AU"/>
              </w:rPr>
            </w:pPr>
            <w:r>
              <w:rPr>
                <w:sz w:val="16"/>
                <w:szCs w:val="16"/>
                <w:lang w:val="en-AU" w:eastAsia="en-AU"/>
              </w:rPr>
            </w:r>
          </w:p>
        </w:tc>
      </w:tr>
    </w:tbl>
    <w:p>
      <w:pPr>
        <w:pStyle w:val="Normal"/>
        <w:rPr>
          <w:lang w:val="en-AU" w:eastAsia="en-AU"/>
        </w:rPr>
      </w:pPr>
      <w:r>
        <w:rPr>
          <w:lang w:val="en-AU" w:eastAsia="en-AU"/>
        </w:rPr>
      </w:r>
    </w:p>
    <w:p>
      <w:pPr>
        <w:pStyle w:val="Normal"/>
        <w:rPr>
          <w:b/>
          <w:bCs/>
          <w:highlight w:val="yellow"/>
          <w:lang w:val="en-AU" w:eastAsia="en-AU"/>
        </w:rPr>
      </w:pPr>
      <w:r>
        <w:rPr>
          <w:b/>
          <w:bCs/>
          <w:highlight w:val="yellow"/>
          <w:lang w:val="en-AU" w:eastAsia="en-AU"/>
        </w:rPr>
        <w:t>TEST</w:t>
      </w:r>
    </w:p>
    <w:p>
      <w:pPr>
        <w:pStyle w:val="Normal"/>
        <w:rPr>
          <w:highlight w:val="yellow"/>
          <w:lang w:val="en-AU" w:eastAsia="en-AU"/>
        </w:rPr>
      </w:pPr>
      <w:r>
        <w:rPr>
          <w:highlight w:val="yellow"/>
          <w:lang w:val="en-AU" w:eastAsia="en-AU"/>
        </w:rPr>
        <w:t>{% set controls = recommended_controls_top3.Transparency %}</w:t>
      </w:r>
    </w:p>
    <w:p>
      <w:pPr>
        <w:pStyle w:val="Normal"/>
        <w:rPr>
          <w:highlight w:val="yellow"/>
          <w:lang w:val="en-AU" w:eastAsia="en-AU"/>
        </w:rPr>
      </w:pPr>
      <w:r>
        <w:rPr>
          <w:highlight w:val="yellow"/>
          <w:lang w:val="en-AU" w:eastAsia="en-AU"/>
        </w:rPr>
        <w:t>{%p if controls and controls | length &gt; 0 %}</w:t>
      </w:r>
    </w:p>
    <w:p>
      <w:pPr>
        <w:pStyle w:val="Normal"/>
        <w:rPr>
          <w:b/>
          <w:bCs/>
          <w:i/>
          <w:iCs/>
          <w:highlight w:val="yellow"/>
          <w:lang w:eastAsia="en-AU"/>
        </w:rPr>
      </w:pPr>
      <w:r>
        <w:rPr>
          <w:b/>
          <w:bCs/>
          <w:highlight w:val="yellow"/>
          <w:lang w:eastAsia="en-AU"/>
        </w:rPr>
        <w:t>Recommended Controls — Transparency and Explainability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513"/>
        <w:gridCol w:w="1114"/>
        <w:gridCol w:w="2052"/>
        <w:gridCol w:w="1441"/>
        <w:gridCol w:w="1443"/>
        <w:gridCol w:w="1463"/>
      </w:tblGrid>
      <w:tr>
        <w:trPr>
          <w:tblHeader w:val="true"/>
        </w:trPr>
        <w:tc>
          <w:tcPr>
            <w:tcW w:w="151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Control ID</w:t>
            </w:r>
          </w:p>
        </w:tc>
        <w:tc>
          <w:tcPr>
            <w:tcW w:w="111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Title</w:t>
            </w:r>
          </w:p>
        </w:tc>
        <w:tc>
          <w:tcPr>
            <w:tcW w:w="2052"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Details</w:t>
            </w:r>
          </w:p>
        </w:tc>
        <w:tc>
          <w:tcPr>
            <w:tcW w:w="1441"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Control Type</w:t>
            </w:r>
          </w:p>
        </w:tc>
        <w:tc>
          <w:tcPr>
            <w:tcW w:w="144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Implementation Effort</w:t>
            </w:r>
          </w:p>
        </w:tc>
        <w:tc>
          <w:tcPr>
            <w:tcW w:w="146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18"/>
                <w:szCs w:val="18"/>
                <w:highlight w:val="yellow"/>
                <w:lang w:val="en-AU" w:eastAsia="en-AU"/>
              </w:rPr>
            </w:pPr>
            <w:r>
              <w:rPr>
                <w:b/>
                <w:bCs/>
                <w:sz w:val="18"/>
                <w:szCs w:val="18"/>
                <w:highlight w:val="yellow"/>
                <w:lang w:val="en-AU" w:eastAsia="en-AU"/>
              </w:rPr>
              <w:t>Implementation Horizon</w:t>
            </w:r>
          </w:p>
        </w:tc>
      </w:tr>
      <w:tr>
        <w:trPr>
          <w:trHeight w:val="667" w:hRule="atLeast"/>
        </w:trPr>
        <w:tc>
          <w:tcPr>
            <w:tcW w:w="1513" w:type="dxa"/>
            <w:tcBorders>
              <w:top w:val="single" w:sz="4" w:space="0" w:color="000000"/>
              <w:start w:val="single" w:sz="4" w:space="0" w:color="000000"/>
              <w:bottom w:val="single" w:sz="4" w:space="0" w:color="000000"/>
              <w:end w:val="single" w:sz="4" w:space="0" w:color="000000"/>
            </w:tcBorders>
          </w:tcPr>
          <w:p>
            <w:pPr>
              <w:pStyle w:val="Normal"/>
              <w:rPr>
                <w:sz w:val="20"/>
                <w:szCs w:val="20"/>
                <w:highlight w:val="yellow"/>
                <w:lang w:val="en-AU" w:eastAsia="en-AU"/>
              </w:rPr>
            </w:pPr>
            <w:r>
              <w:rPr>
                <w:sz w:val="20"/>
                <w:szCs w:val="20"/>
                <w:highlight w:val="yellow"/>
                <w:lang w:val="en-AU" w:eastAsia="en-AU"/>
              </w:rPr>
              <w:t>{%tr for control in controls %}</w:t>
            </w:r>
          </w:p>
          <w:p>
            <w:pPr>
              <w:pStyle w:val="Normal"/>
              <w:spacing w:before="0" w:after="160"/>
              <w:rPr>
                <w:sz w:val="20"/>
                <w:szCs w:val="20"/>
                <w:highlight w:val="yellow"/>
                <w:lang w:val="en-AU" w:eastAsia="en-AU"/>
              </w:rPr>
            </w:pPr>
            <w:r>
              <w:rPr>
                <w:sz w:val="20"/>
                <w:szCs w:val="20"/>
                <w:highlight w:val="yellow"/>
                <w:lang w:val="en-AU" w:eastAsia="en-AU"/>
              </w:rPr>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{{control.control_id}}</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{{control.title}}</w:t>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eastAsia="en-AU"/>
              </w:rPr>
              <w:t>{{control.detailed_description}}</w:t>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{{control.control_type}}</w:t>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{{control.implementation_effort}}</w:t>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{{control.implementation_horizon}}</w:t>
            </w:r>
          </w:p>
        </w:tc>
      </w:tr>
      <w:tr>
        <w:trPr/>
        <w:tc>
          <w:tcPr>
            <w:tcW w:w="151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t>{%tr endfor %}</w:t>
            </w:r>
          </w:p>
        </w:tc>
        <w:tc>
          <w:tcPr>
            <w:tcW w:w="1114"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2052"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41"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4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c>
          <w:tcPr>
            <w:tcW w:w="1463" w:type="dxa"/>
            <w:tcBorders>
              <w:top w:val="single" w:sz="4" w:space="0" w:color="000000"/>
              <w:start w:val="single" w:sz="4" w:space="0" w:color="000000"/>
              <w:bottom w:val="single" w:sz="4" w:space="0" w:color="000000"/>
              <w:end w:val="single" w:sz="4" w:space="0" w:color="000000"/>
            </w:tcBorders>
          </w:tcPr>
          <w:p>
            <w:pPr>
              <w:pStyle w:val="Normal"/>
              <w:spacing w:before="0" w:after="160"/>
              <w:rPr>
                <w:sz w:val="20"/>
                <w:szCs w:val="20"/>
                <w:highlight w:val="yellow"/>
                <w:lang w:val="en-AU" w:eastAsia="en-AU"/>
              </w:rPr>
            </w:pPr>
            <w:r>
              <w:rPr>
                <w:sz w:val="20"/>
                <w:szCs w:val="20"/>
                <w:highlight w:val="yellow"/>
                <w:lang w:val="en-AU" w:eastAsia="en-AU"/>
              </w:rPr>
            </w:r>
          </w:p>
        </w:tc>
      </w:tr>
    </w:tbl>
    <w:p>
      <w:pPr>
        <w:pStyle w:val="Normal"/>
        <w:rPr>
          <w:highlight w:val="yellow"/>
          <w:lang w:val="en-AU" w:eastAsia="en-AU"/>
        </w:rPr>
      </w:pPr>
      <w:r>
        <w:rPr>
          <w:highlight w:val="yellow"/>
          <w:lang w:val="en-AU" w:eastAsia="en-AU"/>
        </w:rPr>
        <w:t>{%p else %}</w:t>
      </w:r>
    </w:p>
    <w:p>
      <w:pPr>
        <w:pStyle w:val="Normal"/>
        <w:rPr>
          <w:highlight w:val="yellow"/>
          <w:lang w:val="en-AU" w:eastAsia="en-AU"/>
        </w:rPr>
      </w:pPr>
      <w:r>
        <w:rPr>
          <w:highlight w:val="yellow"/>
          <w:lang w:val="en-AU" w:eastAsia="en-AU"/>
        </w:rPr>
        <w:t>No additional controls have been prioritised at this time, based on current system context and assessed residual risk.</w:t>
      </w:r>
    </w:p>
    <w:p>
      <w:pPr>
        <w:pStyle w:val="Normal"/>
        <w:rPr>
          <w:lang w:val="en-AU" w:eastAsia="en-AU"/>
        </w:rPr>
      </w:pPr>
      <w:r>
        <w:rPr>
          <w:highlight w:val="yellow"/>
          <w:lang w:val="en-AU" w:eastAsia="en-AU"/>
        </w:rPr>
        <w:t>{%p endif %}</w:t>
      </w:r>
    </w:p>
    <w:p>
      <w:pPr>
        <w:pStyle w:val="Normal"/>
        <w:rPr>
          <w:b/>
          <w:bCs/>
          <w:lang w:eastAsia="en-AU"/>
        </w:rPr>
      </w:pPr>
      <w:r>
        <w:rPr>
          <w:b/>
          <w:bCs/>
          <w:lang w:eastAsia="en-AU"/>
        </w:rPr>
        <w:t>Domain Control Rationale</w:t>
      </w:r>
    </w:p>
    <w:p>
      <w:pPr>
        <w:pStyle w:val="Normal"/>
        <w:rPr>
          <w:lang w:val="en-AU" w:eastAsia="en-AU"/>
        </w:rPr>
      </w:pPr>
      <w:r>
        <w:rPr>
          <w:lang w:val="en-AU" w:eastAsia="en-AU"/>
        </w:rPr>
        <w:t>{{ai.f_domain_b8_controls_rationale}}</w:t>
      </w:r>
    </w:p>
    <w:p>
      <w:pPr>
        <w:pStyle w:val="Normal"/>
        <w:rPr>
          <w:lang w:val="en-AU" w:eastAsia="en-AU"/>
        </w:rPr>
      </w:pPr>
      <w:r>
        <w:rPr>
          <w:lang w:val="en-AU" w:eastAsia="en-AU"/>
        </w:rPr>
      </w:r>
    </w:p>
    <w:p>
      <w:pPr>
        <w:pStyle w:val="Heading02"/>
        <w:numPr>
          <w:ilvl w:val="1"/>
          <w:numId w:val="1"/>
        </w:numPr>
        <w:ind w:hanging="432" w:start="432"/>
        <w:rPr>
          <w:lang w:val="en-AU" w:eastAsia="en-AU"/>
        </w:rPr>
      </w:pPr>
      <w:bookmarkStart w:id="33" w:name="_Toc220351620"/>
      <w:r>
        <w:rPr>
          <w:lang w:val="en-AU" w:eastAsia="en-AU"/>
        </w:rPr>
        <w:t>C3 — Existing Controls and Gaps</w:t>
      </w:r>
      <w:bookmarkEnd w:id="33"/>
      <w:r>
        <w:rPr>
          <w:lang w:val="en-AU" w:eastAsia="en-AU"/>
        </w:rPr>
        <w:t xml:space="preserve"> </w:t>
      </w:r>
    </w:p>
    <w:p>
      <w:pPr>
        <w:pStyle w:val="Normal"/>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pPr>
        <w:pStyle w:val="Normal"/>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pPr>
        <w:pStyle w:val="Normal"/>
        <w:rPr>
          <w:lang w:eastAsia="en-AU"/>
        </w:rPr>
      </w:pPr>
      <w:r>
        <w:rPr>
          <w:lang w:eastAsia="en-AU"/>
        </w:rPr>
        <w:t>These next steps are intended to be considered alongside organisational priorities, risk appetite, and available resources.</w:t>
      </w:r>
    </w:p>
    <w:p>
      <w:pPr>
        <w:pStyle w:val="Normal"/>
        <w:rPr>
          <w:b/>
          <w:bCs/>
          <w:lang w:eastAsia="en-AU"/>
        </w:rPr>
      </w:pPr>
      <w:r>
        <w:rPr>
          <w:b/>
          <w:bCs/>
          <w:lang w:eastAsia="en-AU"/>
        </w:rPr>
        <w:t>Existing Controls and Identified Gaps (Summary)</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1226"/>
        <w:gridCol w:w="1957"/>
        <w:gridCol w:w="2099"/>
        <w:gridCol w:w="1200"/>
        <w:gridCol w:w="1200"/>
        <w:gridCol w:w="1344"/>
      </w:tblGrid>
      <w:tr>
        <w:trPr>
          <w:tblHeader w:val="true"/>
        </w:trPr>
        <w:tc>
          <w:tcPr>
            <w:tcW w:w="1226"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Domain</w:t>
            </w:r>
          </w:p>
        </w:tc>
        <w:tc>
          <w:tcPr>
            <w:tcW w:w="1957"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Existing Controls</w:t>
            </w:r>
          </w:p>
        </w:tc>
        <w:tc>
          <w:tcPr>
            <w:tcW w:w="209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Identified Gaps</w:t>
            </w:r>
          </w:p>
        </w:tc>
        <w:tc>
          <w:tcPr>
            <w:tcW w:w="12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Pr>
          <w:p>
            <w:pPr>
              <w:pStyle w:val="Normal"/>
              <w:spacing w:before="0" w:after="160"/>
              <w:rPr>
                <w:b/>
                <w:bCs/>
                <w:sz w:val="20"/>
                <w:szCs w:val="20"/>
                <w:lang w:val="en-AU" w:eastAsia="en-AU"/>
              </w:rPr>
            </w:pPr>
            <w:r>
              <w:rPr>
                <w:b/>
                <w:bCs/>
                <w:sz w:val="20"/>
                <w:szCs w:val="20"/>
                <w:lang w:val="en-AU" w:eastAsia="en-AU"/>
              </w:rPr>
              <w:t>Priority</w:t>
            </w:r>
          </w:p>
        </w:tc>
        <w:tc>
          <w:tcPr>
            <w:tcW w:w="1200"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Mar>
              <w:top w:w="15" w:type="dxa"/>
              <w:start w:w="15" w:type="dxa"/>
              <w:bottom w:w="15" w:type="dxa"/>
              <w:end w:w="15" w:type="dxa"/>
            </w:tcMar>
          </w:tcPr>
          <w:p>
            <w:pPr>
              <w:pStyle w:val="Normal"/>
              <w:spacing w:before="0" w:after="160"/>
              <w:rPr>
                <w:b/>
                <w:bCs/>
                <w:sz w:val="20"/>
                <w:szCs w:val="20"/>
                <w:lang w:val="en-AU" w:eastAsia="en-AU"/>
              </w:rPr>
            </w:pPr>
            <w:r>
              <w:rPr>
                <w:b/>
                <w:bCs/>
                <w:sz w:val="20"/>
                <w:szCs w:val="20"/>
                <w:lang w:val="en-AU" w:eastAsia="en-AU"/>
              </w:rPr>
              <w:t>Risk Score</w:t>
            </w:r>
          </w:p>
        </w:tc>
        <w:tc>
          <w:tcPr>
            <w:tcW w:w="134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tcMar>
              <w:top w:w="15" w:type="dxa"/>
              <w:start w:w="15" w:type="dxa"/>
              <w:bottom w:w="15" w:type="dxa"/>
              <w:end w:w="15" w:type="dxa"/>
            </w:tcMar>
          </w:tcPr>
          <w:p>
            <w:pPr>
              <w:pStyle w:val="Normal"/>
              <w:spacing w:before="0" w:after="160"/>
              <w:rPr>
                <w:b/>
                <w:bCs/>
                <w:sz w:val="20"/>
                <w:szCs w:val="20"/>
                <w:lang w:val="en-AU" w:eastAsia="en-AU"/>
              </w:rPr>
            </w:pPr>
            <w:r>
              <w:rPr>
                <w:b/>
                <w:bCs/>
                <w:sz w:val="20"/>
                <w:szCs w:val="20"/>
                <w:lang w:val="en-AU" w:eastAsia="en-AU"/>
              </w:rPr>
              <w:t>Control Effectiveness Score</w:t>
            </w:r>
          </w:p>
        </w:tc>
      </w:tr>
      <w:tr>
        <w:trPr/>
        <w:tc>
          <w:tcPr>
            <w:tcW w:w="12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{%tr for gap in gaps %}</w:t>
            </w:r>
          </w:p>
        </w:tc>
        <w:tc>
          <w:tcPr>
            <w:tcW w:w="195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20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1200"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spacing w:before="0" w:after="160"/>
              <w:rPr>
                <w:sz w:val="20"/>
                <w:szCs w:val="20"/>
                <w:lang w:val="en-AU" w:eastAsia="en-AU"/>
              </w:rPr>
            </w:pPr>
            <w:r>
              <w:rPr>
                <w:sz w:val="20"/>
                <w:szCs w:val="20"/>
                <w:lang w:val="en-AU" w:eastAsia="en-AU"/>
              </w:rPr>
            </w:r>
          </w:p>
        </w:tc>
        <w:tc>
          <w:tcPr>
            <w:tcW w:w="1344"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spacing w:before="0" w:after="160"/>
              <w:rPr>
                <w:sz w:val="20"/>
                <w:szCs w:val="20"/>
                <w:lang w:val="en-AU" w:eastAsia="en-AU"/>
              </w:rPr>
            </w:pPr>
            <w:r>
              <w:rPr>
                <w:sz w:val="20"/>
                <w:szCs w:val="20"/>
                <w:lang w:val="en-AU" w:eastAsia="en-AU"/>
              </w:rPr>
            </w:r>
          </w:p>
        </w:tc>
      </w:tr>
      <w:tr>
        <w:trPr/>
        <w:tc>
          <w:tcPr>
            <w:tcW w:w="12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{{gap.domain}}</w:t>
            </w:r>
          </w:p>
        </w:tc>
        <w:tc>
          <w:tcPr>
            <w:tcW w:w="195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{{gap.existing_controls}}</w:t>
            </w:r>
          </w:p>
        </w:tc>
        <w:tc>
          <w:tcPr>
            <w:tcW w:w="20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{{gap.gaps}}</w:t>
            </w:r>
          </w:p>
        </w:tc>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{{gap.priority}}</w:t>
            </w:r>
          </w:p>
        </w:tc>
        <w:tc>
          <w:tcPr>
            <w:tcW w:w="1200"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spacing w:before="0" w:after="160"/>
              <w:rPr>
                <w:sz w:val="20"/>
                <w:szCs w:val="20"/>
                <w:lang w:eastAsia="en-AU"/>
              </w:rPr>
            </w:pPr>
            <w:r>
              <w:rPr>
                <w:sz w:val="20"/>
                <w:szCs w:val="20"/>
                <w:lang w:eastAsia="en-AU"/>
              </w:rPr>
              <w:t>{{gap.risk_score}}</w:t>
            </w:r>
          </w:p>
        </w:tc>
        <w:tc>
          <w:tcPr>
            <w:tcW w:w="1344"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spacing w:before="0" w:after="160"/>
              <w:rPr>
                <w:sz w:val="20"/>
                <w:szCs w:val="20"/>
                <w:lang w:eastAsia="en-AU"/>
              </w:rPr>
            </w:pPr>
            <w:r>
              <w:rPr>
                <w:sz w:val="20"/>
                <w:szCs w:val="20"/>
                <w:lang w:eastAsia="en-AU"/>
              </w:rPr>
              <w:t>{{gap.control_effectiveness}}</w:t>
            </w:r>
          </w:p>
        </w:tc>
      </w:tr>
      <w:tr>
        <w:trPr/>
        <w:tc>
          <w:tcPr>
            <w:tcW w:w="12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eastAsia="en-AU"/>
              </w:rPr>
              <w:t>{%tr endfor %}</w:t>
            </w:r>
          </w:p>
        </w:tc>
        <w:tc>
          <w:tcPr>
            <w:tcW w:w="195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20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r>
          </w:p>
        </w:tc>
        <w:tc>
          <w:tcPr>
            <w:tcW w:w="1200"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spacing w:before="0" w:after="160"/>
              <w:rPr>
                <w:sz w:val="20"/>
                <w:szCs w:val="20"/>
                <w:lang w:val="en-AU" w:eastAsia="en-AU"/>
              </w:rPr>
            </w:pPr>
            <w:r>
              <w:rPr>
                <w:sz w:val="20"/>
                <w:szCs w:val="20"/>
                <w:lang w:val="en-AU" w:eastAsia="en-AU"/>
              </w:rPr>
            </w:r>
          </w:p>
        </w:tc>
        <w:tc>
          <w:tcPr>
            <w:tcW w:w="1344" w:type="dxa"/>
            <w:tcBorders>
              <w:top w:val="single" w:sz="4" w:space="0" w:color="000000"/>
              <w:start w:val="single" w:sz="4" w:space="0" w:color="000000"/>
              <w:bottom w:val="single" w:sz="4" w:space="0" w:color="000000"/>
              <w:end w:val="single" w:sz="4" w:space="0" w:color="000000"/>
            </w:tcBorders>
            <w:tcMar>
              <w:top w:w="15" w:type="dxa"/>
              <w:start w:w="15" w:type="dxa"/>
              <w:bottom w:w="15" w:type="dxa"/>
              <w:end w:w="15" w:type="dxa"/>
            </w:tcMar>
          </w:tcPr>
          <w:p>
            <w:pPr>
              <w:pStyle w:val="Normal"/>
              <w:keepNext w:val="true"/>
              <w:spacing w:before="0" w:after="160"/>
              <w:rPr>
                <w:sz w:val="20"/>
                <w:szCs w:val="20"/>
                <w:lang w:val="en-AU" w:eastAsia="en-AU"/>
              </w:rPr>
            </w:pPr>
            <w:r>
              <w:rPr>
                <w:sz w:val="20"/>
                <w:szCs w:val="20"/>
                <w:lang w:val="en-AU" w:eastAsia="en-AU"/>
              </w:rPr>
            </w:r>
          </w:p>
        </w:tc>
      </w:tr>
    </w:tbl>
    <w:p>
      <w:pPr>
        <w:pStyle w:val="Caption"/>
        <w:rPr>
          <w:lang w:val="en-AU" w:eastAsia="en-AU"/>
        </w:rPr>
      </w:pPr>
      <w:r>
        <w:rPr/>
        <w:t xml:space="preserve">Table </w:t>
      </w:r>
      <w:r>
        <w:rPr/>
        <w:fldChar w:fldCharType="begin"/>
      </w:r>
      <w:r>
        <w:rPr/>
        <w:instrText xml:space="preserve"> SEQ Table \* ARABIC </w:instrText>
      </w:r>
      <w:r>
        <w:rPr/>
        <w:fldChar w:fldCharType="separate"/>
      </w:r>
      <w:r>
        <w:rPr/>
        <w:t>15</w:t>
      </w:r>
      <w:r>
        <w:rPr/>
        <w:fldChar w:fldCharType="end"/>
      </w:r>
      <w:r>
        <w:rPr/>
        <w:t xml:space="preserve"> - Existing Controls and Identified Gaps</w:t>
      </w:r>
    </w:p>
    <w:p>
      <w:pPr>
        <w:pStyle w:val="Normal"/>
        <w:rPr>
          <w:lang w:val="en-AU" w:eastAsia="en-AU"/>
        </w:rPr>
      </w:pPr>
      <w:r>
        <w:rPr>
          <w:highlight w:val="yellow"/>
          <w:lang w:val="en-AU" w:eastAsia="en-AU"/>
        </w:rPr>
        <w:t>{{ai.f_gap_and_next_steps_summary}}</w:t>
      </w:r>
    </w:p>
    <w:p>
      <w:pPr>
        <w:pStyle w:val="Normal"/>
        <w:rPr>
          <w:lang w:val="en-AU" w:eastAsia="en-AU"/>
        </w:rPr>
      </w:pPr>
      <w:r>
        <w:rPr>
          <w:lang w:eastAsia="en-AU"/>
        </w:rPr>
        <w:t>Addressing identified gaps through proportionate and targeted controls can help reduce residual AI risk over time while supporting responsible and trusted use of AI systems.</w:t>
      </w:r>
    </w:p>
    <w:p>
      <w:pPr>
        <w:pStyle w:val="Heading01"/>
        <w:numPr>
          <w:ilvl w:val="0"/>
          <w:numId w:val="1"/>
        </w:numPr>
        <w:rPr>
          <w:lang w:val="en-AU" w:eastAsia="en-AU"/>
        </w:rPr>
      </w:pPr>
      <w:bookmarkStart w:id="34" w:name="_Toc220351621"/>
      <w:r>
        <w:rPr>
          <w:lang w:val="en-AU" w:eastAsia="en-AU"/>
        </w:rPr>
        <w:t>Governance and Assurance Posture</w:t>
      </w:r>
      <w:bookmarkEnd w:id="34"/>
    </w:p>
    <w:p>
      <w:pPr>
        <w:pStyle w:val="Normal"/>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pPr>
        <w:pStyle w:val="Normal"/>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pPr>
        <w:pStyle w:val="Normal"/>
        <w:rPr>
          <w:lang w:val="en-AU" w:eastAsia="en-AU"/>
        </w:rPr>
      </w:pPr>
      <w:r>
        <w:rPr>
          <w:highlight w:val="yellow"/>
          <w:lang w:val="en-AU" w:eastAsia="en-AU"/>
        </w:rPr>
        <w:t>{{ai.f_governance_assurance_posture}}</w:t>
      </w:r>
    </w:p>
    <w:p>
      <w:pPr>
        <w:pStyle w:val="Heading01"/>
        <w:numPr>
          <w:ilvl w:val="0"/>
          <w:numId w:val="1"/>
        </w:numPr>
        <w:rPr>
          <w:lang w:val="en-AU" w:eastAsia="en-AU"/>
        </w:rPr>
      </w:pPr>
      <w:bookmarkStart w:id="35" w:name="_Toc220351622"/>
      <w:r>
        <w:rPr>
          <w:lang w:val="en-AU" w:eastAsia="en-AU"/>
        </w:rPr>
        <w:t>Decision and Next Steps</w:t>
      </w:r>
      <w:bookmarkEnd w:id="35"/>
    </w:p>
    <w:p>
      <w:pPr>
        <w:pStyle w:val="Normal"/>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pPr>
        <w:pStyle w:val="Normal"/>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pPr>
        <w:pStyle w:val="Normal"/>
        <w:rPr>
          <w:lang w:eastAsia="en-AU"/>
        </w:rPr>
      </w:pPr>
      <w:r>
        <w:rPr>
          <w:lang w:eastAsia="en-AU"/>
        </w:rPr>
        <w:t>These considerations support a proportionate and defensible approach to AI risk management.</w:t>
      </w:r>
    </w:p>
    <w:p>
      <w:pPr>
        <w:pStyle w:val="Normal"/>
        <w:rPr>
          <w:lang w:val="en-AU" w:eastAsia="en-AU"/>
        </w:rPr>
      </w:pPr>
      <w:r>
        <w:rPr>
          <w:highlight w:val="yellow"/>
          <w:lang w:val="en-AU" w:eastAsia="en-AU"/>
        </w:rPr>
        <w:t>{{ai.f_decision_next_steps_summary}}</w:t>
      </w:r>
    </w:p>
    <w:p>
      <w:pPr>
        <w:pStyle w:val="Heading01"/>
        <w:numPr>
          <w:ilvl w:val="0"/>
          <w:numId w:val="1"/>
        </w:numPr>
        <w:rPr>
          <w:lang w:val="en-AU" w:eastAsia="en-AU"/>
        </w:rPr>
      </w:pPr>
      <w:bookmarkStart w:id="36" w:name="_Toc220351623"/>
      <w:r>
        <w:rPr>
          <w:lang w:val="en-AU" w:eastAsia="en-AU"/>
        </w:rPr>
        <w:t>Appendix A – Supporting Artefacts</w:t>
      </w:r>
      <w:bookmarkEnd w:id="36"/>
    </w:p>
    <w:p>
      <w:pPr>
        <w:pStyle w:val="Normal"/>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pPr>
        <w:pStyle w:val="Normal"/>
        <w:rPr>
          <w:b/>
          <w:bCs/>
          <w:lang w:eastAsia="en-AU"/>
        </w:rPr>
      </w:pPr>
      <w:r>
        <w:rPr>
          <w:b/>
          <w:bCs/>
          <w:lang w:eastAsia="en-AU"/>
        </w:rPr>
        <w:t>Artefact List</w:t>
      </w:r>
    </w:p>
    <w:tbl>
      <w:tblPr>
        <w:tblW w:w="5000" w:type="pct"/>
        <w:jc w:val="start"/>
        <w:tblInd w:w="0" w:type="dxa"/>
        <w:tblLayout w:type="fixed"/>
        <w:tblCellMar>
          <w:top w:w="43" w:type="dxa"/>
          <w:start w:w="43" w:type="dxa"/>
          <w:bottom w:w="43" w:type="dxa"/>
          <w:end w:w="43" w:type="dxa"/>
        </w:tblCellMar>
        <w:tblLook w:firstRow="1" w:noVBand="1" w:lastRow="0" w:firstColumn="1" w:lastColumn="0" w:noHBand="0" w:val="04a0"/>
      </w:tblPr>
      <w:tblGrid>
        <w:gridCol w:w="2423"/>
        <w:gridCol w:w="3169"/>
        <w:gridCol w:w="3434"/>
      </w:tblGrid>
      <w:tr>
        <w:trPr>
          <w:tblHeader w:val="true"/>
        </w:trPr>
        <w:tc>
          <w:tcPr>
            <w:tcW w:w="2423"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Artefact</w:t>
            </w:r>
          </w:p>
        </w:tc>
        <w:tc>
          <w:tcPr>
            <w:tcW w:w="3169"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Description</w:t>
            </w:r>
          </w:p>
        </w:tc>
        <w:tc>
          <w:tcPr>
            <w:tcW w:w="3434" w:type="dxa"/>
            <w:tcBorders>
              <w:top w:val="single" w:sz="4" w:space="0" w:color="000000"/>
              <w:start w:val="single" w:sz="4" w:space="0" w:color="000000"/>
              <w:bottom w:val="single" w:sz="4" w:space="0" w:color="000000"/>
              <w:end w:val="single" w:sz="4" w:space="0" w:color="000000"/>
            </w:tcBorders>
            <w:shd w:color="auto" w:fill="D9D9D9" w:themeFill="background1" w:themeFillShade="d9" w:val="clear"/>
            <w:vAlign w:val="center"/>
          </w:tcPr>
          <w:p>
            <w:pPr>
              <w:pStyle w:val="Normal"/>
              <w:spacing w:before="0" w:after="160"/>
              <w:rPr>
                <w:b/>
                <w:bCs/>
                <w:sz w:val="20"/>
                <w:szCs w:val="20"/>
                <w:lang w:val="en-AU" w:eastAsia="en-AU"/>
              </w:rPr>
            </w:pPr>
            <w:r>
              <w:rPr>
                <w:b/>
                <w:bCs/>
                <w:sz w:val="20"/>
                <w:szCs w:val="20"/>
                <w:lang w:val="en-AU" w:eastAsia="en-AU"/>
              </w:rPr>
              <w:t>Domain(s) Referenced</w:t>
            </w:r>
          </w:p>
        </w:tc>
      </w:tr>
      <w:tr>
        <w:trPr/>
        <w:tc>
          <w:tcPr>
            <w:tcW w:w="242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{{artefact.name}}</w:t>
            </w:r>
          </w:p>
        </w:tc>
        <w:tc>
          <w:tcPr>
            <w:tcW w:w="316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{{artefact.description}}</w:t>
            </w:r>
          </w:p>
        </w:tc>
        <w:tc>
          <w:tcPr>
            <w:tcW w:w="343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sz w:val="20"/>
                <w:szCs w:val="20"/>
                <w:lang w:val="en-AU" w:eastAsia="en-AU"/>
              </w:rPr>
            </w:pPr>
            <w:r>
              <w:rPr>
                <w:sz w:val="20"/>
                <w:szCs w:val="20"/>
                <w:lang w:val="en-AU" w:eastAsia="en-AU"/>
              </w:rPr>
              <w:t>{{artefact.domains}}</w:t>
            </w:r>
          </w:p>
        </w:tc>
      </w:tr>
    </w:tbl>
    <w:p>
      <w:pPr>
        <w:pStyle w:val="Normal"/>
        <w:rPr>
          <w:lang w:val="en-AU" w:eastAsia="en-AU"/>
        </w:rPr>
      </w:pPr>
      <w:r>
        <w:rPr>
          <w:lang w:val="en-AU" w:eastAsia="en-AU"/>
        </w:rPr>
      </w:r>
    </w:p>
    <w:p>
      <w:pPr>
        <w:pStyle w:val="Normal"/>
        <w:spacing w:lineRule="auto" w:line="240" w:before="0" w:after="0"/>
        <w:rPr>
          <w:rFonts w:cs="Arial"/>
        </w:rPr>
      </w:pPr>
      <w:r>
        <w:rPr>
          <w:rFonts w:cs="Arial"/>
          <w:highlight w:val="yellow"/>
        </w:rPr>
        <w:t>{{ai.f_supporting_artefacts_summary}}</w:t>
      </w:r>
      <w:r>
        <w:rPr>
          <w:rFonts w:cs="Arial"/>
        </w:rPr>
        <w:t xml:space="preserve"> </w:t>
      </w:r>
    </w:p>
    <w:p>
      <w:pPr>
        <w:pStyle w:val="Normal"/>
        <w:spacing w:lineRule="auto" w:line="240" w:before="0" w:after="0"/>
        <w:rPr>
          <w:rFonts w:cs="Arial"/>
        </w:rPr>
      </w:pPr>
      <w:r>
        <w:rPr>
          <w:rFonts w:cs="Arial"/>
        </w:rPr>
      </w:r>
    </w:p>
    <w:p>
      <w:pPr>
        <w:pStyle w:val="Normal"/>
        <w:spacing w:lineRule="auto" w:line="240" w:before="0" w:after="0"/>
        <w:rPr>
          <w:rFonts w:cs="Arial"/>
        </w:rPr>
      </w:pPr>
      <w:r>
        <w:rPr>
          <w:rFonts w:cs="Arial"/>
        </w:rPr>
      </w:r>
    </w:p>
    <w:p>
      <w:pPr>
        <w:pStyle w:val="Normal"/>
        <w:spacing w:lineRule="auto" w:line="240" w:before="0" w:after="0"/>
        <w:rPr>
          <w:rFonts w:cs="Arial"/>
          <w:color w:themeColor="background1" w:themeShade="80" w:val="808080"/>
          <w:sz w:val="18"/>
          <w:szCs w:val="18"/>
        </w:rPr>
      </w:pPr>
      <w:r>
        <w:rPr>
          <w:rFonts w:cs="Arial"/>
          <w:color w:themeColor="background1" w:themeShade="80" w:val="808080"/>
          <w:sz w:val="18"/>
          <w:szCs w:val="18"/>
        </w:rPr>
        <w:t>Document Control: FAIRA Risk Assessment Report | Template v1.0 | Generated via AM AI SAFE | {{generation_date}}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576" w:top="1440" w:footer="28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erdana">
    <w:charset w:val="00" w:characterSet="windows-1252"/>
    <w:family w:val="swiss"/>
    <w:pitch w:val="variable"/>
  </w:font>
  <w:font w:name="Aptos Display">
    <w:charset w:val="00" w:characterSet="windows-1252"/>
    <w:family w:val="swiss"/>
    <w:pitch w:val="variable"/>
  </w:font>
  <w:font w:name="Aptos">
    <w:charset w:val="00" w:characterSet="windows-1252"/>
    <w:family w:val="swiss"/>
    <w:pitch w:val="variable"/>
  </w:font>
  <w:font w:name="Consolas">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mc:AlternateContent>
        <mc:Choice Requires="wps">
          <w:drawing>
            <wp:anchor behindDoc="1" distT="0" distB="0" distL="0" distR="0" simplePos="0" locked="0" layoutInCell="1" allowOverlap="1" relativeHeight="317" wp14:anchorId="6F521E19">
              <wp:simplePos x="0" y="0"/>
              <wp:positionH relativeFrom="column">
                <wp:posOffset>-914400</wp:posOffset>
              </wp:positionH>
              <wp:positionV relativeFrom="paragraph">
                <wp:posOffset>-214630</wp:posOffset>
              </wp:positionV>
              <wp:extent cx="7616825" cy="18415"/>
              <wp:effectExtent l="0" t="0" r="0" b="0"/>
              <wp:wrapNone/>
              <wp:docPr id="14" name="Rectangle 4"/>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fillRef idx="0"/>
                      <a:effectRef idx="0"/>
                      <a:fontRef idx="minor"/>
                    </wps:style>
                    <wps:bodyPr/>
                  </wps:wsp>
                </a:graphicData>
              </a:graphic>
            </wp:anchor>
          </w:drawing>
        </mc:Choice>
        <mc:Fallback>
          <w:pict>
            <v:rect id="shape_0" fillcolor="#ea580c" stroked="f" o:allowincell="f" style="position:absolute;margin-left:-72pt;margin-top:-16.9pt;width:599.7pt;height:1.4pt;mso-wrap-style:none;v-text-anchor:middle" wp14:anchorId="6F521E19">
              <v:fill o:detectmouseclick="t" color2="white"/>
              <v:stroke color="#3465a4" joinstyle="round" endcap="flat"/>
              <w10:wrap type="none"/>
            </v:rect>
          </w:pict>
        </mc:Fallback>
      </mc:AlternateContent>
      <mc:AlternateContent>
        <mc:Choice Requires="wps">
          <w:drawing>
            <wp:anchor behindDoc="1" distT="0" distB="0" distL="0" distR="0" simplePos="0" locked="0" layoutInCell="1" allowOverlap="1" relativeHeight="404" wp14:anchorId="530D56F6">
              <wp:simplePos x="0" y="0"/>
              <wp:positionH relativeFrom="column">
                <wp:posOffset>-76200</wp:posOffset>
              </wp:positionH>
              <wp:positionV relativeFrom="paragraph">
                <wp:posOffset>-5080</wp:posOffset>
              </wp:positionV>
              <wp:extent cx="2362200" cy="400050"/>
              <wp:effectExtent l="0" t="0" r="0" b="0"/>
              <wp:wrapNone/>
              <wp:docPr id="15" name="Text Box 4"/>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fillRef idx="0"/>
                      <a:effectRef idx="0"/>
                      <a:fontRef idx="minor"/>
                    </wps:style>
                    <wps:txbx>
                      <w:txbxContent>
                        <w:sdt>
                          <w:sdtPr>
                            <w:docPartObj>
                              <w:docPartGallery w:val="Page Numbers (Bottom of Page)"/>
                              <w:docPartUnique w:val="true"/>
                            </w:docPartObj>
                            <w:id w:val="-1703089903"/>
                          </w:sdtPr>
                          <w:sdtContent>
                            <w:p>
                              <w:pPr>
                                <w:pStyle w:val="FrameContentsuser"/>
                                <w:spacing w:before="0" w:after="160"/>
                                <w:rPr>
                                  <w:color w:themeColor="background1" w:themeShade="a6" w:val="A6A6A6"/>
                                  <w:sz w:val="18"/>
                                  <w:szCs w:val="18"/>
                                </w:rPr>
                              </w:pPr>
                              <w:r>
                                <w:rPr>
                                  <w:color w:themeColor="background1" w:themeShade="a6" w:val="A6A6A6"/>
                                  <w:sz w:val="18"/>
                                  <w:szCs w:val="18"/>
                                </w:rPr>
                                <w:t>Assessment Date: {{assessment.date}}</w:t>
                              </w:r>
                            </w:p>
                          </w:sdtContent>
                        </w:sdt>
                      </w:txbxContent>
                    </wps:txbx>
                    <wps:bodyPr anchor="t">
                      <a:prstTxWarp prst="textNoShape"/>
                      <a:noAutofit/>
                    </wps:bodyPr>
                  </wps:wsp>
                </a:graphicData>
              </a:graphic>
            </wp:anchor>
          </w:drawing>
        </mc:Choice>
        <mc:Fallback>
          <w:pict>
            <v:rect id="shape_0" stroked="f" o:allowincell="f" style="position:absolute;margin-left:-6pt;margin-top:-0.4pt;width:185.95pt;height:31.45pt;mso-wrap-style:square;v-text-anchor:top" wp14:anchorId="530D56F6">
              <v:fill o:detectmouseclick="t" on="false"/>
              <v:stroke color="#3465a4" weight="6480" joinstyle="round" endcap="flat"/>
              <v:textbox>
                <w:txbxContent>
                  <w:sdt>
                    <w:sdtPr>
                      <w:docPartObj>
                        <w:docPartGallery w:val="Page Numbers (Bottom of Page)"/>
                        <w:docPartUnique w:val="true"/>
                      </w:docPartObj>
                      <w:id w:val="-1703089903"/>
                    </w:sdtPr>
                    <w:sdtContent>
                      <w:p>
                        <w:pPr>
                          <w:pStyle w:val="FrameContentsuser"/>
                          <w:spacing w:before="0" w:after="160"/>
                          <w:rPr>
                            <w:color w:themeColor="background1" w:themeShade="a6" w:val="A6A6A6"/>
                            <w:sz w:val="18"/>
                            <w:szCs w:val="18"/>
                          </w:rPr>
                        </w:pPr>
                        <w:r>
                          <w:rPr>
                            <w:color w:themeColor="background1" w:themeShade="a6" w:val="A6A6A6"/>
                            <w:sz w:val="18"/>
                            <w:szCs w:val="18"/>
                          </w:rPr>
                          <w:t>Assessment Date: {{assessment.date}}</w:t>
                        </w:r>
                      </w:p>
                    </w:sdtContent>
                  </w:sdt>
                </w:txbxContent>
              </v:textbox>
              <w10:wrap type="none"/>
            </v:rect>
          </w:pict>
        </mc:Fallback>
      </mc:AlternateContent>
      <mc:AlternateContent>
        <mc:Choice Requires="wps">
          <w:drawing>
            <wp:anchor behindDoc="1" distT="0" distB="0" distL="0" distR="0" simplePos="0" locked="0" layoutInCell="1" allowOverlap="1" relativeHeight="492" wp14:anchorId="14396FF5">
              <wp:simplePos x="0" y="0"/>
              <wp:positionH relativeFrom="column">
                <wp:posOffset>3429000</wp:posOffset>
              </wp:positionH>
              <wp:positionV relativeFrom="paragraph">
                <wp:posOffset>-5080</wp:posOffset>
              </wp:positionV>
              <wp:extent cx="2362200" cy="228600"/>
              <wp:effectExtent l="0" t="0" r="0" b="0"/>
              <wp:wrapNone/>
              <wp:docPr id="16" name="Text Box 4"/>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fillRef idx="0"/>
                      <a:effectRef idx="0"/>
                      <a:fontRef idx="minor"/>
                    </wps:style>
                    <wps:txbx>
                      <w:txbxContent>
                        <w:p>
                          <w:pPr>
                            <w:pStyle w:val="FrameContentsuser"/>
                            <w:spacing w:before="0" w:after="160"/>
                            <w:jc w:val="end"/>
                            <w:rPr>
                              <w:color w:themeColor="background1" w:themeShade="a6" w:val="A6A6A6"/>
                              <w:sz w:val="18"/>
                              <w:szCs w:val="18"/>
                            </w:rPr>
                          </w:pPr>
                          <w:r>
                            <w:rPr>
                              <w:color w:themeColor="background1" w:themeShade="a6" w:val="A6A6A6"/>
                              <w:sz w:val="18"/>
                              <w:szCs w:val="18"/>
                            </w:rPr>
                            <w:t>AM AI SAFE - FAIRA</w:t>
                          </w:r>
                        </w:p>
                      </w:txbxContent>
                    </wps:txbx>
                    <wps:bodyPr anchor="t">
                      <a:prstTxWarp prst="textNoShape"/>
                      <a:noAutofit/>
                    </wps:bodyPr>
                  </wps:wsp>
                </a:graphicData>
              </a:graphic>
            </wp:anchor>
          </w:drawing>
        </mc:Choice>
        <mc:Fallback>
          <w:pict>
            <v:rect id="shape_0" stroked="f" o:allowincell="f" style="position:absolute;margin-left:270pt;margin-top:-0.4pt;width:185.95pt;height:17.95pt;mso-wrap-style:square;v-text-anchor:top" wp14:anchorId="14396FF5">
              <v:fill o:detectmouseclick="t" on="false"/>
              <v:stroke color="#3465a4" weight="6480" joinstyle="round" endcap="flat"/>
              <v:textbox>
                <w:txbxContent>
                  <w:p>
                    <w:pPr>
                      <w:pStyle w:val="FrameContentsuser"/>
                      <w:spacing w:before="0" w:after="160"/>
                      <w:jc w:val="end"/>
                      <w:rPr>
                        <w:color w:themeColor="background1" w:themeShade="a6" w:val="A6A6A6"/>
                        <w:sz w:val="18"/>
                        <w:szCs w:val="18"/>
                      </w:rPr>
                    </w:pPr>
                    <w:r>
                      <w:rPr>
                        <w:color w:themeColor="background1" w:themeShade="a6" w:val="A6A6A6"/>
                        <w:sz w:val="18"/>
                        <w:szCs w:val="18"/>
                      </w:rPr>
                      <w:t>AM AI SAFE - FAIRA</w:t>
                    </w:r>
                  </w:p>
                </w:txbxContent>
              </v:textbox>
              <w10:wrap type="none"/>
            </v:rect>
          </w:pict>
        </mc:Fallback>
      </mc:AlternateContent>
      <w:fldChar w:fldCharType="begin"/>
    </w:r>
    <w:r>
      <w:rPr/>
      <w:instrText xml:space="preserve"> PAGE </w:instrText>
    </w:r>
    <w:r>
      <w:rPr/>
      <w:fldChar w:fldCharType="separate"/>
    </w:r>
    <w:r>
      <w:rPr/>
      <w:t>45</w:t>
    </w:r>
    <w:r>
      <w:rPr/>
      <w:fldChar w:fldCharType="end"/>
    </w:r>
  </w:p>
  <w:p>
    <w:pPr>
      <w:pStyle w:val="Footer"/>
      <w:tabs>
        <w:tab w:val="clear" w:pos="4513"/>
        <w:tab w:val="clear" w:pos="9026"/>
        <w:tab w:val="left" w:pos="1785" w:leader="none"/>
      </w:tabs>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mc:AlternateContent>
        <mc:Choice Requires="wps">
          <w:drawing>
            <wp:anchor behindDoc="1" distT="0" distB="0" distL="0" distR="0" simplePos="0" locked="0" layoutInCell="1" allowOverlap="1" relativeHeight="96" wp14:anchorId="7340AA7E">
              <wp:simplePos x="0" y="0"/>
              <wp:positionH relativeFrom="column">
                <wp:posOffset>-76200</wp:posOffset>
              </wp:positionH>
              <wp:positionV relativeFrom="paragraph">
                <wp:posOffset>148590</wp:posOffset>
              </wp:positionV>
              <wp:extent cx="6019800" cy="400050"/>
              <wp:effectExtent l="0" t="0" r="0" b="0"/>
              <wp:wrapNone/>
              <wp:docPr id="10" name="Text Box 4"/>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fillRef idx="0"/>
                      <a:effectRef idx="0"/>
                      <a:fontRef idx="minor"/>
                    </wps:style>
                    <wps:txbx>
                      <w:txbxContent>
                        <w:p>
                          <w:pPr>
                            <w:pStyle w:val="FrameContentsuser"/>
                            <w:spacing w:before="0" w:after="160"/>
                            <w:rPr>
                              <w:color w:themeColor="background1" w:themeShade="a6" w:val="A6A6A6"/>
                              <w:sz w:val="18"/>
                              <w:szCs w:val="18"/>
                            </w:rPr>
                          </w:pPr>
                          <w:r>
                            <w:rPr>
                              <w:color w:themeColor="background1" w:themeShade="a6" w:val="A6A6A6"/>
                              <w:sz w:val="18"/>
                              <w:szCs w:val="18"/>
                            </w:rPr>
                            <w:t>{{system_name}} — FAIRA Risk Assessment</w:t>
                          </w:r>
                        </w:p>
                      </w:txbxContent>
                    </wps:txbx>
                    <wps:bodyPr anchor="t">
                      <a:prstTxWarp prst="textNoShape"/>
                      <a:noAutofit/>
                    </wps:bodyPr>
                  </wps:wsp>
                </a:graphicData>
              </a:graphic>
            </wp:anchor>
          </w:drawing>
        </mc:Choice>
        <mc:Fallback>
          <w:pict>
            <v:rect id="shape_0" stroked="f" o:allowincell="f" style="position:absolute;margin-left:-6pt;margin-top:11.7pt;width:473.95pt;height:31.45pt;mso-wrap-style:square;v-text-anchor:top" wp14:anchorId="7340AA7E">
              <v:fill o:detectmouseclick="t" on="false"/>
              <v:stroke color="#3465a4" weight="6480" joinstyle="round" endcap="flat"/>
              <v:textbox>
                <w:txbxContent>
                  <w:p>
                    <w:pPr>
                      <w:pStyle w:val="FrameContentsuser"/>
                      <w:spacing w:before="0" w:after="160"/>
                      <w:rPr>
                        <w:color w:themeColor="background1" w:themeShade="a6" w:val="A6A6A6"/>
                        <w:sz w:val="18"/>
                        <w:szCs w:val="18"/>
                      </w:rPr>
                    </w:pPr>
                    <w:r>
                      <w:rPr>
                        <w:color w:themeColor="background1" w:themeShade="a6" w:val="A6A6A6"/>
                        <w:sz w:val="18"/>
                        <w:szCs w:val="18"/>
                      </w:rPr>
                      <w:t>{{system_name}} — FAIRA Risk Assessment</w:t>
                    </w:r>
                  </w:p>
                </w:txbxContent>
              </v:textbox>
              <w10:wrap type="none"/>
            </v:rect>
          </w:pict>
        </mc:Fallback>
      </mc:AlternateContent>
      <w:drawing>
        <wp:anchor behindDoc="1" distT="0" distB="0" distL="0" distR="0" simplePos="0" locked="0" layoutInCell="1" allowOverlap="1" relativeHeight="141">
          <wp:simplePos x="0" y="0"/>
          <wp:positionH relativeFrom="column">
            <wp:posOffset>-762000</wp:posOffset>
          </wp:positionH>
          <wp:positionV relativeFrom="paragraph">
            <wp:posOffset>-247650</wp:posOffset>
          </wp:positionV>
          <wp:extent cx="1752600" cy="401320"/>
          <wp:effectExtent l="0" t="0" r="0" b="0"/>
          <wp:wrapNone/>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mc:AlternateContent>
        <mc:Choice Requires="wps">
          <w:drawing>
            <wp:anchor behindDoc="1" distT="0" distB="0" distL="0" distR="0" simplePos="0" locked="0" layoutInCell="1" allowOverlap="1" relativeHeight="185" wp14:anchorId="752DB463">
              <wp:simplePos x="0" y="0"/>
              <wp:positionH relativeFrom="column">
                <wp:posOffset>-914400</wp:posOffset>
              </wp:positionH>
              <wp:positionV relativeFrom="paragraph">
                <wp:posOffset>412750</wp:posOffset>
              </wp:positionV>
              <wp:extent cx="7616825" cy="18415"/>
              <wp:effectExtent l="0" t="0" r="0" b="0"/>
              <wp:wrapNone/>
              <wp:docPr id="12" name="Rectangle 4"/>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fillRef idx="0"/>
                      <a:effectRef idx="0"/>
                      <a:fontRef idx="minor"/>
                    </wps:style>
                    <wps:bodyPr/>
                  </wps:wsp>
                </a:graphicData>
              </a:graphic>
            </wp:anchor>
          </w:drawing>
        </mc:Choice>
        <mc:Fallback>
          <w:pict>
            <v:rect id="shape_0" fillcolor="#ea580c" stroked="f" o:allowincell="f" style="position:absolute;margin-left:-72pt;margin-top:32.5pt;width:599.7pt;height:1.4pt;mso-wrap-style:none;v-text-anchor:middle" wp14:anchorId="752DB463">
              <v:fill o:detectmouseclick="t" color2="white"/>
              <v:stroke color="#3465a4" joinstyle="round" endcap="flat"/>
              <w10:wrap type="none"/>
            </v:rect>
          </w:pict>
        </mc:Fallback>
      </mc:AlternateContent>
      <mc:AlternateContent>
        <mc:Choice Requires="wps">
          <w:drawing>
            <wp:anchor behindDoc="1" distT="0" distB="0" distL="0" distR="0" simplePos="0" locked="0" layoutInCell="1" allowOverlap="1" relativeHeight="272" wp14:anchorId="1D113F88">
              <wp:simplePos x="0" y="0"/>
              <wp:positionH relativeFrom="column">
                <wp:posOffset>1371600</wp:posOffset>
              </wp:positionH>
              <wp:positionV relativeFrom="paragraph">
                <wp:posOffset>-251460</wp:posOffset>
              </wp:positionV>
              <wp:extent cx="4953000" cy="400685"/>
              <wp:effectExtent l="0" t="0" r="0" b="0"/>
              <wp:wrapNone/>
              <wp:docPr id="13" name="Text Box 6"/>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fillRef idx="0"/>
                      <a:effectRef idx="0"/>
                      <a:fontRef idx="minor"/>
                    </wps:style>
                    <wps:txbx>
                      <w:txbxContent>
                        <w:p>
                          <w:pPr>
                            <w:pStyle w:val="FrameContentsuser"/>
                            <w:spacing w:before="0" w:after="160"/>
                            <w:rPr>
                              <w:b/>
                              <w:bCs/>
                              <w:color w:val="EA580C"/>
                              <w:sz w:val="36"/>
                              <w:szCs w:val="36"/>
                            </w:rPr>
                          </w:pPr>
                          <w:r>
                            <w:rPr>
                              <w:b/>
                              <w:bCs/>
                              <w:color w:val="EA580C"/>
                              <w:sz w:val="36"/>
                              <w:szCs w:val="36"/>
                            </w:rPr>
                            <w:t>FAIRA Risk Assessment</w:t>
                          </w:r>
                        </w:p>
                      </w:txbxContent>
                    </wps:txbx>
                    <wps:bodyPr anchor="t">
                      <a:prstTxWarp prst="textNoShape"/>
                      <a:noAutofit/>
                    </wps:bodyPr>
                  </wps:wsp>
                </a:graphicData>
              </a:graphic>
            </wp:anchor>
          </w:drawing>
        </mc:Choice>
        <mc:Fallback>
          <w:pict>
            <v:rect id="shape_0" fillcolor="white" stroked="f" o:allowincell="f" style="position:absolute;margin-left:108pt;margin-top:-19.8pt;width:389.95pt;height:31.5pt;mso-wrap-style:square;v-text-anchor:top" wp14:anchorId="1D113F88">
              <v:fill o:detectmouseclick="t" type="solid" color2="black"/>
              <v:stroke color="#3465a4" weight="6480" joinstyle="round" endcap="flat"/>
              <v:textbox>
                <w:txbxContent>
                  <w:p>
                    <w:pPr>
                      <w:pStyle w:val="FrameContentsuser"/>
                      <w:spacing w:before="0" w:after="160"/>
                      <w:rPr>
                        <w:b/>
                        <w:bCs/>
                        <w:color w:val="EA580C"/>
                        <w:sz w:val="36"/>
                        <w:szCs w:val="36"/>
                      </w:rPr>
                    </w:pPr>
                    <w:r>
                      <w:rPr>
                        <w:b/>
                        <w:bCs/>
                        <w:color w:val="EA580C"/>
                        <w:sz w:val="36"/>
                        <w:szCs w:val="36"/>
                      </w:rPr>
                      <w:t>FAIRA Risk Assessment</w:t>
                    </w:r>
                  </w:p>
                </w:txbxContent>
              </v:textbox>
              <w10:wrap type="none"/>
            </v:rect>
          </w:pict>
        </mc:Fallback>
      </mc:AlternateContent>
    </w: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i w:val="false"/>
        <w:iCs w:val="false"/>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1080" w:hanging="360"/>
      </w:pPr>
      <w:rPr>
        <w:rFonts w:ascii="Arial" w:hAnsi="Arial" w:cs="Aria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ptos" w:cs="" w:cstheme="minorBidi" w:eastAsia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f378f"/>
    <w:pPr>
      <w:widowControl/>
      <w:suppressAutoHyphens w:val="true"/>
      <w:bidi w:val="0"/>
      <w:spacing w:lineRule="auto" w:line="259" w:before="0" w:after="160"/>
      <w:jc w:val="start"/>
    </w:pPr>
    <w:rPr>
      <w:rFonts w:ascii="Arial" w:hAnsi="Arial" w:eastAsia="Aptos" w:cs="" w:cstheme="minorBidi" w:eastAsiaTheme="minorHAnsi"/>
      <w:color w:val="auto"/>
      <w:kern w:val="2"/>
      <w:sz w:val="24"/>
      <w:szCs w:val="24"/>
      <w:lang w:val="en-US" w:eastAsia="en-US" w:bidi="ar-SA"/>
      <w14:ligatures w14:val="standardContextual"/>
    </w:rPr>
  </w:style>
  <w:style w:type="paragraph" w:styleId="Heading1">
    <w:name w:val="heading 1"/>
    <w:basedOn w:val="Normal"/>
    <w:next w:val="Normal"/>
    <w:link w:val="Heading1Char"/>
    <w:autoRedefine/>
    <w:qFormat/>
    <w:rsid w:val="000f4866"/>
    <w:pPr>
      <w:keepNext w:val="true"/>
      <w:spacing w:lineRule="auto" w:line="240" w:before="240" w:after="60"/>
      <w:outlineLvl w:val="0"/>
    </w:pPr>
    <w:rPr>
      <w:rFonts w:ascii="Verdana" w:hAnsi="Verdana" w:eastAsia="Times New Roman" w:cs="Times New Roman"/>
      <w:b/>
      <w:bCs/>
      <w:sz w:val="48"/>
      <w:szCs w:val="48"/>
    </w:rPr>
  </w:style>
  <w:style w:type="paragraph" w:styleId="Heading2">
    <w:name w:val="heading 2"/>
    <w:basedOn w:val="Normal"/>
    <w:next w:val="Normal"/>
    <w:link w:val="Heading2Char"/>
    <w:uiPriority w:val="9"/>
    <w:unhideWhenUsed/>
    <w:qFormat/>
    <w:rsid w:val="00e35fa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35fa3"/>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e35fa3"/>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e35fa3"/>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e35fa3"/>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e35fa3"/>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e35fa3"/>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e35fa3"/>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f4866"/>
    <w:rPr>
      <w:rFonts w:ascii="Verdana" w:hAnsi="Verdana" w:eastAsia="Times New Roman" w:cs="Times New Roman"/>
      <w:b/>
      <w:bCs/>
      <w:kern w:val="2"/>
      <w:sz w:val="48"/>
      <w:szCs w:val="48"/>
    </w:rPr>
  </w:style>
  <w:style w:type="character" w:styleId="TitleChar" w:customStyle="1">
    <w:name w:val="Title Char"/>
    <w:basedOn w:val="DefaultParagraphFont"/>
    <w:link w:val="Title"/>
    <w:uiPriority w:val="10"/>
    <w:qFormat/>
    <w:rsid w:val="000f4866"/>
    <w:rPr>
      <w:rFonts w:ascii="Verdana" w:hAnsi="Verdana" w:eastAsia="" w:cs="" w:cstheme="majorBidi" w:eastAsiaTheme="majorEastAsia"/>
      <w:spacing w:val="-10"/>
      <w:kern w:val="2"/>
      <w:sz w:val="56"/>
      <w:szCs w:val="56"/>
    </w:rPr>
  </w:style>
  <w:style w:type="character" w:styleId="Heading01Char" w:customStyle="1">
    <w:name w:val="Heading01 Char"/>
    <w:basedOn w:val="DefaultParagraphFont"/>
    <w:link w:val="Heading01"/>
    <w:qFormat/>
    <w:rsid w:val="00e06857"/>
    <w:rPr>
      <w:rFonts w:eastAsia="Times New Roman" w:cs="Times New Roman"/>
      <w:b/>
      <w:bCs/>
      <w:color w:val="EA580C"/>
      <w:kern w:val="2"/>
      <w:sz w:val="28"/>
      <w:szCs w:val="48"/>
    </w:rPr>
  </w:style>
  <w:style w:type="character" w:styleId="Heading02Char" w:customStyle="1">
    <w:name w:val="Heading02 Char"/>
    <w:basedOn w:val="DefaultParagraphFont"/>
    <w:link w:val="Heading02"/>
    <w:qFormat/>
    <w:rsid w:val="00a34d0f"/>
    <w:rPr>
      <w:b/>
      <w:color w:val="EA580C"/>
    </w:rPr>
  </w:style>
  <w:style w:type="character" w:styleId="Heading03Char" w:customStyle="1">
    <w:name w:val="Heading03 Char"/>
    <w:basedOn w:val="DefaultParagraphFont"/>
    <w:link w:val="Heading03"/>
    <w:qFormat/>
    <w:rsid w:val="00e10d99"/>
    <w:rPr>
      <w:i/>
      <w:iCs/>
    </w:rPr>
  </w:style>
  <w:style w:type="character" w:styleId="Heading04Char" w:customStyle="1">
    <w:name w:val="Heading04 Char"/>
    <w:basedOn w:val="DefaultParagraphFont"/>
    <w:link w:val="Heading04"/>
    <w:qFormat/>
    <w:rsid w:val="00e10d99"/>
    <w:rPr/>
  </w:style>
  <w:style w:type="character" w:styleId="Heading2Char" w:customStyle="1">
    <w:name w:val="Heading 2 Char"/>
    <w:basedOn w:val="DefaultParagraphFont"/>
    <w:link w:val="Heading2"/>
    <w:uiPriority w:val="9"/>
    <w:qFormat/>
    <w:rsid w:val="00e35fa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35fa3"/>
    <w:rPr>
      <w:rFonts w:ascii="Aptos" w:hAnsi="Aptos" w:eastAsia="" w:cs="" w:asciiTheme="minorHAnsi" w:cstheme="majorBidi" w:eastAsiaTheme="majorEastAsia" w:hAnsiTheme="minorHAnsi"/>
      <w:color w:themeColor="accent1" w:themeShade="bf" w:val="0F4761"/>
      <w:sz w:val="28"/>
      <w:szCs w:val="28"/>
    </w:rPr>
  </w:style>
  <w:style w:type="character" w:styleId="Heading4Char" w:customStyle="1">
    <w:name w:val="Heading 4 Char"/>
    <w:basedOn w:val="DefaultParagraphFont"/>
    <w:link w:val="Heading4"/>
    <w:uiPriority w:val="9"/>
    <w:semiHidden/>
    <w:qFormat/>
    <w:rsid w:val="00e35fa3"/>
    <w:rPr>
      <w:rFonts w:ascii="Aptos" w:hAnsi="Aptos" w:eastAsia="" w:cs="" w:asciiTheme="minorHAnsi" w:cstheme="majorBidi" w:eastAsiaTheme="majorEastAsia" w:hAnsiTheme="minorHAnsi"/>
      <w:i/>
      <w:iCs/>
      <w:color w:themeColor="accent1" w:themeShade="bf" w:val="0F4761"/>
    </w:rPr>
  </w:style>
  <w:style w:type="character" w:styleId="Heading5Char" w:customStyle="1">
    <w:name w:val="Heading 5 Char"/>
    <w:basedOn w:val="DefaultParagraphFont"/>
    <w:link w:val="Heading5"/>
    <w:uiPriority w:val="9"/>
    <w:semiHidden/>
    <w:qFormat/>
    <w:rsid w:val="00e35fa3"/>
    <w:rPr>
      <w:rFonts w:ascii="Aptos" w:hAnsi="Aptos" w:eastAsia="" w:cs="" w:asciiTheme="minorHAnsi" w:cstheme="majorBidi" w:eastAsiaTheme="majorEastAsia" w:hAnsiTheme="minorHAnsi"/>
      <w:color w:themeColor="accent1" w:themeShade="bf" w:val="0F4761"/>
    </w:rPr>
  </w:style>
  <w:style w:type="character" w:styleId="Heading6Char" w:customStyle="1">
    <w:name w:val="Heading 6 Char"/>
    <w:basedOn w:val="DefaultParagraphFont"/>
    <w:link w:val="Heading6"/>
    <w:uiPriority w:val="9"/>
    <w:semiHidden/>
    <w:qFormat/>
    <w:rsid w:val="00e35fa3"/>
    <w:rPr>
      <w:rFonts w:ascii="Aptos" w:hAnsi="Aptos" w:eastAsia="" w:cs="" w:asciiTheme="minorHAnsi" w:cstheme="majorBidi" w:eastAsiaTheme="majorEastAsia" w:hAnsiTheme="minorHAnsi"/>
      <w:i/>
      <w:iCs/>
      <w:color w:themeColor="text1" w:themeTint="a6" w:val="595959"/>
    </w:rPr>
  </w:style>
  <w:style w:type="character" w:styleId="Heading7Char" w:customStyle="1">
    <w:name w:val="Heading 7 Char"/>
    <w:basedOn w:val="DefaultParagraphFont"/>
    <w:link w:val="Heading7"/>
    <w:uiPriority w:val="9"/>
    <w:semiHidden/>
    <w:qFormat/>
    <w:rsid w:val="00e35fa3"/>
    <w:rPr>
      <w:rFonts w:ascii="Aptos" w:hAnsi="Aptos" w:eastAsia="" w:cs="" w:asciiTheme="minorHAnsi" w:cstheme="majorBidi" w:eastAsiaTheme="majorEastAsia" w:hAnsiTheme="minorHAnsi"/>
      <w:color w:themeColor="text1" w:themeTint="a6" w:val="595959"/>
    </w:rPr>
  </w:style>
  <w:style w:type="character" w:styleId="Heading8Char" w:customStyle="1">
    <w:name w:val="Heading 8 Char"/>
    <w:basedOn w:val="DefaultParagraphFont"/>
    <w:link w:val="Heading8"/>
    <w:uiPriority w:val="9"/>
    <w:semiHidden/>
    <w:qFormat/>
    <w:rsid w:val="00e35fa3"/>
    <w:rPr>
      <w:rFonts w:ascii="Aptos" w:hAnsi="Aptos" w:eastAsia="" w:cs="" w:asciiTheme="minorHAnsi" w:cstheme="majorBidi" w:eastAsiaTheme="majorEastAsia" w:hAnsiTheme="minorHAnsi"/>
      <w:i/>
      <w:iCs/>
      <w:color w:themeColor="text1" w:themeTint="d8" w:val="272727"/>
    </w:rPr>
  </w:style>
  <w:style w:type="character" w:styleId="Heading9Char" w:customStyle="1">
    <w:name w:val="Heading 9 Char"/>
    <w:basedOn w:val="DefaultParagraphFont"/>
    <w:link w:val="Heading9"/>
    <w:uiPriority w:val="9"/>
    <w:semiHidden/>
    <w:qFormat/>
    <w:rsid w:val="00e35fa3"/>
    <w:rPr>
      <w:rFonts w:ascii="Aptos" w:hAnsi="Aptos" w:eastAsia="" w:cs="" w:asciiTheme="minorHAnsi" w:cstheme="majorBidi" w:eastAsiaTheme="majorEastAsia" w:hAnsiTheme="minorHAnsi"/>
      <w:color w:themeColor="text1" w:themeTint="d8" w:val="272727"/>
    </w:rPr>
  </w:style>
  <w:style w:type="character" w:styleId="SubtitleChar" w:customStyle="1">
    <w:name w:val="Subtitle Char"/>
    <w:basedOn w:val="DefaultParagraphFont"/>
    <w:link w:val="Subtitle"/>
    <w:uiPriority w:val="11"/>
    <w:qFormat/>
    <w:rsid w:val="00e35fa3"/>
    <w:rPr>
      <w:rFonts w:ascii="Aptos" w:hAnsi="Aptos" w:eastAsia="" w:cs="" w:asciiTheme="minorHAnsi" w:cstheme="majorBidi" w:eastAsiaTheme="majorEastAsia" w:hAnsi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e35fa3"/>
    <w:rPr>
      <w:i/>
      <w:iCs/>
      <w:color w:themeColor="text1" w:themeTint="bf" w:val="404040"/>
    </w:rPr>
  </w:style>
  <w:style w:type="character" w:styleId="IntenseEmphasis">
    <w:name w:val="Intense Emphasis"/>
    <w:basedOn w:val="DefaultParagraphFont"/>
    <w:uiPriority w:val="21"/>
    <w:qFormat/>
    <w:rsid w:val="00e35fa3"/>
    <w:rPr>
      <w:i/>
      <w:iCs/>
      <w:color w:themeColor="accent1" w:themeShade="bf" w:val="0F4761"/>
    </w:rPr>
  </w:style>
  <w:style w:type="character" w:styleId="IntenseQuoteChar" w:customStyle="1">
    <w:name w:val="Intense Quote Char"/>
    <w:basedOn w:val="DefaultParagraphFont"/>
    <w:link w:val="IntenseQuote"/>
    <w:uiPriority w:val="30"/>
    <w:qFormat/>
    <w:rsid w:val="00e35fa3"/>
    <w:rPr>
      <w:i/>
      <w:iCs/>
      <w:color w:themeColor="accent1" w:themeShade="bf" w:val="0F4761"/>
    </w:rPr>
  </w:style>
  <w:style w:type="character" w:styleId="IntenseReference">
    <w:name w:val="Intense Reference"/>
    <w:basedOn w:val="DefaultParagraphFont"/>
    <w:uiPriority w:val="32"/>
    <w:qFormat/>
    <w:rsid w:val="00e35fa3"/>
    <w:rPr>
      <w:b/>
      <w:bCs/>
      <w:smallCaps/>
      <w:color w:themeColor="accent1" w:themeShade="bf" w:val="0F4761"/>
      <w:spacing w:val="5"/>
    </w:rPr>
  </w:style>
  <w:style w:type="character" w:styleId="Hyperlink">
    <w:name w:val="Hyperlink"/>
    <w:basedOn w:val="DefaultParagraphFont"/>
    <w:uiPriority w:val="99"/>
    <w:unhideWhenUsed/>
    <w:rsid w:val="00de1268"/>
    <w:rPr>
      <w:color w:themeColor="hyperlink" w:val="467886"/>
      <w:u w:val="single"/>
    </w:rPr>
  </w:style>
  <w:style w:type="character" w:styleId="UnresolvedMention">
    <w:name w:val="Unresolved Mention"/>
    <w:basedOn w:val="DefaultParagraphFont"/>
    <w:uiPriority w:val="99"/>
    <w:semiHidden/>
    <w:unhideWhenUsed/>
    <w:qFormat/>
    <w:rsid w:val="003908a3"/>
    <w:rPr>
      <w:color w:val="605E5C"/>
      <w:shd w:fill="E1DFDD" w:val="clear"/>
    </w:rPr>
  </w:style>
  <w:style w:type="character" w:styleId="HeaderChar" w:customStyle="1">
    <w:name w:val="Header Char"/>
    <w:basedOn w:val="DefaultParagraphFont"/>
    <w:link w:val="Header"/>
    <w:uiPriority w:val="99"/>
    <w:qFormat/>
    <w:rsid w:val="006d69cc"/>
    <w:rPr/>
  </w:style>
  <w:style w:type="character" w:styleId="FooterChar" w:customStyle="1">
    <w:name w:val="Footer Char"/>
    <w:basedOn w:val="DefaultParagraphFont"/>
    <w:link w:val="Footer"/>
    <w:uiPriority w:val="99"/>
    <w:qFormat/>
    <w:rsid w:val="006d69cc"/>
    <w:rPr/>
  </w:style>
  <w:style w:type="character" w:styleId="CommentReference">
    <w:name w:val="annotation reference"/>
    <w:basedOn w:val="DefaultParagraphFont"/>
    <w:uiPriority w:val="99"/>
    <w:semiHidden/>
    <w:unhideWhenUsed/>
    <w:qFormat/>
    <w:rsid w:val="00511f4d"/>
    <w:rPr>
      <w:sz w:val="16"/>
      <w:szCs w:val="16"/>
    </w:rPr>
  </w:style>
  <w:style w:type="character" w:styleId="CommentTextChar" w:customStyle="1">
    <w:name w:val="Comment Text Char"/>
    <w:basedOn w:val="DefaultParagraphFont"/>
    <w:link w:val="CommentText"/>
    <w:uiPriority w:val="99"/>
    <w:qFormat/>
    <w:rsid w:val="00511f4d"/>
    <w:rPr>
      <w:sz w:val="20"/>
      <w:szCs w:val="20"/>
    </w:rPr>
  </w:style>
  <w:style w:type="character" w:styleId="CommentSubjectChar" w:customStyle="1">
    <w:name w:val="Comment Subject Char"/>
    <w:basedOn w:val="CommentTextChar"/>
    <w:link w:val="annotation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styleId="VerbatimChar" w:customStyle="1">
    <w:name w:val="Verbatim Char"/>
    <w:basedOn w:val="DefaultParagraphFont"/>
    <w:link w:val="SourceCode"/>
    <w:qFormat/>
    <w:rsid w:val="00de7687"/>
    <w:rPr>
      <w:rFonts w:ascii="Consolas" w:hAnsi="Consolas"/>
      <w:sz w:val="22"/>
    </w:rPr>
  </w:style>
  <w:style w:type="character" w:styleId="font-medium" w:customStyle="1">
    <w:name w:val="font-medium"/>
    <w:basedOn w:val="DefaultParagraphFont"/>
    <w:qFormat/>
    <w:rsid w:val="00970179"/>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6178c9"/>
    <w:pPr>
      <w:spacing w:lineRule="auto" w:line="240" w:before="0" w:after="200"/>
    </w:pPr>
    <w:rPr>
      <w:i/>
      <w:iCs/>
      <w:color w:themeColor="text2" w:val="0E2841"/>
      <w:sz w:val="18"/>
      <w:szCs w:val="18"/>
    </w:rPr>
  </w:style>
  <w:style w:type="paragraph" w:styleId="Index" w:customStyle="1">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lineRule="auto" w:line="240" w:before="0" w:after="0"/>
      <w:contextualSpacing/>
    </w:pPr>
    <w:rPr>
      <w:rFonts w:ascii="Verdana" w:hAnsi="Verdana" w:eastAsia="" w:cs="" w:cstheme="majorBidi" w:eastAsiaTheme="majorEastAsia"/>
      <w:spacing w:val="-10"/>
      <w:sz w:val="56"/>
      <w:szCs w:val="56"/>
    </w:rPr>
  </w:style>
  <w:style w:type="paragraph" w:styleId="Heading01" w:customStyle="1">
    <w:name w:val="Heading01"/>
    <w:basedOn w:val="Heading1"/>
    <w:link w:val="Heading01Char"/>
    <w:qFormat/>
    <w:rsid w:val="00e06857"/>
    <w:pPr>
      <w:numPr>
        <w:ilvl w:val="0"/>
        <w:numId w:val="1"/>
      </w:numPr>
    </w:pPr>
    <w:rPr>
      <w:rFonts w:ascii="Arial" w:hAnsi="Arial"/>
      <w:color w:val="EA580C"/>
      <w:sz w:val="28"/>
    </w:rPr>
  </w:style>
  <w:style w:type="paragraph" w:styleId="ListParagraph">
    <w:name w:val="List Paragraph"/>
    <w:basedOn w:val="Normal"/>
    <w:uiPriority w:val="34"/>
    <w:qFormat/>
    <w:rsid w:val="00e10d99"/>
    <w:pPr>
      <w:spacing w:before="0" w:after="160"/>
      <w:ind w:start="720"/>
      <w:contextualSpacing/>
    </w:pPr>
    <w:rPr/>
  </w:style>
  <w:style w:type="paragraph" w:styleId="Heading02" w:customStyle="1">
    <w:name w:val="Heading02"/>
    <w:basedOn w:val="ListParagraph"/>
    <w:next w:val="Heading2"/>
    <w:link w:val="Heading02Char"/>
    <w:qFormat/>
    <w:rsid w:val="00a34d0f"/>
    <w:pPr>
      <w:numPr>
        <w:ilvl w:val="1"/>
        <w:numId w:val="1"/>
      </w:numPr>
      <w:spacing w:before="120" w:after="120"/>
      <w:ind w:start="432"/>
      <w:contextualSpacing/>
    </w:pPr>
    <w:rPr>
      <w:b/>
      <w:color w:val="EA580C"/>
    </w:rPr>
  </w:style>
  <w:style w:type="paragraph" w:styleId="Heading03" w:customStyle="1">
    <w:name w:val="Heading03"/>
    <w:basedOn w:val="ListParagraph"/>
    <w:link w:val="Heading03Char"/>
    <w:qFormat/>
    <w:rsid w:val="00e10d99"/>
    <w:pPr>
      <w:numPr>
        <w:ilvl w:val="2"/>
        <w:numId w:val="1"/>
      </w:numPr>
    </w:pPr>
    <w:rPr>
      <w:i/>
      <w:iCs/>
    </w:rPr>
  </w:style>
  <w:style w:type="paragraph" w:styleId="Heading04" w:customStyle="1">
    <w:name w:val="Heading04"/>
    <w:basedOn w:val="ListParagraph"/>
    <w:link w:val="Heading04Char"/>
    <w:qFormat/>
    <w:rsid w:val="00e10d99"/>
    <w:pPr>
      <w:numPr>
        <w:ilvl w:val="3"/>
        <w:numId w:val="1"/>
      </w:numPr>
      <w:spacing w:lineRule="auto" w:line="276" w:before="0" w:after="0"/>
      <w:contextualSpacing/>
    </w:pPr>
    <w:rPr/>
  </w:style>
  <w:style w:type="paragraph" w:styleId="Subtitle">
    <w:name w:val="Subtitle"/>
    <w:basedOn w:val="Normal"/>
    <w:next w:val="Normal"/>
    <w:link w:val="SubtitleChar"/>
    <w:uiPriority w:val="11"/>
    <w:qFormat/>
    <w:rsid w:val="00e35fa3"/>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e35fa3"/>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de1268"/>
    <w:pPr>
      <w:keepLines/>
      <w:spacing w:lineRule="auto" w:line="259" w:before="240" w:after="0"/>
      <w:outlineLvl w:val="9"/>
    </w:pPr>
    <w:rPr>
      <w:rFonts w:ascii="Aptos Display" w:hAnsi="Aptos Display" w:eastAsia="" w:cs="" w:asciiTheme="majorHAnsi" w:cstheme="majorBidi" w:eastAsiaTheme="majorEastAsia" w:hAnsiTheme="majorHAnsi"/>
      <w:b w:val="false"/>
      <w:bCs w:val="false"/>
      <w:color w:themeColor="accent1" w:themeShade="bf" w:val="0F4761"/>
      <w:kern w:val="0"/>
      <w:sz w:val="32"/>
      <w:szCs w:val="32"/>
      <w14:ligatures w14:val="none"/>
    </w:rPr>
  </w:style>
  <w:style w:type="paragraph" w:styleId="TOC3">
    <w:name w:val="toc 3"/>
    <w:basedOn w:val="Normal"/>
    <w:next w:val="Normal"/>
    <w:autoRedefine/>
    <w:uiPriority w:val="39"/>
    <w:unhideWhenUsed/>
    <w:rsid w:val="00de1268"/>
    <w:pPr>
      <w:spacing w:before="0" w:after="100"/>
      <w:ind w:start="480"/>
    </w:pPr>
    <w:rPr/>
  </w:style>
  <w:style w:type="paragraph" w:styleId="TOC2">
    <w:name w:val="toc 2"/>
    <w:basedOn w:val="Normal"/>
    <w:next w:val="Normal"/>
    <w:autoRedefine/>
    <w:uiPriority w:val="39"/>
    <w:unhideWhenUsed/>
    <w:rsid w:val="00de1268"/>
    <w:pPr>
      <w:spacing w:before="0" w:after="100"/>
      <w:ind w:start="220"/>
    </w:pPr>
    <w:rPr>
      <w:rFonts w:ascii="Aptos" w:hAnsi="Aptos" w:eastAsia="" w:cs="Times New Roman"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de1268"/>
    <w:pPr>
      <w:spacing w:before="0" w:after="100"/>
    </w:pPr>
    <w:rPr>
      <w:rFonts w:ascii="Aptos" w:hAnsi="Aptos" w:eastAsia="" w:cs="Times New Roman" w:asciiTheme="minorHAnsi" w:eastAsiaTheme="minorEastAsia" w:hAnsiTheme="minorHAnsi"/>
      <w:kern w:val="0"/>
      <w:sz w:val="22"/>
      <w:szCs w:val="22"/>
      <w14:ligatures w14:val="none"/>
    </w:rPr>
  </w:style>
  <w:style w:type="paragraph" w:styleId="TableofFigures">
    <w:name w:val="table of figures"/>
    <w:basedOn w:val="Normal"/>
    <w:next w:val="Normal"/>
    <w:uiPriority w:val="99"/>
    <w:unhideWhenUsed/>
    <w:rsid w:val="00d042bb"/>
    <w:pPr>
      <w:spacing w:before="0" w:after="0"/>
    </w:pPr>
    <w:rPr/>
  </w:style>
  <w:style w:type="paragraph" w:styleId="TOC4">
    <w:name w:val="toc 4"/>
    <w:basedOn w:val="Normal"/>
    <w:next w:val="Normal"/>
    <w:autoRedefine/>
    <w:uiPriority w:val="39"/>
    <w:unhideWhenUsed/>
    <w:rsid w:val="003908a3"/>
    <w:pPr>
      <w:spacing w:before="0" w:after="100"/>
      <w:ind w:start="720"/>
    </w:pPr>
    <w:rPr/>
  </w:style>
  <w:style w:type="paragraph" w:styleId="TOC5">
    <w:name w:val="toc 5"/>
    <w:basedOn w:val="Normal"/>
    <w:next w:val="Normal"/>
    <w:autoRedefine/>
    <w:uiPriority w:val="39"/>
    <w:unhideWhenUsed/>
    <w:rsid w:val="003908a3"/>
    <w:pPr>
      <w:spacing w:lineRule="auto" w:line="278" w:before="0" w:after="100"/>
      <w:ind w:start="960"/>
    </w:pPr>
    <w:rPr>
      <w:rFonts w:ascii="Aptos" w:hAnsi="Aptos" w:eastAsia=""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lineRule="auto" w:line="278" w:before="0" w:after="100"/>
      <w:ind w:start="1200"/>
    </w:pPr>
    <w:rPr>
      <w:rFonts w:ascii="Aptos" w:hAnsi="Aptos" w:eastAsia=""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lineRule="auto" w:line="278" w:before="0" w:after="100"/>
      <w:ind w:start="1440"/>
    </w:pPr>
    <w:rPr>
      <w:rFonts w:ascii="Aptos" w:hAnsi="Aptos" w:eastAsia=""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lineRule="auto" w:line="278" w:before="0" w:after="100"/>
      <w:ind w:start="1680"/>
    </w:pPr>
    <w:rPr>
      <w:rFonts w:ascii="Aptos" w:hAnsi="Aptos" w:eastAsia=""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lineRule="auto" w:line="278" w:before="0" w:after="100"/>
      <w:ind w:start="1920"/>
    </w:pPr>
    <w:rPr>
      <w:rFonts w:ascii="Aptos" w:hAnsi="Aptos" w:eastAsia="" w:asciiTheme="minorHAnsi" w:eastAsiaTheme="minorEastAsia" w:hAnsiTheme="minorHAnsi"/>
      <w:lang w:val="en-AU" w:eastAsia="en-AU"/>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6d69c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6d69cc"/>
    <w:pPr>
      <w:tabs>
        <w:tab w:val="clear" w:pos="720"/>
        <w:tab w:val="center" w:pos="4513" w:leader="none"/>
        <w:tab w:val="right" w:pos="9026" w:leader="none"/>
      </w:tabs>
      <w:spacing w:lineRule="auto" w:line="240" w:before="0" w:after="0"/>
    </w:pPr>
    <w:rPr/>
  </w:style>
  <w:style w:type="paragraph" w:styleId="CommentText">
    <w:name w:val="annotation text"/>
    <w:basedOn w:val="Normal"/>
    <w:link w:val="CommentTextChar"/>
    <w:uiPriority w:val="99"/>
    <w:unhideWhenUsed/>
    <w:rsid w:val="00511f4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511f4d"/>
    <w:pPr/>
    <w:rPr>
      <w:b/>
      <w:bCs/>
    </w:rPr>
  </w:style>
  <w:style w:type="paragraph" w:styleId="NormalWeb">
    <w:name w:val="Normal (Web)"/>
    <w:basedOn w:val="Normal"/>
    <w:uiPriority w:val="99"/>
    <w:semiHidden/>
    <w:unhideWhenUsed/>
    <w:qFormat/>
    <w:rsid w:val="003d706a"/>
    <w:pPr>
      <w:spacing w:lineRule="auto" w:line="240" w:beforeAutospacing="1" w:afterAutospacing="1"/>
    </w:pPr>
    <w:rPr>
      <w:rFonts w:ascii="Times New Roman" w:hAnsi="Times New Roman" w:eastAsia="Times New Roman" w:cs="Times New Roman"/>
      <w:kern w:val="0"/>
      <w:lang w:val="en-AU" w:eastAsia="en-AU"/>
      <w14:ligatures w14:val="none"/>
    </w:rPr>
  </w:style>
  <w:style w:type="paragraph" w:styleId="SourceCode" w:customStyle="1">
    <w:name w:val="Source Code"/>
    <w:basedOn w:val="Normal"/>
    <w:link w:val="VerbatimChar"/>
    <w:qFormat/>
    <w:rsid w:val="00de7687"/>
    <w:pPr>
      <w:spacing w:lineRule="auto" w:line="240" w:before="0" w:after="200"/>
    </w:pPr>
    <w:rPr>
      <w:rFonts w:ascii="Consolas" w:hAnsi="Consolas"/>
      <w:sz w:val="22"/>
    </w:rPr>
  </w:style>
  <w:style w:type="paragraph" w:styleId="FrameContentsuser" w:customStyle="1">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b151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Application>LibreOffice/25.8.4.2$Windows_X86_64 LibreOffice_project/290daaa01b999472f0c7a3890eb6a550fd74c6df</Application>
  <AppVersion>15.0000</AppVersion>
  <Pages>45</Pages>
  <Words>12427</Words>
  <Characters>85503</Characters>
  <CharactersWithSpaces>96765</CharactersWithSpaces>
  <Paragraphs>1165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2026-02-01T11:50:00Z</dcterms:created>
  <dc:creator>Andrew Egoroff</dc:creator>
  <dc:description/>
  <dc:language>en-US</dc:language>
  <cp:lastModifiedBy>Andrew Egoroff</cp:lastModifiedBy>
  <cp:lastPrinted>2025-01-17T07:38:00Z</cp:lastPrinted>
  <dcterms:modified xsi:type="dcterms:W3CDTF">2026-02-01T20:53:00Z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