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M AI SAFE Framework Assessment for {{org.name}}</w:t>
      </w:r>
    </w:p>
    <w:p>
      <w:pPr>
        <w:jc w:val="center"/>
      </w:pPr>
      <w:r>
        <w:t>{{formatDate(assessment.date)}}</w:t>
      </w:r>
    </w:p>
    <w:p>
      <w:r>
        <w:t>Automated Version</w:t>
      </w:r>
    </w:p>
    <w:p>
      <w:r>
        <w:br w:type="page"/>
      </w:r>
    </w:p>
    <w:p>
      <w:pPr>
        <w:pStyle w:val="Heading1"/>
      </w:pPr>
      <w:r>
        <w:t>Table of Contents</w:t>
      </w:r>
    </w:p>
    <w:p>
      <w:r>
        <w:t>1. Executive Summary</w:t>
      </w:r>
      <w:r>
        <w:t>..............................</w:t>
      </w:r>
      <w:r>
        <w:t>3</w:t>
      </w:r>
    </w:p>
    <w:p>
      <w:r>
        <w:t>2. Assessment Results</w:t>
      </w:r>
      <w:r>
        <w:t>.............................</w:t>
      </w:r>
      <w:r>
        <w:t>4</w:t>
      </w:r>
    </w:p>
    <w:p>
      <w:r>
        <w:t xml:space="preserve">   Figure 1. {{org.name}} AI Maturity Heatmap</w:t>
      </w:r>
      <w:r>
        <w:t>.....</w:t>
      </w:r>
      <w:r>
        <w:t>4</w:t>
      </w:r>
    </w:p>
    <w:p>
      <w:r>
        <w:t>3. Recommendations</w:t>
      </w:r>
      <w:r>
        <w:t>................................</w:t>
      </w:r>
      <w:r>
        <w:t>5</w:t>
      </w:r>
    </w:p>
    <w:p>
      <w:r>
        <w:t xml:space="preserve">   3.1. High Priority Recommendations</w:t>
      </w:r>
      <w:r>
        <w:t>.............</w:t>
      </w:r>
      <w:r>
        <w:t>5</w:t>
      </w:r>
    </w:p>
    <w:p>
      <w:r>
        <w:t xml:space="preserve">       Table 1. High Priority Recommendations</w:t>
      </w:r>
      <w:r>
        <w:t>.....</w:t>
      </w:r>
      <w:r>
        <w:t>5</w:t>
      </w:r>
    </w:p>
    <w:p>
      <w:r>
        <w:t xml:space="preserve">   3.2. Medium Priority Recommendations</w:t>
      </w:r>
      <w:r>
        <w:t>...........</w:t>
      </w:r>
      <w:r>
        <w:t>6</w:t>
      </w:r>
    </w:p>
    <w:p>
      <w:r>
        <w:t xml:space="preserve">       Table 2. Medium Priority Recommendations</w:t>
      </w:r>
      <w:r>
        <w:t>...</w:t>
      </w:r>
      <w:r>
        <w:t>6</w:t>
      </w:r>
    </w:p>
    <w:p>
      <w:r>
        <w:t xml:space="preserve">   3.3. Low Priority Recommendations</w:t>
      </w:r>
      <w:r>
        <w:t>..............</w:t>
      </w:r>
      <w:r>
        <w:t>6</w:t>
      </w:r>
    </w:p>
    <w:p>
      <w:r>
        <w:t xml:space="preserve">       Table 3. Low Priority Recommendations</w:t>
      </w:r>
      <w:r>
        <w:t>......</w:t>
      </w:r>
      <w:r>
        <w:t>6</w:t>
      </w:r>
    </w:p>
    <w:p>
      <w:r>
        <w:br w:type="page"/>
      </w:r>
    </w:p>
    <w:p>
      <w:pPr>
        <w:pStyle w:val="Heading1"/>
      </w:pPr>
      <w:r>
        <w:t>1. Executive Summary</w:t>
      </w:r>
    </w:p>
    <w:p>
      <w:r>
        <w:t xml:space="preserve">This document presents the results of the </w:t>
      </w:r>
      <w:r>
        <w:rPr>
          <w:b/>
        </w:rPr>
        <w:t>A M AI SAFE framework</w:t>
      </w:r>
      <w:r>
        <w:t xml:space="preserve"> assessment conducted for </w:t>
      </w:r>
      <w:r>
        <w:rPr>
          <w:b/>
        </w:rPr>
        <w:t>{{org.name}}</w:t>
      </w:r>
      <w:r>
        <w:t xml:space="preserve">. The assessment evaluates AI maturity across </w:t>
      </w:r>
      <w:r>
        <w:rPr>
          <w:b/>
        </w:rPr>
        <w:t>11 domains</w:t>
      </w:r>
      <w:r>
        <w:t xml:space="preserve"> covering </w:t>
      </w:r>
      <w:r>
        <w:rPr>
          <w:b/>
        </w:rPr>
        <w:t>88 questions</w:t>
      </w:r>
      <w:r>
        <w:t xml:space="preserve">, with responses scored on a scale from </w:t>
      </w:r>
      <w:r>
        <w:rPr>
          <w:b/>
        </w:rPr>
        <w:t>0 (lowest) to 3 (highest)</w:t>
      </w:r>
      <w:r>
        <w:t>.</w:t>
      </w:r>
    </w:p>
    <w:p>
      <w:r>
        <w:t xml:space="preserve">Based on this assessment, </w:t>
      </w:r>
      <w:r>
        <w:rPr>
          <w:b/>
        </w:rPr>
        <w:t>{{org.name}}</w:t>
      </w:r>
      <w:r>
        <w:t xml:space="preserve"> has achieved an overall AI maturity score of </w:t>
      </w:r>
      <w:r>
        <w:rPr>
          <w:b/>
        </w:rPr>
        <w:t>{{overall.score}}%</w:t>
      </w:r>
      <w:r>
        <w:t xml:space="preserve">, placing the organization within the </w:t>
      </w:r>
      <w:r>
        <w:rPr>
          <w:b/>
        </w:rPr>
        <w:t>{{overall.tier}}</w:t>
      </w:r>
      <w:r>
        <w:t xml:space="preserve"> AI Maturity category.</w:t>
      </w:r>
    </w:p>
    <w:p>
      <w:r>
        <w:t xml:space="preserve">The assessment framework encompasses the following 11 domains: </w:t>
      </w:r>
      <w:r>
        <w:rPr>
          <w:b/>
        </w:rPr>
        <w:t>Fairness</w:t>
      </w:r>
      <w:r>
        <w:t xml:space="preserve">, </w:t>
      </w:r>
      <w:r>
        <w:rPr>
          <w:b/>
        </w:rPr>
        <w:t>Transparency</w:t>
      </w:r>
      <w:r>
        <w:t xml:space="preserve">, </w:t>
      </w:r>
      <w:r>
        <w:rPr>
          <w:b/>
        </w:rPr>
        <w:t>Explainability</w:t>
      </w:r>
      <w:r>
        <w:t xml:space="preserve">, </w:t>
      </w:r>
      <w:r>
        <w:rPr>
          <w:b/>
        </w:rPr>
        <w:t>Accountability</w:t>
      </w:r>
      <w:r>
        <w:t xml:space="preserve">, </w:t>
      </w:r>
      <w:r>
        <w:rPr>
          <w:b/>
        </w:rPr>
        <w:t>Data Integrity</w:t>
      </w:r>
      <w:r>
        <w:t xml:space="preserve">, </w:t>
      </w:r>
      <w:r>
        <w:rPr>
          <w:b/>
        </w:rPr>
        <w:t>Reliability</w:t>
      </w:r>
      <w:r>
        <w:t xml:space="preserve">, </w:t>
      </w:r>
      <w:r>
        <w:rPr>
          <w:b/>
        </w:rPr>
        <w:t>Security</w:t>
      </w:r>
      <w:r>
        <w:t xml:space="preserve">, </w:t>
      </w:r>
      <w:r>
        <w:rPr>
          <w:b/>
        </w:rPr>
        <w:t>Privacy</w:t>
      </w:r>
      <w:r>
        <w:t xml:space="preserve">, </w:t>
      </w:r>
      <w:r>
        <w:rPr>
          <w:b/>
        </w:rPr>
        <w:t>Safety</w:t>
      </w:r>
      <w:r>
        <w:t xml:space="preserve">, </w:t>
      </w:r>
      <w:r>
        <w:rPr>
          <w:b/>
        </w:rPr>
        <w:t>Inclusivity</w:t>
      </w:r>
      <w:r>
        <w:t xml:space="preserve">, and </w:t>
      </w:r>
      <w:r>
        <w:rPr>
          <w:b/>
        </w:rPr>
        <w:t>Sustainability</w:t>
      </w:r>
      <w:r>
        <w:t>.</w:t>
      </w:r>
    </w:p>
    <w:p>
      <w:r>
        <w:br w:type="page"/>
      </w:r>
    </w:p>
    <w:p>
      <w:pPr>
        <w:pStyle w:val="Heading1"/>
      </w:pPr>
      <w:r>
        <w:t>2. Assessment Results</w:t>
      </w:r>
    </w:p>
    <w:p>
      <w:r>
        <w:t xml:space="preserve">The overall AI maturity score of </w:t>
      </w:r>
      <w:r>
        <w:rPr>
          <w:b/>
        </w:rPr>
        <w:t>{{overall.score}}%</w:t>
      </w:r>
      <w:r>
        <w:t xml:space="preserve"> places </w:t>
      </w:r>
      <w:r>
        <w:rPr>
          <w:b/>
        </w:rPr>
        <w:t>{{org.name}}</w:t>
      </w:r>
      <w:r>
        <w:t xml:space="preserve"> in the </w:t>
      </w:r>
      <w:r>
        <w:rPr>
          <w:b/>
        </w:rPr>
        <w:t>{{overall.tier}}</w:t>
      </w:r>
      <w:r>
        <w:t xml:space="preserve"> category. This assessment provides a comprehensive evaluation of the organization's AI governance capabilities across all critical domains.</w:t>
      </w:r>
    </w:p>
    <w:p>
      <w:r>
        <w:t>The scoring methodology evaluates each question on a scale from 0 (lowest) to 3 (highest), with the overall percentage calculated as the total achieved score divided by the maximum possible score across all 88 questions.</w:t>
      </w:r>
    </w:p>
    <w:p>
      <w:pPr>
        <w:pStyle w:val="Heading2"/>
      </w:pPr>
      <w:r>
        <w:t>Figure 1. {{org.name}} AI Maturity Heatmap</w:t>
      </w:r>
    </w:p>
    <w:p>
      <w:r>
        <w:t>The heatmap below illustrates the assessment results across all domains and questions. Each cell represents an individual question, with color coding indicating the achieved score. The domains and questions are organized to facilitate identification of areas requiring attention.</w:t>
      </w:r>
    </w:p>
    <w:p>
      <w:pPr>
        <w:jc w:val="center"/>
      </w:pPr>
      <w:r>
        <w:t>{{assets.heatmapUrl}}</w:t>
      </w:r>
    </w:p>
    <w:p>
      <w:r>
        <w:br w:type="page"/>
      </w:r>
    </w:p>
    <w:p>
      <w:pPr>
        <w:pStyle w:val="Heading1"/>
      </w:pPr>
      <w:r>
        <w:t>3. Recommendations</w:t>
      </w:r>
    </w:p>
    <w:p>
      <w:r>
        <w:t xml:space="preserve">Based on the assessment results, the following recommendations are provided to help </w:t>
      </w:r>
      <w:r>
        <w:rPr>
          <w:b/>
        </w:rPr>
        <w:t>{{org.name}}</w:t>
      </w:r>
      <w:r>
        <w:t xml:space="preserve"> improve its AI maturity. The recommendations are categorized by priority level to facilitate strategic planning and resource allocation.</w:t>
      </w:r>
    </w:p>
    <w:p>
      <w:pPr>
        <w:pStyle w:val="Heading2"/>
      </w:pPr>
      <w:r>
        <w:t>3.1. High Priority Recommendations</w:t>
      </w:r>
    </w:p>
    <w:p>
      <w:r>
        <w:t>High priority recommendations address critical gaps that pose significant risks to AI governance and should be addressed immediately. These recommendations focus on fundamental requirements for responsible AI deployment.</w:t>
      </w:r>
    </w:p>
    <w:p>
      <w:pPr>
        <w:pStyle w:val="Heading3"/>
      </w:pPr>
      <w:r>
        <w:t>Table 1. High Priority Recommendations</w:t>
      </w:r>
    </w:p>
    <w:tbl>
      <w:tblPr>
        <w:tblStyle w:val="TableGrid"/>
        <w:tblW w:type="auto" w:w="0"/>
        <w:tblLook w:firstColumn="1" w:firstRow="1" w:lastColumn="0" w:lastRow="0" w:noHBand="0" w:noVBand="1" w:val="04A0"/>
      </w:tblPr>
      <w:tblGrid>
        <w:gridCol w:w="2880"/>
        <w:gridCol w:w="2880"/>
        <w:gridCol w:w="2880"/>
      </w:tblGrid>
      <w:tr>
        <w:tc>
          <w:tcPr>
            <w:tcW w:type="dxa" w:w="2880"/>
          </w:tcPr>
          <w:p>
            <w:r>
              <w:t>Domain</w:t>
            </w:r>
          </w:p>
        </w:tc>
        <w:tc>
          <w:tcPr>
            <w:tcW w:type="dxa" w:w="2880"/>
          </w:tcPr>
          <w:p>
            <w:r>
              <w:t>Question ID</w:t>
            </w:r>
          </w:p>
        </w:tc>
        <w:tc>
          <w:tcPr>
            <w:tcW w:type="dxa" w:w="2880"/>
          </w:tcPr>
          <w:p>
            <w:r>
              <w:t>Recommendation</w:t>
            </w:r>
          </w:p>
        </w:tc>
      </w:tr>
      <w:tr>
        <w:tc>
          <w:tcPr>
            <w:tcW w:type="dxa" w:w="2880"/>
          </w:tcPr>
          <w:p>
            <w:r>
              <w:t>{{action.domain}}</w:t>
            </w:r>
          </w:p>
        </w:tc>
        <w:tc>
          <w:tcPr>
            <w:tcW w:type="dxa" w:w="2880"/>
          </w:tcPr>
          <w:p>
            <w:r>
              <w:t>{{action.question_id}}</w:t>
            </w:r>
          </w:p>
        </w:tc>
        <w:tc>
          <w:tcPr>
            <w:tcW w:type="dxa" w:w="2880"/>
          </w:tcPr>
          <w:p>
            <w:r>
              <w:t>{{action.text}}</w:t>
            </w:r>
          </w:p>
        </w:tc>
      </w:tr>
    </w:tbl>
    <w:p>
      <w:r>
        <w:t>{% for action in actions.high %}</w:t>
      </w:r>
    </w:p>
    <w:p>
      <w:r>
        <w:t>{% endfor %}</w:t>
      </w:r>
    </w:p>
    <w:p>
      <w:pPr>
        <w:pStyle w:val="Heading2"/>
      </w:pPr>
      <w:r>
        <w:t>3.2. Medium Priority Recommendations</w:t>
      </w:r>
    </w:p>
    <w:p>
      <w:r>
        <w:t>Medium priority recommendations address important areas for improvement that, while not immediately critical, should be addressed within the next planning cycle to enhance overall AI maturity.</w:t>
      </w:r>
    </w:p>
    <w:p>
      <w:pPr>
        <w:pStyle w:val="Heading3"/>
      </w:pPr>
      <w:r>
        <w:t>Table 2. Medium Priority Recommendations</w:t>
      </w:r>
    </w:p>
    <w:tbl>
      <w:tblPr>
        <w:tblStyle w:val="TableGrid"/>
        <w:tblW w:type="auto" w:w="0"/>
        <w:tblLook w:firstColumn="1" w:firstRow="1" w:lastColumn="0" w:lastRow="0" w:noHBand="0" w:noVBand="1" w:val="04A0"/>
      </w:tblPr>
      <w:tblGrid>
        <w:gridCol w:w="2880"/>
        <w:gridCol w:w="2880"/>
        <w:gridCol w:w="2880"/>
      </w:tblGrid>
      <w:tr>
        <w:tc>
          <w:tcPr>
            <w:tcW w:type="dxa" w:w="2880"/>
          </w:tcPr>
          <w:p>
            <w:r>
              <w:t>Domain</w:t>
            </w:r>
          </w:p>
        </w:tc>
        <w:tc>
          <w:tcPr>
            <w:tcW w:type="dxa" w:w="2880"/>
          </w:tcPr>
          <w:p>
            <w:r>
              <w:t>Question ID</w:t>
            </w:r>
          </w:p>
        </w:tc>
        <w:tc>
          <w:tcPr>
            <w:tcW w:type="dxa" w:w="2880"/>
          </w:tcPr>
          <w:p>
            <w:r>
              <w:t>Recommendation</w:t>
            </w:r>
          </w:p>
        </w:tc>
      </w:tr>
      <w:tr>
        <w:tc>
          <w:tcPr>
            <w:tcW w:type="dxa" w:w="2880"/>
          </w:tcPr>
          <w:p>
            <w:r>
              <w:t>{{action.domain}}</w:t>
            </w:r>
          </w:p>
        </w:tc>
        <w:tc>
          <w:tcPr>
            <w:tcW w:type="dxa" w:w="2880"/>
          </w:tcPr>
          <w:p>
            <w:r>
              <w:t>{{action.question_id}}</w:t>
            </w:r>
          </w:p>
        </w:tc>
        <w:tc>
          <w:tcPr>
            <w:tcW w:type="dxa" w:w="2880"/>
          </w:tcPr>
          <w:p>
            <w:r>
              <w:t>{{action.text}}</w:t>
            </w:r>
          </w:p>
        </w:tc>
      </w:tr>
    </w:tbl>
    <w:p>
      <w:r>
        <w:t>{% for action in actions.medium %}</w:t>
      </w:r>
    </w:p>
    <w:p>
      <w:r>
        <w:t>{% endfor %}</w:t>
      </w:r>
    </w:p>
    <w:p>
      <w:pPr>
        <w:pStyle w:val="Heading2"/>
      </w:pPr>
      <w:r>
        <w:t>3.3. Low Priority Recommendations</w:t>
      </w:r>
    </w:p>
    <w:p>
      <w:r>
        <w:t>Low priority recommendations represent opportunities for enhancement and optimization. These can be addressed as resources become available and after higher priority items have been completed.</w:t>
      </w:r>
    </w:p>
    <w:p>
      <w:pPr>
        <w:pStyle w:val="Heading3"/>
      </w:pPr>
      <w:r>
        <w:t>Table 3. Low Priority Recommendations</w:t>
      </w:r>
    </w:p>
    <w:tbl>
      <w:tblPr>
        <w:tblStyle w:val="TableGrid"/>
        <w:tblW w:type="auto" w:w="0"/>
        <w:tblLook w:firstColumn="1" w:firstRow="1" w:lastColumn="0" w:lastRow="0" w:noHBand="0" w:noVBand="1" w:val="04A0"/>
      </w:tblPr>
      <w:tblGrid>
        <w:gridCol w:w="2880"/>
        <w:gridCol w:w="2880"/>
        <w:gridCol w:w="2880"/>
      </w:tblGrid>
      <w:tr>
        <w:tc>
          <w:tcPr>
            <w:tcW w:type="dxa" w:w="2880"/>
          </w:tcPr>
          <w:p>
            <w:r>
              <w:t>Domain</w:t>
            </w:r>
          </w:p>
        </w:tc>
        <w:tc>
          <w:tcPr>
            <w:tcW w:type="dxa" w:w="2880"/>
          </w:tcPr>
          <w:p>
            <w:r>
              <w:t>Question ID</w:t>
            </w:r>
          </w:p>
        </w:tc>
        <w:tc>
          <w:tcPr>
            <w:tcW w:type="dxa" w:w="2880"/>
          </w:tcPr>
          <w:p>
            <w:r>
              <w:t>Recommendation</w:t>
            </w:r>
          </w:p>
        </w:tc>
      </w:tr>
      <w:tr>
        <w:tc>
          <w:tcPr>
            <w:tcW w:type="dxa" w:w="2880"/>
          </w:tcPr>
          <w:p>
            <w:r>
              <w:t>{{action.domain}}</w:t>
            </w:r>
          </w:p>
        </w:tc>
        <w:tc>
          <w:tcPr>
            <w:tcW w:type="dxa" w:w="2880"/>
          </w:tcPr>
          <w:p>
            <w:r>
              <w:t>{{action.question_id}}</w:t>
            </w:r>
          </w:p>
        </w:tc>
        <w:tc>
          <w:tcPr>
            <w:tcW w:type="dxa" w:w="2880"/>
          </w:tcPr>
          <w:p>
            <w:r>
              <w:t>{{action.text}}</w:t>
            </w:r>
          </w:p>
        </w:tc>
      </w:tr>
    </w:tbl>
    <w:p>
      <w:r>
        <w:t>{% for action in actions.low %}</w:t>
      </w:r>
    </w:p>
    <w:p>
      <w:r>
        <w:t>{% endfor %}</w:t>
      </w:r>
    </w:p>
    <w:p>
      <w:pPr>
        <w:jc w:val="center"/>
      </w:pPr>
      <w:r>
        <w:t>This report was generated using the A M AI SAFE Framework Assessment platform.</w:t>
      </w:r>
    </w:p>
    <w:p>
      <w:pPr>
        <w:jc w:val="center"/>
      </w:pPr>
      <w:r>
        <w:t>For questions about this assessment, please contact your assessment administrator.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