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M AI SAFE Framework Assessment for {{org.name}}</w:t>
      </w:r>
    </w:p>
    <w:p>
      <w:pPr>
        <w:jc w:val="center"/>
      </w:pPr>
      <w:r>
        <w:t>Assessment Date: {{assessment.date}}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presents the results of the A M AI SAFE framework assessment conducted for {{org.name}}. Based on this assessment, {{org.name}} has achieved an overall AI maturity score of {{overall.score}}%, placing the organization within the {{overall.tier}} AI Maturity category.</w:t>
      </w:r>
    </w:p>
    <w:p>
      <w:r>
        <w:br w:type="page"/>
      </w:r>
    </w:p>
    <w:p>
      <w:pPr>
        <w:pStyle w:val="Heading1"/>
      </w:pPr>
      <w:r>
        <w:t>2. Assessment Results</w:t>
      </w:r>
    </w:p>
    <w:p>
      <w:pPr>
        <w:pStyle w:val="Heading2"/>
      </w:pPr>
      <w:r>
        <w:t>Figure 1. {{org.name}} AI Maturity Heatmap</w:t>
      </w:r>
    </w:p>
    <w:p>
      <w:pPr>
        <w:jc w:val="center"/>
      </w:pPr>
      <w:r>
        <w:t>{{assets.heatmapUrl}}</w:t>
      </w:r>
    </w:p>
    <w:p>
      <w:r>
        <w:br w:type="page"/>
      </w:r>
    </w:p>
    <w:p>
      <w:pPr>
        <w:pStyle w:val="Heading1"/>
      </w:pPr>
      <w:r>
        <w:t>3. Recommendations</w:t>
      </w:r>
    </w:p>
    <w:p>
      <w:pPr>
        <w:pStyle w:val="Heading2"/>
      </w:pPr>
      <w:r>
        <w:t>3.1. High Priority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 ID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>
            <w:r>
              <w:t>{{action.domain}}</w:t>
            </w:r>
          </w:p>
        </w:tc>
        <w:tc>
          <w:tcPr>
            <w:tcW w:type="dxa" w:w="2880"/>
          </w:tcPr>
          <w:p>
            <w:r>
              <w:t>{{action.question_id}}</w:t>
            </w:r>
          </w:p>
        </w:tc>
        <w:tc>
          <w:tcPr>
            <w:tcW w:type="dxa" w:w="2880"/>
          </w:tcPr>
          <w:p>
            <w:r>
              <w:t>{{action.text}}</w:t>
            </w:r>
          </w:p>
        </w:tc>
      </w:tr>
    </w:tbl>
    <w:p>
      <w:r>
        <w:t>{%- for action in actions.high %}</w:t>
      </w:r>
    </w:p>
    <w:p>
      <w:r>
        <w:t>{%- endfor %}</w:t>
      </w:r>
    </w:p>
    <w:p>
      <w:pPr>
        <w:pStyle w:val="Heading2"/>
      </w:pPr>
      <w:r>
        <w:t>3.2. Medium Priority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 ID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>
            <w:r>
              <w:t>{{action.domain}}</w:t>
            </w:r>
          </w:p>
        </w:tc>
        <w:tc>
          <w:tcPr>
            <w:tcW w:type="dxa" w:w="2880"/>
          </w:tcPr>
          <w:p>
            <w:r>
              <w:t>{{action.question_id}}</w:t>
            </w:r>
          </w:p>
        </w:tc>
        <w:tc>
          <w:tcPr>
            <w:tcW w:type="dxa" w:w="2880"/>
          </w:tcPr>
          <w:p>
            <w:r>
              <w:t>{{action.text}}</w:t>
            </w:r>
          </w:p>
        </w:tc>
      </w:tr>
    </w:tbl>
    <w:p>
      <w:r>
        <w:t>{%- for action in actions.medium %}</w:t>
      </w:r>
    </w:p>
    <w:p>
      <w:r>
        <w:t>{%- endfor %}</w:t>
      </w:r>
    </w:p>
    <w:p>
      <w:pPr>
        <w:pStyle w:val="Heading2"/>
      </w:pPr>
      <w:r>
        <w:t>3.3. Low Priority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 ID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>
            <w:r>
              <w:t>{{action.domain}}</w:t>
            </w:r>
          </w:p>
        </w:tc>
        <w:tc>
          <w:tcPr>
            <w:tcW w:type="dxa" w:w="2880"/>
          </w:tcPr>
          <w:p>
            <w:r>
              <w:t>{{action.question_id}}</w:t>
            </w:r>
          </w:p>
        </w:tc>
        <w:tc>
          <w:tcPr>
            <w:tcW w:type="dxa" w:w="2880"/>
          </w:tcPr>
          <w:p>
            <w:r>
              <w:t>{{action.text}}</w:t>
            </w:r>
          </w:p>
        </w:tc>
      </w:tr>
    </w:tbl>
    <w:p>
      <w:r>
        <w:t>{%- for action in actions.low %}</w:t>
      </w:r>
    </w:p>
    <w:p>
      <w:r>
        <w:t>{%-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