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36"/>
        </w:rPr>
        <w:t>A M AI SAFE Framework Assessment for {{org.name}}</w:t>
      </w:r>
    </w:p>
    <w:p>
      <w:pPr>
        <w:jc w:val="center"/>
      </w:pPr>
      <w:r>
        <w:t>{{formatDate(assessment.date)}}</w:t>
      </w:r>
    </w:p>
    <w:p>
      <w:pPr>
        <w:jc w:val="center"/>
      </w:pPr>
      <w:r>
        <w:t>Automated Version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objective of this assessment was to evaluate {{org.name}}'s AI maturity across critical domains using the A M AI SAFE framework, covering 11 key domains - Fairness, Transparency, Explainability, Accountability, Data Integrity, Reliability, Security, Privacy, Safety, Inclusivity, and Sustainability - encompassing 88 targeted questions.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r>
        <w:t>The results indicate that {{org.name}} has achieved an overall AI maturity score of {{overall.score}}%, placing the organization within the {{overall.tier}} AI Maturity category.</w:t>
      </w:r>
    </w:p>
    <w:p>
      <w:r>
        <w:t>Each cell in the heatmap represents the score for a specific question, with colours indicating the level of performance:</w:t>
      </w:r>
    </w:p>
    <w:p>
      <w:r>
        <w:t>• Red: Lowest scoring questions (0/3), indicating significant gaps requiring immediate attention</w:t>
      </w:r>
    </w:p>
    <w:p>
      <w:r>
        <w:t>• Orange: Below-average performance (1/3), highlighting areas for improvement</w:t>
      </w:r>
    </w:p>
    <w:p>
      <w:r>
        <w:t>• Yellow: Moderate performance (2/3), reflecting foundational practices with room for growth</w:t>
      </w:r>
    </w:p>
    <w:p>
      <w:r>
        <w:t>• Green: High performance (3/3), demonstrating strong alignment with best practices</w:t>
      </w:r>
    </w:p>
    <w:p>
      <w:pPr>
        <w:jc w:val="center"/>
      </w:pPr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r>
        <w:t>Based on the findings of the AI Maturity Assessment, the following key recommendations are proposed to help {{org.name}} enhance its AI governance:</w:t>
      </w:r>
    </w:p>
    <w:p>
      <w:pPr>
        <w:pStyle w:val="Heading2"/>
      </w:pPr>
      <w:r>
        <w:t>3.1. High Priority Recommendations</w:t>
      </w:r>
    </w:p>
    <w:p>
      <w:r>
        <w:t>These High Priority actions recommended for {{org.name}} are in response to the lowest 'Non-Ideal' scoring questions from the AI Maturity Assessment. These represent critical gaps that require urgent attention.</w:t>
      </w:r>
    </w:p>
    <w:p>
      <w:pPr>
        <w:pStyle w:val="Heading3"/>
      </w:pPr>
      <w:r>
        <w:t>Table 1. High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 for action in actions.high %}</w:t>
      </w:r>
    </w:p>
    <w:p>
      <w:r>
        <w:t>{% endfor %}</w:t>
      </w:r>
    </w:p>
    <w:p>
      <w:pPr>
        <w:pStyle w:val="Heading2"/>
      </w:pPr>
      <w:r>
        <w:t>3.2. Medium Priority Recommendations</w:t>
      </w:r>
    </w:p>
    <w:p>
      <w:r>
        <w:t>These Medium Priority recommendations focus on addressing gaps identified in the set of 'Basic' scoring questions, crucial for enhancing {{org.name}}'s AI maturity within the next 6–12 months.</w:t>
      </w:r>
    </w:p>
    <w:p>
      <w:pPr>
        <w:pStyle w:val="Heading3"/>
      </w:pPr>
      <w:r>
        <w:t>Table 2. Medium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 for action in actions.medium %}</w:t>
      </w:r>
    </w:p>
    <w:p>
      <w:r>
        <w:t>{% endfor %}</w:t>
      </w:r>
    </w:p>
    <w:p>
      <w:pPr>
        <w:pStyle w:val="Heading2"/>
      </w:pPr>
      <w:r>
        <w:t>3.3. Low Priority Recommendations</w:t>
      </w:r>
    </w:p>
    <w:p>
      <w:r>
        <w:t>These Low Priority recommendations focus on addressing gaps identified as 'Good' scoring questions, designed to align {{org.name}}'s AI practices with industry-leading standards over the next 1–3 years.</w:t>
      </w:r>
    </w:p>
    <w:p>
      <w:pPr>
        <w:pStyle w:val="Heading3"/>
      </w:pPr>
      <w:r>
        <w:t>Table 3. Low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 for action in actions.low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