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E8D" w14:textId="43ADA4F8" w:rsidR="00AA587E" w:rsidRPr="00AA587E" w:rsidRDefault="00AA587E" w:rsidP="00AA587E">
      <w:pPr>
        <w:rPr>
          <w:lang w:val="en-AU"/>
        </w:rPr>
      </w:pPr>
    </w:p>
    <w:p w14:paraId="298CA2C7" w14:textId="77777777" w:rsidR="00AA587E" w:rsidRDefault="00AA587E" w:rsidP="00AA587E">
      <w:pPr>
        <w:jc w:val="center"/>
        <w:rPr>
          <w:b/>
          <w:bCs/>
          <w:sz w:val="72"/>
          <w:szCs w:val="72"/>
          <w:lang w:val="en-AU"/>
        </w:rPr>
      </w:pPr>
    </w:p>
    <w:p w14:paraId="1E288EA8" w14:textId="77777777" w:rsidR="00AA587E" w:rsidRDefault="00AA587E" w:rsidP="00AA587E">
      <w:pPr>
        <w:jc w:val="center"/>
        <w:rPr>
          <w:b/>
          <w:bCs/>
          <w:sz w:val="72"/>
          <w:szCs w:val="72"/>
          <w:lang w:val="en-AU"/>
        </w:rPr>
      </w:pPr>
    </w:p>
    <w:p w14:paraId="2C5696C8" w14:textId="77777777" w:rsidR="00AA587E" w:rsidRDefault="00AA587E" w:rsidP="00AA587E">
      <w:pPr>
        <w:jc w:val="center"/>
        <w:rPr>
          <w:b/>
          <w:bCs/>
          <w:sz w:val="72"/>
          <w:szCs w:val="72"/>
          <w:lang w:val="en-AU"/>
        </w:rPr>
      </w:pPr>
    </w:p>
    <w:p w14:paraId="476A37DA" w14:textId="14F594B5" w:rsidR="00AA587E" w:rsidRPr="00AA587E" w:rsidRDefault="00AA587E" w:rsidP="00AA587E">
      <w:pPr>
        <w:jc w:val="center"/>
        <w:rPr>
          <w:b/>
          <w:bCs/>
          <w:sz w:val="72"/>
          <w:szCs w:val="72"/>
          <w:lang w:val="en-AU"/>
        </w:rPr>
      </w:pPr>
      <w:r w:rsidRPr="00AA587E">
        <w:rPr>
          <w:b/>
          <w:bCs/>
          <w:sz w:val="72"/>
          <w:szCs w:val="72"/>
          <w:lang w:val="en-AU"/>
        </w:rPr>
        <w:t>AM AI SAFE</w:t>
      </w:r>
    </w:p>
    <w:p w14:paraId="50ED929B" w14:textId="77777777" w:rsidR="00AA587E" w:rsidRPr="00AA587E" w:rsidRDefault="00AA587E" w:rsidP="00AA587E">
      <w:pPr>
        <w:jc w:val="center"/>
        <w:rPr>
          <w:b/>
          <w:bCs/>
          <w:sz w:val="44"/>
          <w:szCs w:val="44"/>
          <w:lang w:val="en-AU"/>
        </w:rPr>
      </w:pPr>
      <w:r w:rsidRPr="00AA587E">
        <w:rPr>
          <w:b/>
          <w:bCs/>
          <w:sz w:val="44"/>
          <w:szCs w:val="44"/>
          <w:lang w:val="en-AU"/>
        </w:rPr>
        <w:t>AI System Maturity Assessment Report</w:t>
      </w:r>
    </w:p>
    <w:p w14:paraId="451E2EDB" w14:textId="66F2F835" w:rsidR="00AA587E" w:rsidRPr="00AA587E" w:rsidRDefault="00AA587E" w:rsidP="00AA587E">
      <w:pPr>
        <w:ind w:left="720"/>
        <w:jc w:val="center"/>
        <w:rPr>
          <w:sz w:val="36"/>
          <w:szCs w:val="36"/>
          <w:lang w:val="en-AU"/>
        </w:rPr>
      </w:pPr>
      <w:r w:rsidRPr="00AA587E">
        <w:rPr>
          <w:b/>
          <w:bCs/>
          <w:sz w:val="36"/>
          <w:szCs w:val="36"/>
          <w:lang w:val="en-AU"/>
        </w:rPr>
        <w:t>for</w:t>
      </w:r>
      <w:r w:rsidRPr="00AA587E">
        <w:rPr>
          <w:sz w:val="36"/>
          <w:szCs w:val="36"/>
          <w:lang w:val="en-AU"/>
        </w:rPr>
        <w:br/>
      </w:r>
      <w:r w:rsidR="00CD4692">
        <w:rPr>
          <w:b/>
          <w:bCs/>
          <w:sz w:val="36"/>
          <w:szCs w:val="36"/>
          <w:lang w:val="en-AU"/>
        </w:rPr>
        <w:t xml:space="preserve">vCISO.One</w:t>
      </w:r>
    </w:p>
    <w:p w14:paraId="213CB175" w14:textId="77777777" w:rsidR="00AA587E" w:rsidRDefault="00AA587E" w:rsidP="00AA587E">
      <w:pPr>
        <w:ind w:left="720"/>
        <w:rPr>
          <w:b/>
          <w:bCs/>
          <w:lang w:val="en-AU"/>
        </w:rPr>
      </w:pPr>
    </w:p>
    <w:p w14:paraId="68B9B18D" w14:textId="77777777" w:rsidR="00AA587E" w:rsidRDefault="00AA587E" w:rsidP="00AA587E">
      <w:pPr>
        <w:ind w:left="720"/>
        <w:rPr>
          <w:b/>
          <w:bCs/>
          <w:lang w:val="en-AU"/>
        </w:rPr>
      </w:pPr>
    </w:p>
    <w:p w14:paraId="31F86CA3" w14:textId="43B4572E" w:rsidR="00AA587E" w:rsidRPr="00AA587E" w:rsidRDefault="00AA587E" w:rsidP="00AA587E">
      <w:pPr>
        <w:ind w:left="720"/>
        <w:rPr>
          <w:lang w:val="en-AU"/>
        </w:rPr>
      </w:pPr>
      <w:r w:rsidRPr="00AA587E">
        <w:rPr>
          <w:b/>
          <w:bCs/>
          <w:lang w:val="en-AU"/>
        </w:rPr>
        <w:t>Assessment Date:</w:t>
      </w:r>
      <w:r w:rsidRPr="00AA587E">
        <w:rPr>
          <w:lang w:val="en-AU"/>
        </w:rPr>
        <w:t xml:space="preserve"> </w:t>
      </w:r>
      <w:r w:rsidR="00CD4692">
        <w:rPr>
          <w:lang w:val="en-AU"/>
        </w:rPr>
        <w:t xml:space="preserve">2026-01-08</w:t>
      </w:r>
      <w:r w:rsidRPr="00AA587E">
        <w:rPr>
          <w:lang w:val="en-AU"/>
        </w:rPr>
        <w:br/>
      </w:r>
      <w:r w:rsidRPr="00AA587E">
        <w:rPr>
          <w:b/>
          <w:bCs/>
          <w:lang w:val="en-AU"/>
        </w:rPr>
        <w:t>Assessment ID:</w:t>
      </w:r>
      <w:r w:rsidRPr="00AA587E">
        <w:rPr>
          <w:lang w:val="en-AU"/>
        </w:rPr>
        <w:t xml:space="preserve"> </w:t>
      </w:r>
      <w:r w:rsidR="00CD4692">
        <w:rPr>
          <w:lang w:val="en-AU"/>
        </w:rPr>
        <w:t xml:space="preserve">N/A</w:t>
      </w:r>
      <w:r w:rsidRPr="00AA587E">
        <w:rPr>
          <w:lang w:val="en-AU"/>
        </w:rPr>
        <w:br/>
      </w:r>
      <w:r w:rsidRPr="00AA587E">
        <w:rPr>
          <w:b/>
          <w:bCs/>
          <w:lang w:val="en-AU"/>
        </w:rPr>
        <w:t>Framework Version:</w:t>
      </w:r>
      <w:r w:rsidRPr="00AA587E">
        <w:rPr>
          <w:lang w:val="en-AU"/>
        </w:rPr>
        <w:t xml:space="preserve"> </w:t>
      </w:r>
      <w:r w:rsidR="00CD4692">
        <w:rPr>
          <w:lang w:val="en-AU"/>
        </w:rPr>
        <w:t xml:space="preserve">1.0.0</w:t>
      </w:r>
    </w:p>
    <w:p w14:paraId="226C8454" w14:textId="36DD5E77" w:rsidR="00AA587E" w:rsidRPr="00AA587E" w:rsidRDefault="00AA587E" w:rsidP="00AA587E">
      <w:pPr>
        <w:rPr>
          <w:lang w:val="en-AU"/>
        </w:rPr>
      </w:pPr>
    </w:p>
    <w:p w14:paraId="7A41A6EC" w14:textId="77777777" w:rsidR="00AA587E" w:rsidRDefault="00AA587E">
      <w:pPr>
        <w:rPr>
          <w:b/>
          <w:bCs/>
          <w:lang w:val="en-AU"/>
        </w:rPr>
      </w:pPr>
      <w:r>
        <w:rPr>
          <w:b/>
          <w:bCs/>
          <w:lang w:val="en-AU"/>
        </w:rPr>
        <w:br w:type="page"/>
      </w:r>
    </w:p>
    <w:p w14:paraId="381D5F8F" w14:textId="478952FE" w:rsidR="00AA587E" w:rsidRPr="00AA587E" w:rsidRDefault="00AA587E" w:rsidP="00AA587E">
      <w:pPr>
        <w:rPr>
          <w:b/>
          <w:bCs/>
          <w:lang w:val="en-AU"/>
        </w:rPr>
      </w:pPr>
      <w:r w:rsidRPr="00AA587E">
        <w:rPr>
          <w:b/>
          <w:bCs/>
          <w:lang w:val="en-AU"/>
        </w:rPr>
        <w:lastRenderedPageBreak/>
        <w:t>Table of Contents</w:t>
      </w:r>
    </w:p>
    <w:p w14:paraId="59E7D102" w14:textId="77777777" w:rsidR="00AA587E" w:rsidRPr="00AA587E" w:rsidRDefault="00AA587E" w:rsidP="00AA587E">
      <w:pPr>
        <w:numPr>
          <w:ilvl w:val="0"/>
          <w:numId w:val="5"/>
        </w:numPr>
        <w:rPr>
          <w:lang w:val="en-AU"/>
        </w:rPr>
      </w:pPr>
      <w:r w:rsidRPr="00AA587E">
        <w:rPr>
          <w:lang w:val="en-AU"/>
        </w:rPr>
        <w:t>Executive Summary</w:t>
      </w:r>
    </w:p>
    <w:p w14:paraId="2D4A0E52" w14:textId="77777777" w:rsidR="00AA587E" w:rsidRPr="00AA587E" w:rsidRDefault="00AA587E" w:rsidP="00AA587E">
      <w:pPr>
        <w:numPr>
          <w:ilvl w:val="0"/>
          <w:numId w:val="5"/>
        </w:numPr>
        <w:rPr>
          <w:lang w:val="en-AU"/>
        </w:rPr>
      </w:pPr>
      <w:r w:rsidRPr="00AA587E">
        <w:rPr>
          <w:lang w:val="en-AU"/>
        </w:rPr>
        <w:t>Assessment Context</w:t>
      </w:r>
    </w:p>
    <w:p w14:paraId="0D143C67" w14:textId="77777777" w:rsidR="00AA587E" w:rsidRPr="00AA587E" w:rsidRDefault="00AA587E" w:rsidP="00AA587E">
      <w:pPr>
        <w:numPr>
          <w:ilvl w:val="0"/>
          <w:numId w:val="5"/>
        </w:numPr>
        <w:rPr>
          <w:lang w:val="en-AU"/>
        </w:rPr>
      </w:pPr>
      <w:r w:rsidRPr="00AA587E">
        <w:rPr>
          <w:lang w:val="en-AU"/>
        </w:rPr>
        <w:t>Assessment Results</w:t>
      </w:r>
    </w:p>
    <w:p w14:paraId="5C5E0260" w14:textId="77777777" w:rsidR="00AA587E" w:rsidRPr="00AA587E" w:rsidRDefault="00AA587E" w:rsidP="00AA587E">
      <w:pPr>
        <w:numPr>
          <w:ilvl w:val="0"/>
          <w:numId w:val="5"/>
        </w:numPr>
        <w:rPr>
          <w:lang w:val="en-AU"/>
        </w:rPr>
      </w:pPr>
      <w:r w:rsidRPr="00AA587E">
        <w:rPr>
          <w:lang w:val="en-AU"/>
        </w:rPr>
        <w:t>Key Findings &amp; Risk Themes</w:t>
      </w:r>
    </w:p>
    <w:p w14:paraId="1D8DF73E" w14:textId="77777777" w:rsidR="00AA587E" w:rsidRPr="00AA587E" w:rsidRDefault="00AA587E" w:rsidP="00AA587E">
      <w:pPr>
        <w:numPr>
          <w:ilvl w:val="0"/>
          <w:numId w:val="5"/>
        </w:numPr>
        <w:rPr>
          <w:lang w:val="en-AU"/>
        </w:rPr>
      </w:pPr>
      <w:r w:rsidRPr="00AA587E">
        <w:rPr>
          <w:lang w:val="en-AU"/>
        </w:rPr>
        <w:t>Recommendations</w:t>
      </w:r>
      <w:r w:rsidRPr="00AA587E">
        <w:rPr>
          <w:lang w:val="en-AU"/>
        </w:rPr>
        <w:br/>
      </w:r>
      <w:r w:rsidRPr="00AA587E">
        <w:rPr>
          <w:lang w:val="en-AU"/>
        </w:rPr>
        <w:t> </w:t>
      </w:r>
      <w:r w:rsidRPr="00AA587E">
        <w:rPr>
          <w:lang w:val="en-AU"/>
        </w:rPr>
        <w:t> </w:t>
      </w:r>
      <w:r w:rsidRPr="00AA587E">
        <w:rPr>
          <w:lang w:val="en-AU"/>
        </w:rPr>
        <w:t>5.1 High Priority Recommendations</w:t>
      </w:r>
      <w:r w:rsidRPr="00AA587E">
        <w:rPr>
          <w:lang w:val="en-AU"/>
        </w:rPr>
        <w:br/>
      </w:r>
      <w:r w:rsidRPr="00AA587E">
        <w:rPr>
          <w:lang w:val="en-AU"/>
        </w:rPr>
        <w:t> </w:t>
      </w:r>
      <w:r w:rsidRPr="00AA587E">
        <w:rPr>
          <w:lang w:val="en-AU"/>
        </w:rPr>
        <w:t> </w:t>
      </w:r>
      <w:r w:rsidRPr="00AA587E">
        <w:rPr>
          <w:lang w:val="en-AU"/>
        </w:rPr>
        <w:t>5.2 Medium Priority Recommendations</w:t>
      </w:r>
      <w:r w:rsidRPr="00AA587E">
        <w:rPr>
          <w:lang w:val="en-AU"/>
        </w:rPr>
        <w:br/>
      </w:r>
      <w:r w:rsidRPr="00AA587E">
        <w:rPr>
          <w:lang w:val="en-AU"/>
        </w:rPr>
        <w:t> </w:t>
      </w:r>
      <w:r w:rsidRPr="00AA587E">
        <w:rPr>
          <w:lang w:val="en-AU"/>
        </w:rPr>
        <w:t> </w:t>
      </w:r>
      <w:r w:rsidRPr="00AA587E">
        <w:rPr>
          <w:lang w:val="en-AU"/>
        </w:rPr>
        <w:t>5.3 Low Priority Recommendations</w:t>
      </w:r>
    </w:p>
    <w:p w14:paraId="6A52BB3F" w14:textId="77777777" w:rsidR="00AA587E" w:rsidRPr="00AA587E" w:rsidRDefault="00AA587E" w:rsidP="00AA587E">
      <w:pPr>
        <w:numPr>
          <w:ilvl w:val="0"/>
          <w:numId w:val="5"/>
        </w:numPr>
        <w:rPr>
          <w:lang w:val="en-AU"/>
        </w:rPr>
      </w:pPr>
      <w:r w:rsidRPr="00AA587E">
        <w:rPr>
          <w:lang w:val="en-AU"/>
        </w:rPr>
        <w:t>Evidence &amp; Assurance Coverage</w:t>
      </w:r>
    </w:p>
    <w:p w14:paraId="02E642CC" w14:textId="77777777" w:rsidR="00AA587E" w:rsidRPr="00AA587E" w:rsidRDefault="00AA587E" w:rsidP="00AA587E">
      <w:pPr>
        <w:numPr>
          <w:ilvl w:val="0"/>
          <w:numId w:val="5"/>
        </w:numPr>
        <w:rPr>
          <w:lang w:val="en-AU"/>
        </w:rPr>
      </w:pPr>
      <w:r w:rsidRPr="00AA587E">
        <w:rPr>
          <w:lang w:val="en-AU"/>
        </w:rPr>
        <w:t>Scope, Assumptions &amp; Limitations</w:t>
      </w:r>
    </w:p>
    <w:p w14:paraId="569D3698" w14:textId="657DD8D0" w:rsidR="00AA587E" w:rsidRPr="00AA587E" w:rsidRDefault="00AA587E" w:rsidP="00AA587E">
      <w:pPr>
        <w:rPr>
          <w:lang w:val="en-AU"/>
        </w:rPr>
      </w:pPr>
    </w:p>
    <w:p w14:paraId="481DD08A" w14:textId="77777777" w:rsidR="00AA587E" w:rsidRDefault="00AA587E">
      <w:pPr>
        <w:rPr>
          <w:b/>
          <w:bCs/>
          <w:lang w:val="en-AU"/>
        </w:rPr>
      </w:pPr>
      <w:r>
        <w:rPr>
          <w:b/>
          <w:bCs/>
          <w:lang w:val="en-AU"/>
        </w:rPr>
        <w:br w:type="page"/>
      </w:r>
    </w:p>
    <w:p w14:paraId="68443EAF" w14:textId="27F39EBF" w:rsidR="00AA587E" w:rsidRPr="00AA587E" w:rsidRDefault="00AA587E" w:rsidP="00AA587E">
      <w:pPr>
        <w:rPr>
          <w:b/>
          <w:bCs/>
          <w:lang w:val="en-AU"/>
        </w:rPr>
      </w:pPr>
      <w:r w:rsidRPr="00AA587E">
        <w:rPr>
          <w:b/>
          <w:bCs/>
          <w:lang w:val="en-AU"/>
        </w:rPr>
        <w:lastRenderedPageBreak/>
        <w:t>1. Executive Summary</w:t>
      </w:r>
    </w:p>
    <w:p w14:paraId="1D25ABC6" w14:textId="1352BF0C" w:rsidR="00AA587E" w:rsidRPr="00AA587E" w:rsidRDefault="00CD4692" w:rsidP="00AA587E">
      <w:pPr>
        <w:rPr>
          <w:lang w:val="en-AU"/>
        </w:rPr>
      </w:pPr>
      <w:r>
        <w:rPr>
          <w:lang w:val="en-AU"/>
        </w:rPr>
        <w:t xml:space="preserve">1. Purpose of the Assessment  </w:t>
        <w:br/>
        <w:t xml:space="preserve">The purpose of this assessment is to evaluate the maturity of the Another AI System employed by vCISO.One, within the Finance and Insurance industry. The assessment encompasses various domains of AI governance, including data integrity, reliability, accountability, transparency, security, privacy, fairness, explainability, safety, sustainability, and inclusivity.</w:t>
        <w:br/>
        <w:t xml:space="preserve"/>
        <w:br/>
        <w:t xml:space="preserve">2. Assessment Context  </w:t>
        <w:br/>
        <w:t xml:space="preserve">The Another AI System is currently in the development lifecycle stage. The business criticality, hosting model, data sensitivity, and oversight arrangements associated with this system were not specified.</w:t>
        <w:br/>
        <w:t xml:space="preserve"/>
        <w:br/>
        <w:t xml:space="preserve">3. Overall Maturity Outcome  </w:t>
        <w:br/>
        <w:t xml:space="preserve">The overall AI maturity score is 71.9%, placing the organization in the Developing maturity tier. This tier generally indicates that the organization is progressing in its AI governance practices but still has significant areas for improvement to achieve enhanced maturity and effectiveness.</w:t>
        <w:br/>
        <w:t xml:space="preserve"/>
        <w:br/>
        <w:t xml:space="preserve">4. Domain-Level Performance Overview  </w:t>
        <w:br/>
        <w:t xml:space="preserve">The strongest-performing domains are Data Integrity and Reliability, both scoring 84%. In contrast, the lowest-performing domains are Inclusivity at 56%, followed by Sustainability at 66% and Safety at 69%. Patterns indicate a concentration of low-scoring questions particularly in the domains of safety, sustainability, inclusivity, fairness, and explainability, which may likely contribute to the overall maturing state of the organization.</w:t>
        <w:br/>
        <w:t xml:space="preserve"/>
        <w:br/>
        <w:t xml:space="preserve">5. Key Insights  </w:t>
        <w:br/>
        <w:t xml:space="preserve">- The overall maturity position is classified as Developing, reflecting ongoing improvements and recognitions of enhancements needed.</w:t>
        <w:br/>
        <w:t xml:space="preserve">- The Data Integrity and Reliability domains are the strongest, demonstrating reliable practices in these areas.</w:t>
        <w:br/>
        <w:t xml:space="preserve">- There is a primary concentration of risks or gaps in the Safety, Sustainability, and Inclusivity domains, indicating critical areas for development.</w:t>
        <w:br/>
        <w:t xml:space="preserve">- A total of eight high-priority actions have been identified, indicating urgent needs for improvement.</w:t>
        <w:br/>
        <w:t xml:space="preserve">- The maturity distribution shows a significant number of questions rated at Basic and Non-Ideal levels, suggesting that foundational elements require attention as many domains still exhibit low-scoring questions.</w:t>
        <w:br/>
        <w:t xml:space="preserve"/>
        <w:br/>
        <w:t xml:space="preserve">6. Forward-Looking Summary  </w:t>
        <w:br/>
        <w:t xml:space="preserve">By addressing the identified priority actions, vCISO.One can enhance AI governance and promote maturing processes across the assessed domains. Continued focus on improvements, particularly in the areas of safety, sustainability, and inclusivity, will foster a more robust AI system that aligns with organizational objectives and industry standards over time.</w:t>
      </w:r>
    </w:p>
    <w:p w14:paraId="493B897F" w14:textId="77777777" w:rsidR="00AA587E" w:rsidRPr="00AA587E" w:rsidRDefault="00AA587E" w:rsidP="00AA587E">
      <w:pPr>
        <w:rPr>
          <w:lang w:val="en-AU"/>
        </w:rPr>
      </w:pPr>
      <w:r w:rsidRPr="00AA587E">
        <w:rPr>
          <w:lang w:val="en-AU"/>
        </w:rPr>
        <w:pict w14:anchorId="7CD31DE2">
          <v:rect id="_x0000_i1124" style="width:0;height:1.5pt" o:hralign="center" o:hrstd="t" o:hr="t" fillcolor="#a0a0a0" stroked="f"/>
        </w:pict>
      </w:r>
    </w:p>
    <w:p w14:paraId="0C169A51" w14:textId="77777777" w:rsidR="00AA587E" w:rsidRPr="00AA587E" w:rsidRDefault="00AA587E" w:rsidP="00AA587E">
      <w:pPr>
        <w:rPr>
          <w:b/>
          <w:bCs/>
          <w:lang w:val="en-AU"/>
        </w:rPr>
      </w:pPr>
      <w:r w:rsidRPr="00AA587E">
        <w:rPr>
          <w:b/>
          <w:bCs/>
          <w:lang w:val="en-AU"/>
        </w:rPr>
        <w:t>2. Assessment Context</w:t>
      </w:r>
    </w:p>
    <w:p w14:paraId="5A2ACC59" w14:textId="5B87EEEE" w:rsidR="00AA587E" w:rsidRPr="00AA587E" w:rsidRDefault="00AA587E" w:rsidP="00AA587E">
      <w:pPr>
        <w:rPr>
          <w:lang w:val="en-AU"/>
        </w:rPr>
      </w:pPr>
      <w:r w:rsidRPr="00AA587E">
        <w:rPr>
          <w:lang w:val="en-AU"/>
        </w:rPr>
        <w:t xml:space="preserve">This assessment evaluates the AI maturity of a specific AI system operated by </w:t>
      </w:r>
      <w:r w:rsidR="00CD4692">
        <w:rPr>
          <w:b/>
          <w:bCs/>
          <w:lang w:val="en-AU"/>
        </w:rPr>
        <w:t xml:space="preserve">vCISO.One</w:t>
      </w:r>
      <w:r w:rsidRPr="00AA587E">
        <w:rPr>
          <w:lang w:val="en-AU"/>
        </w:rPr>
        <w:t>, using the AM AI SAFE framework. The assessment context below provides important background for interpreting the results.</w:t>
      </w:r>
    </w:p>
    <w:p w14:paraId="36EE51A4" w14:textId="77777777" w:rsidR="00AA587E" w:rsidRPr="00AA587E" w:rsidRDefault="00AA587E" w:rsidP="00AA587E">
      <w:pPr>
        <w:rPr>
          <w:lang w:val="en-AU"/>
        </w:rPr>
      </w:pPr>
      <w:r w:rsidRPr="00AA587E">
        <w:rPr>
          <w:b/>
          <w:bCs/>
          <w:lang w:val="en-AU"/>
        </w:rPr>
        <w:t>AI System Context</w:t>
      </w:r>
    </w:p>
    <w:p w14:paraId="6FBEDC36" w14:textId="7980F07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lifecycle stage:</w:t>
      </w:r>
      <w:r w:rsidRPr="00AA587E">
        <w:rPr>
          <w:lang w:val="en-AU"/>
        </w:rPr>
        <w:t xml:space="preserve"> </w:t>
      </w:r>
      <w:r w:rsidR="00CD4692">
        <w:rPr>
          <w:lang w:val="en-AU"/>
        </w:rPr>
        <w:t xml:space="preserve">development</w:t>
      </w:r>
    </w:p>
    <w:p w14:paraId="08130971" w14:textId="4F1F62B8"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Business / operational criticality:</w:t>
      </w:r>
      <w:r w:rsidRPr="00AA587E">
        <w:rPr>
          <w:lang w:val="en-AU"/>
        </w:rPr>
        <w:t xml:space="preserve"> </w:t>
      </w:r>
      <w:r w:rsidR="00CD4692">
        <w:rPr>
          <w:lang w:val="en-AU"/>
        </w:rPr>
        <w:t xml:space="preserve"/>
      </w:r>
    </w:p>
    <w:p w14:paraId="5D5DF769" w14:textId="60E7E43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ownership model:</w:t>
      </w:r>
      <w:r w:rsidRPr="00AA587E">
        <w:rPr>
          <w:lang w:val="en-AU"/>
        </w:rPr>
        <w:t xml:space="preserve"> </w:t>
      </w:r>
      <w:r w:rsidR="00CD4692">
        <w:rPr>
          <w:lang w:val="en-AU"/>
        </w:rPr>
        <w:t xml:space="preserve"/>
      </w:r>
    </w:p>
    <w:p w14:paraId="78E95C4B" w14:textId="1BD38ACA"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Deployment / hosting model:</w:t>
      </w:r>
      <w:r w:rsidRPr="00AA587E">
        <w:rPr>
          <w:lang w:val="en-AU"/>
        </w:rPr>
        <w:t xml:space="preserve"> </w:t>
      </w:r>
      <w:r w:rsidR="00CD4692">
        <w:rPr>
          <w:lang w:val="en-AU"/>
        </w:rPr>
        <w:t xml:space="preserve"/>
      </w:r>
    </w:p>
    <w:p w14:paraId="2B86B1B1" w14:textId="57B86E67"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Highest data sensitivity handled:</w:t>
      </w:r>
      <w:r w:rsidRPr="00AA587E">
        <w:rPr>
          <w:lang w:val="en-AU"/>
        </w:rPr>
        <w:t xml:space="preserve"> </w:t>
      </w:r>
      <w:r w:rsidR="00CD4692">
        <w:rPr>
          <w:lang w:val="en-AU"/>
        </w:rPr>
        <w:t xml:space="preserve"/>
      </w:r>
    </w:p>
    <w:p w14:paraId="695BA44C" w14:textId="42659694"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Governance and oversight model:</w:t>
      </w:r>
      <w:r w:rsidRPr="00AA587E">
        <w:rPr>
          <w:lang w:val="en-AU"/>
        </w:rPr>
        <w:t xml:space="preserve"> </w:t>
      </w:r>
      <w:r w:rsidR="00CD4692">
        <w:rPr>
          <w:lang w:val="en-AU"/>
        </w:rPr>
        <w:t xml:space="preserve"/>
      </w:r>
    </w:p>
    <w:p w14:paraId="7BBADF02" w14:textId="77777777" w:rsidR="00AA587E" w:rsidRPr="00AA587E" w:rsidRDefault="00AA587E" w:rsidP="00AA587E">
      <w:pPr>
        <w:rPr>
          <w:lang w:val="en-AU"/>
        </w:rPr>
      </w:pPr>
      <w:r w:rsidRPr="00AA587E">
        <w:rPr>
          <w:lang w:val="en-AU"/>
        </w:rPr>
        <w:t>The context above has been considered when interpreting maturity outcomes, risk concentrations, and prioritised recommendations.</w:t>
      </w:r>
    </w:p>
    <w:p w14:paraId="4B0A430A" w14:textId="77777777" w:rsidR="00AA587E" w:rsidRPr="00AA587E" w:rsidRDefault="00AA587E" w:rsidP="00AA587E">
      <w:pPr>
        <w:rPr>
          <w:lang w:val="en-AU"/>
        </w:rPr>
      </w:pPr>
      <w:r w:rsidRPr="00AA587E">
        <w:rPr>
          <w:lang w:val="en-AU"/>
        </w:rPr>
        <w:pict w14:anchorId="4A2E5B77">
          <v:rect id="_x0000_i1125" style="width:0;height:1.5pt" o:hralign="center" o:hrstd="t" o:hr="t" fillcolor="#a0a0a0" stroked="f"/>
        </w:pict>
      </w:r>
    </w:p>
    <w:p w14:paraId="63BAC573" w14:textId="77777777" w:rsidR="00AA587E" w:rsidRPr="00AA587E" w:rsidRDefault="00AA587E" w:rsidP="00AA587E">
      <w:pPr>
        <w:rPr>
          <w:b/>
          <w:bCs/>
          <w:lang w:val="en-AU"/>
        </w:rPr>
      </w:pPr>
      <w:r w:rsidRPr="00AA587E">
        <w:rPr>
          <w:b/>
          <w:bCs/>
          <w:lang w:val="en-AU"/>
        </w:rPr>
        <w:t>3. Assessment Results</w:t>
      </w:r>
    </w:p>
    <w:p w14:paraId="0F35BF6C" w14:textId="77777777" w:rsidR="00AA587E" w:rsidRPr="00AA587E" w:rsidRDefault="00AA587E" w:rsidP="00AA587E">
      <w:pPr>
        <w:rPr>
          <w:b/>
          <w:bCs/>
          <w:lang w:val="en-AU"/>
        </w:rPr>
      </w:pPr>
      <w:r w:rsidRPr="00AA587E">
        <w:rPr>
          <w:b/>
          <w:bCs/>
          <w:lang w:val="en-AU"/>
        </w:rPr>
        <w:t>3.1 Overall AI Maturity Outcome</w:t>
      </w:r>
    </w:p>
    <w:p w14:paraId="1BFD4244" w14:textId="37AB4A55" w:rsidR="00AA587E" w:rsidRPr="00AA587E" w:rsidRDefault="00CD4692" w:rsidP="00AA587E">
      <w:pPr>
        <w:rPr>
          <w:lang w:val="en-AU"/>
        </w:rPr>
      </w:pPr>
      <w:r>
        <w:rPr>
          <w:lang w:val="en-AU"/>
        </w:rPr>
        <w:t xml:space="preserve">vCISO.One</w:t>
      </w:r>
      <w:r w:rsidR="00AA587E" w:rsidRPr="00AA587E">
        <w:rPr>
          <w:lang w:val="en-AU"/>
        </w:rPr>
        <w:t xml:space="preserve"> achieved an overall AI maturity score of </w:t>
      </w:r>
      <w:r>
        <w:rPr>
          <w:b/>
          <w:bCs/>
          <w:lang w:val="en-AU"/>
        </w:rPr>
        <w:t xml:space="preserve">71.9</w:t>
      </w:r>
      <w:r w:rsidR="00AA587E" w:rsidRPr="00AA587E">
        <w:rPr>
          <w:b/>
          <w:bCs/>
          <w:lang w:val="en-AU"/>
        </w:rPr>
        <w:t>%</w:t>
      </w:r>
      <w:proofErr w:type="gramEnd"/>
      <w:r w:rsidR="00AA587E" w:rsidRPr="00AA587E">
        <w:rPr>
          <w:lang w:val="en-AU"/>
        </w:rPr>
        <w:t xml:space="preserve">, placing the system within the </w:t>
      </w:r>
      <w:r>
        <w:rPr>
          <w:b/>
          <w:bCs/>
          <w:lang w:val="en-AU"/>
        </w:rPr>
        <w:t xml:space="preserve">Developing</w:t>
      </w:r>
      <w:r w:rsidR="00AA587E" w:rsidRPr="00AA587E">
        <w:rPr>
          <w:lang w:val="en-AU"/>
        </w:rPr>
        <w:t xml:space="preserve"> maturity tier.</w:t>
      </w:r>
    </w:p>
    <w:p w14:paraId="5DE3EEBD" w14:textId="77777777" w:rsidR="00AA587E" w:rsidRPr="00AA587E" w:rsidRDefault="00AA587E" w:rsidP="00AA587E">
      <w:pPr>
        <w:rPr>
          <w:lang w:val="en-AU"/>
        </w:rPr>
      </w:pPr>
      <w:r w:rsidRPr="00AA587E">
        <w:rPr>
          <w:lang w:val="en-AU"/>
        </w:rPr>
        <w:t>This tier reflects the extent to which AI governance, risk management, and operational practices are established, consistently applied, and supported across the assessed domains.</w:t>
      </w:r>
    </w:p>
    <w:p w14:paraId="0C4A9FCE" w14:textId="77777777" w:rsidR="00AA587E" w:rsidRPr="00AA587E" w:rsidRDefault="00AA587E" w:rsidP="00AA587E">
      <w:pPr>
        <w:rPr>
          <w:lang w:val="en-AU"/>
        </w:rPr>
      </w:pPr>
      <w:r w:rsidRPr="00AA587E">
        <w:rPr>
          <w:lang w:val="en-AU"/>
        </w:rPr>
        <w:pict w14:anchorId="6F77C183">
          <v:rect id="_x0000_i1126" style="width:0;height:1.5pt" o:hralign="center" o:hrstd="t" o:hr="t" fillcolor="#a0a0a0" stroked="f"/>
        </w:pict>
      </w:r>
    </w:p>
    <w:p w14:paraId="25E15ED4" w14:textId="77777777" w:rsidR="00AA587E" w:rsidRPr="00AA587E" w:rsidRDefault="00AA587E" w:rsidP="00AA587E">
      <w:pPr>
        <w:rPr>
          <w:b/>
          <w:bCs/>
          <w:lang w:val="en-AU"/>
        </w:rPr>
      </w:pPr>
      <w:r w:rsidRPr="00AA587E">
        <w:rPr>
          <w:b/>
          <w:bCs/>
          <w:lang w:val="en-AU"/>
        </w:rPr>
        <w:t>3.2 Domain-Level Results Overview</w:t>
      </w:r>
    </w:p>
    <w:p w14:paraId="51FFBF4F" w14:textId="77777777" w:rsidR="00AA587E" w:rsidRPr="00AA587E" w:rsidRDefault="00AA587E" w:rsidP="00AA587E">
      <w:pPr>
        <w:numPr>
          <w:ilvl w:val="0"/>
          <w:numId w:val="8"/>
        </w:numPr>
        <w:rPr>
          <w:lang w:val="en-AU"/>
        </w:rPr>
      </w:pPr>
      <w:r w:rsidRPr="00AA587E">
        <w:rPr>
          <w:lang w:val="en-AU"/>
        </w:rPr>
        <w:t>The table below summarises performance across the assessed AI maturity domains.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87"/>
        <w:gridCol w:w="1486"/>
        <w:gridCol w:w="3756"/>
      </w:tblGrid>
      <w:tr w:rsidR="00AA587E" w:rsidRPr="00AA587E" w14:paraId="1600B0AD" w14:textId="77777777" w:rsidTr="00AA587E">
        <w:trPr>
          <w:tblHeader/>
        </w:trPr>
        <w:tc>
          <w:tcPr>
            <w:tcW w:w="1379" w:type="pct"/>
            <w:shd w:val="clear" w:color="auto" w:fill="D9D9D9" w:themeFill="background1" w:themeFillShade="D9"/>
            <w:vAlign w:val="center"/>
            <w:hideMark/>
          </w:tcPr>
          <w:p w14:paraId="5B5B20CD" w14:textId="77777777" w:rsidR="00AA587E" w:rsidRPr="00AA587E" w:rsidRDefault="00AA587E" w:rsidP="00AA587E">
            <w:pPr>
              <w:rPr>
                <w:b/>
                <w:bCs/>
                <w:sz w:val="22"/>
                <w:szCs w:val="22"/>
                <w:lang w:val="en-AU"/>
              </w:rPr>
            </w:pPr>
            <w:r w:rsidRPr="00AA587E">
              <w:rPr>
                <w:b/>
                <w:bCs/>
                <w:sz w:val="22"/>
                <w:szCs w:val="22"/>
                <w:lang w:val="en-AU"/>
              </w:rPr>
              <w:t>Domain</w:t>
            </w:r>
          </w:p>
        </w:tc>
        <w:tc>
          <w:tcPr>
            <w:tcW w:w="714" w:type="pct"/>
            <w:shd w:val="clear" w:color="auto" w:fill="D9D9D9" w:themeFill="background1" w:themeFillShade="D9"/>
            <w:vAlign w:val="center"/>
            <w:hideMark/>
          </w:tcPr>
          <w:p w14:paraId="52062FEA" w14:textId="77777777" w:rsidR="00AA587E" w:rsidRPr="00AA587E" w:rsidRDefault="00AA587E" w:rsidP="00AA587E">
            <w:pPr>
              <w:rPr>
                <w:b/>
                <w:bCs/>
                <w:sz w:val="22"/>
                <w:szCs w:val="22"/>
                <w:lang w:val="en-AU"/>
              </w:rPr>
            </w:pPr>
            <w:r w:rsidRPr="00AA587E">
              <w:rPr>
                <w:b/>
                <w:bCs/>
                <w:sz w:val="22"/>
                <w:szCs w:val="22"/>
                <w:lang w:val="en-AU"/>
              </w:rPr>
              <w:t>Score (%)</w:t>
            </w:r>
          </w:p>
        </w:tc>
        <w:tc>
          <w:tcPr>
            <w:tcW w:w="824" w:type="pct"/>
            <w:shd w:val="clear" w:color="auto" w:fill="D9D9D9" w:themeFill="background1" w:themeFillShade="D9"/>
            <w:vAlign w:val="center"/>
            <w:hideMark/>
          </w:tcPr>
          <w:p w14:paraId="5268FCDF" w14:textId="77777777" w:rsidR="00AA587E" w:rsidRPr="00AA587E" w:rsidRDefault="00AA587E" w:rsidP="00AA587E">
            <w:pPr>
              <w:rPr>
                <w:b/>
                <w:bCs/>
                <w:sz w:val="22"/>
                <w:szCs w:val="22"/>
                <w:lang w:val="en-AU"/>
              </w:rPr>
            </w:pPr>
            <w:r w:rsidRPr="00AA587E">
              <w:rPr>
                <w:b/>
                <w:bCs/>
                <w:sz w:val="22"/>
                <w:szCs w:val="22"/>
                <w:lang w:val="en-AU"/>
              </w:rPr>
              <w:t>Maturity Tier</w:t>
            </w:r>
          </w:p>
        </w:tc>
        <w:tc>
          <w:tcPr>
            <w:tcW w:w="2083" w:type="pct"/>
            <w:shd w:val="clear" w:color="auto" w:fill="D9D9D9" w:themeFill="background1" w:themeFillShade="D9"/>
            <w:vAlign w:val="center"/>
            <w:hideMark/>
          </w:tcPr>
          <w:p w14:paraId="20B9E130" w14:textId="77777777" w:rsidR="00AA587E" w:rsidRPr="00AA587E" w:rsidRDefault="00AA587E" w:rsidP="00AA587E">
            <w:pPr>
              <w:rPr>
                <w:b/>
                <w:bCs/>
                <w:sz w:val="22"/>
                <w:szCs w:val="22"/>
                <w:lang w:val="en-AU"/>
              </w:rPr>
            </w:pPr>
            <w:r w:rsidRPr="00AA587E">
              <w:rPr>
                <w:b/>
                <w:bCs/>
                <w:sz w:val="22"/>
                <w:szCs w:val="22"/>
                <w:lang w:val="en-AU"/>
              </w:rPr>
              <w:t>Low-Scoring Questions</w:t>
            </w:r>
          </w:p>
        </w:tc>
      </w:tr>
      <w:tr w:rsidR="00AA587E" w:rsidRPr="00AA587E" w14:paraId="60972F34" w14:textId="77777777" w:rsidTr="00AA587E">
        <w:tc>
          <w:tcPr>
            <w:tcW w:w="1379" w:type="pct"/>
            <w:vAlign w:val="center"/>
            <w:hideMark/>
          </w:tcPr>
          <w:p w14:paraId="3386A634"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Inclusivity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56.2</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Sustainability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65.6</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Fairness</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Explainability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Safety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Transparency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Security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Privacy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Accountability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Data Integrity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Reliability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1</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5E0E68FD" w14:textId="77777777" w:rsidR="00AA587E" w:rsidRPr="00AA587E" w:rsidRDefault="00AA587E" w:rsidP="00AA587E">
            <w:pPr>
              <w:rPr>
                <w:sz w:val="22"/>
                <w:szCs w:val="22"/>
                <w:lang w:val="en-AU"/>
              </w:rPr>
            </w:pPr>
          </w:p>
        </w:tc>
        <w:tc>
          <w:tcPr>
            <w:tcW w:w="824" w:type="pct"/>
            <w:vAlign w:val="center"/>
            <w:hideMark/>
          </w:tcPr>
          <w:p w14:paraId="69DE9424" w14:textId="77777777" w:rsidR="00AA587E" w:rsidRPr="00AA587E" w:rsidRDefault="00AA587E" w:rsidP="00AA587E">
            <w:pPr>
              <w:rPr>
                <w:sz w:val="22"/>
                <w:szCs w:val="22"/>
                <w:lang w:val="en-AU"/>
              </w:rPr>
            </w:pPr>
          </w:p>
        </w:tc>
        <w:tc>
          <w:tcPr>
            <w:tcW w:w="2083" w:type="pct"/>
            <w:vAlign w:val="center"/>
            <w:hideMark/>
          </w:tcPr>
          <w:p w14:paraId="1AE607F1" w14:textId="77777777" w:rsidR="00AA587E" w:rsidRPr="00AA587E" w:rsidRDefault="00AA587E" w:rsidP="00AA587E">
            <w:pPr>
              <w:rPr>
                <w:sz w:val="22"/>
                <w:szCs w:val="22"/>
                <w:lang w:val="en-AU"/>
              </w:rPr>
            </w:pPr>
          </w:p>
        </w:tc>
      </w:tr>
    </w:tbl>
    <w:p w14:paraId="65570D0F" w14:textId="77777777" w:rsidR="00AA587E" w:rsidRPr="00AA587E" w:rsidRDefault="00AA587E" w:rsidP="00AA587E">
      <w:pPr>
        <w:rPr>
          <w:lang w:val="en-AU"/>
        </w:rPr>
      </w:pPr>
      <w:r w:rsidRPr="00AA587E">
        <w:rPr>
          <w:lang w:val="en-AU"/>
        </w:rPr>
        <w:pict w14:anchorId="6047C443">
          <v:rect id="_x0000_i1127" style="width:0;height:1.5pt" o:hralign="center" o:hrstd="t" o:hr="t" fillcolor="#a0a0a0" stroked="f"/>
        </w:pict>
      </w:r>
    </w:p>
    <w:p w14:paraId="579CDFC6" w14:textId="77777777" w:rsidR="00AA587E" w:rsidRPr="00AA587E" w:rsidRDefault="00AA587E" w:rsidP="00AA587E">
      <w:pPr>
        <w:rPr>
          <w:b/>
          <w:bCs/>
          <w:lang w:val="en-AU"/>
        </w:rPr>
      </w:pPr>
      <w:r w:rsidRPr="00AA587E">
        <w:rPr>
          <w:b/>
          <w:bCs/>
          <w:lang w:val="en-AU"/>
        </w:rPr>
        <w:lastRenderedPageBreak/>
        <w:t>3.3 AI Maturity Heatmap</w:t>
      </w:r>
    </w:p>
    <w:p w14:paraId="38419B47" w14:textId="77777777" w:rsidR="00AA587E" w:rsidRPr="00AA587E" w:rsidRDefault="00AA587E" w:rsidP="00AA587E">
      <w:pPr>
        <w:rPr>
          <w:lang w:val="en-AU"/>
        </w:rPr>
      </w:pPr>
      <w:r w:rsidRPr="00AA587E">
        <w:rPr>
          <w:lang w:val="en-AU"/>
        </w:rPr>
        <w:t>The heatmap below provides a detailed visual representation of performance across all assessed questions.</w:t>
      </w:r>
    </w:p>
    <w:p w14:paraId="47EEBF4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Rows</w:t>
      </w:r>
      <w:r w:rsidRPr="00AA587E">
        <w:rPr>
          <w:lang w:val="en-AU"/>
        </w:rPr>
        <w:t xml:space="preserve"> represent AI maturity domains</w:t>
      </w:r>
    </w:p>
    <w:p w14:paraId="2D2D8B8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Columns</w:t>
      </w:r>
      <w:r w:rsidRPr="00AA587E">
        <w:rPr>
          <w:lang w:val="en-AU"/>
        </w:rPr>
        <w:t xml:space="preserve"> represent individual assessment questions</w:t>
      </w:r>
    </w:p>
    <w:p w14:paraId="474F3188" w14:textId="77777777" w:rsidR="00AA587E" w:rsidRPr="00AA587E" w:rsidRDefault="00AA587E" w:rsidP="00AA587E">
      <w:pPr>
        <w:pStyle w:val="ListParagraph"/>
        <w:numPr>
          <w:ilvl w:val="0"/>
          <w:numId w:val="14"/>
        </w:numPr>
        <w:spacing w:before="120" w:after="120"/>
        <w:contextualSpacing w:val="0"/>
        <w:rPr>
          <w:lang w:val="en-AU"/>
        </w:rPr>
      </w:pPr>
      <w:r w:rsidRPr="00AA587E">
        <w:rPr>
          <w:lang w:val="en-AU"/>
        </w:rPr>
        <w:t>Colours indicate relative maturity levels, from lowest to highest</w:t>
      </w:r>
    </w:p>
    <w:p w14:paraId="442C06AC" w14:textId="1F27CFEB" w:rsidR="00AA587E" w:rsidRPr="00AA587E" w:rsidRDefault="00CD4692" w:rsidP="00AA587E">
      <w:pPr>
        <w:ind w:left="360"/>
        <w:jc w:val="center"/>
        <w:rPr>
          <w:lang w:val="en-AU"/>
        </w:rPr>
      </w:pPr>
      <w:r>
        <w:rPr>
          <w:lang w:val="en-AU"/>
        </w:rPr>
        <w:t xml:space="preserve"/>
      </w:r>
      <w:r>
        <w:drawing>
          <wp:inline xmlns:a="http://schemas.openxmlformats.org/drawingml/2006/main" xmlns:pic="http://schemas.openxmlformats.org/drawingml/2006/picture">
            <wp:extent cx="5733288" cy="6170355"/>
            <wp:docPr id="100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33288" cy="6170355"/>
                    </a:xfrm>
                    <a:prstGeom prst="rect"/>
                  </pic:spPr>
                </pic:pic>
              </a:graphicData>
            </a:graphic>
          </wp:inline>
        </w:drawing>
      </w:r>
      <w:r>
        <w:t xml:space="preserve"/>
      </w:r>
    </w:p>
    <w:p w14:paraId="6808CD46" w14:textId="63FB58C7" w:rsidR="00AA587E" w:rsidRPr="00AA587E" w:rsidRDefault="00AA587E" w:rsidP="00AA587E">
      <w:pPr>
        <w:ind w:left="720"/>
        <w:jc w:val="center"/>
        <w:rPr>
          <w:lang w:val="en-AU"/>
        </w:rPr>
      </w:pPr>
      <w:r w:rsidRPr="00AA587E">
        <w:rPr>
          <w:i/>
          <w:iCs/>
          <w:lang w:val="en-AU"/>
        </w:rPr>
        <w:t xml:space="preserve">Figure 1. </w:t>
      </w:r>
      <w:r w:rsidR="00CD4692">
        <w:rPr>
          <w:i/>
          <w:iCs/>
          <w:lang w:val="en-AU"/>
        </w:rPr>
        <w:t xml:space="preserve">vCISO.One</w:t>
      </w:r>
      <w:r w:rsidRPr="00AA587E">
        <w:rPr>
          <w:i/>
          <w:iCs/>
          <w:lang w:val="en-AU"/>
        </w:rPr>
        <w:t xml:space="preserve"> AI System Maturity Heatmap</w:t>
      </w:r>
    </w:p>
    <w:p w14:paraId="34B7D9A3" w14:textId="77777777" w:rsidR="00AA587E" w:rsidRPr="00AA587E" w:rsidRDefault="00AA587E" w:rsidP="00AA587E">
      <w:pPr>
        <w:rPr>
          <w:lang w:val="en-AU"/>
        </w:rPr>
      </w:pPr>
      <w:r w:rsidRPr="00AA587E">
        <w:rPr>
          <w:lang w:val="en-AU"/>
        </w:rPr>
        <w:pict w14:anchorId="3C4119FA">
          <v:rect id="_x0000_i1128" style="width:0;height:1.5pt" o:hralign="center" o:hrstd="t" o:hr="t" fillcolor="#a0a0a0" stroked="f"/>
        </w:pict>
      </w:r>
    </w:p>
    <w:p w14:paraId="0C250893" w14:textId="77777777" w:rsidR="00AA587E" w:rsidRPr="00AA587E" w:rsidRDefault="00AA587E" w:rsidP="00AA587E">
      <w:pPr>
        <w:rPr>
          <w:b/>
          <w:bCs/>
          <w:lang w:val="en-AU"/>
        </w:rPr>
      </w:pPr>
      <w:r w:rsidRPr="00AA587E">
        <w:rPr>
          <w:b/>
          <w:bCs/>
          <w:lang w:val="en-AU"/>
        </w:rPr>
        <w:t>3.4 Maturity Distribution</w:t>
      </w:r>
    </w:p>
    <w:p w14:paraId="03C6B863" w14:textId="77777777" w:rsidR="00AA587E" w:rsidRPr="00B76B32" w:rsidRDefault="00AA587E" w:rsidP="00AA587E">
      <w:pPr>
        <w:rPr>
          <w:highlight w:val="yellow"/>
          <w:lang w:val="en-AU"/>
        </w:rPr>
      </w:pPr>
      <w:r w:rsidRPr="00B76B32">
        <w:rPr>
          <w:highlight w:val="yellow"/>
          <w:lang w:val="en-AU"/>
        </w:rPr>
        <w:t>The distribution of maturity levels across all assessed questions is summarised below.</w:t>
      </w:r>
    </w:p>
    <w:p w14:paraId="799C5E4A" w14:textId="09BAA363" w:rsidR="00AA587E" w:rsidRPr="00B76B32" w:rsidRDefault="00AA587E" w:rsidP="00AA587E">
      <w:pPr>
        <w:numPr>
          <w:ilvl w:val="0"/>
          <w:numId w:val="8"/>
        </w:numPr>
        <w:rPr>
          <w:highlight w:val="yellow"/>
          <w:lang w:val="en-AU"/>
        </w:rPr>
      </w:pPr>
      <w:r w:rsidRPr="00B76B32">
        <w:rPr>
          <w:b/>
          <w:bCs/>
          <w:highlight w:val="yellow"/>
          <w:lang w:val="en-AU"/>
        </w:rPr>
        <w:t>Non-Ideal:</w:t>
      </w:r>
      <w:r w:rsidRPr="00B76B32">
        <w:rPr>
          <w:highlight w:val="yellow"/>
          <w:lang w:val="en-AU"/>
        </w:rPr>
        <w:t xml:space="preserve"> </w:t>
      </w:r>
      <w:r w:rsidR="00CD4692">
        <w:rPr>
          <w:highlight w:val="yellow"/>
          <w:lang w:val="en-AU"/>
        </w:rPr>
        <w:t xml:space="preserve">8</w:t>
      </w:r>
      <w:r w:rsidRPr="00B76B32">
        <w:rPr>
          <w:highlight w:val="yellow"/>
          <w:lang w:val="en-AU"/>
        </w:rPr>
        <w:t xml:space="preserve"> questions</w:t>
      </w:r>
    </w:p>
    <w:p w14:paraId="7EDA4327" w14:textId="14868A09" w:rsidR="00AA587E" w:rsidRPr="00B76B32" w:rsidRDefault="00AA587E" w:rsidP="00AA587E">
      <w:pPr>
        <w:numPr>
          <w:ilvl w:val="0"/>
          <w:numId w:val="8"/>
        </w:numPr>
        <w:rPr>
          <w:highlight w:val="yellow"/>
          <w:lang w:val="en-AU"/>
        </w:rPr>
      </w:pPr>
      <w:r w:rsidRPr="00B76B32">
        <w:rPr>
          <w:b/>
          <w:bCs/>
          <w:highlight w:val="yellow"/>
          <w:lang w:val="en-AU"/>
        </w:rPr>
        <w:t>Basic:</w:t>
      </w:r>
      <w:r w:rsidRPr="00B76B32">
        <w:rPr>
          <w:highlight w:val="yellow"/>
          <w:lang w:val="en-AU"/>
        </w:rPr>
        <w:t xml:space="preserve"> </w:t>
      </w:r>
      <w:r w:rsidR="00CD4692">
        <w:rPr>
          <w:highlight w:val="yellow"/>
          <w:lang w:val="en-AU"/>
        </w:rPr>
        <w:t xml:space="preserve">22</w:t>
      </w:r>
      <w:r w:rsidRPr="00B76B32">
        <w:rPr>
          <w:highlight w:val="yellow"/>
          <w:lang w:val="en-AU"/>
        </w:rPr>
        <w:t xml:space="preserve"> questions</w:t>
      </w:r>
    </w:p>
    <w:p w14:paraId="164F1C31" w14:textId="70B7B735" w:rsidR="00AA587E" w:rsidRPr="00B76B32" w:rsidRDefault="00AA587E" w:rsidP="00AA587E">
      <w:pPr>
        <w:numPr>
          <w:ilvl w:val="0"/>
          <w:numId w:val="8"/>
        </w:numPr>
        <w:rPr>
          <w:highlight w:val="yellow"/>
          <w:lang w:val="en-AU"/>
        </w:rPr>
      </w:pPr>
      <w:r w:rsidRPr="00B76B32">
        <w:rPr>
          <w:b/>
          <w:bCs/>
          <w:highlight w:val="yellow"/>
          <w:lang w:val="en-AU"/>
        </w:rPr>
        <w:t>Good:</w:t>
      </w:r>
      <w:r w:rsidRPr="00B76B32">
        <w:rPr>
          <w:highlight w:val="yellow"/>
          <w:lang w:val="en-AU"/>
        </w:rPr>
        <w:t xml:space="preserve"> </w:t>
      </w:r>
      <w:r w:rsidR="00CD4692">
        <w:rPr>
          <w:highlight w:val="yellow"/>
          <w:lang w:val="en-AU"/>
        </w:rPr>
        <w:t xml:space="preserve">31</w:t>
      </w:r>
      <w:r w:rsidRPr="00B76B32">
        <w:rPr>
          <w:highlight w:val="yellow"/>
          <w:lang w:val="en-AU"/>
        </w:rPr>
        <w:t xml:space="preserve"> questions</w:t>
      </w:r>
    </w:p>
    <w:p w14:paraId="73F9425D" w14:textId="347E486E" w:rsidR="00AA587E" w:rsidRPr="00B76B32" w:rsidRDefault="00AA587E" w:rsidP="00AA587E">
      <w:pPr>
        <w:numPr>
          <w:ilvl w:val="0"/>
          <w:numId w:val="8"/>
        </w:numPr>
        <w:rPr>
          <w:highlight w:val="yellow"/>
          <w:lang w:val="en-AU"/>
        </w:rPr>
      </w:pPr>
      <w:r w:rsidRPr="00B76B32">
        <w:rPr>
          <w:b/>
          <w:bCs/>
          <w:highlight w:val="yellow"/>
          <w:lang w:val="en-AU"/>
        </w:rPr>
        <w:t>Advanced:</w:t>
      </w:r>
      <w:r w:rsidRPr="00B76B32">
        <w:rPr>
          <w:highlight w:val="yellow"/>
          <w:lang w:val="en-AU"/>
        </w:rPr>
        <w:t xml:space="preserve"> </w:t>
      </w:r>
      <w:r w:rsidR="00CD4692">
        <w:rPr>
          <w:highlight w:val="yellow"/>
          <w:lang w:val="en-AU"/>
        </w:rPr>
        <w:t xml:space="preserve">27</w:t>
      </w:r>
      <w:r w:rsidRPr="00B76B32">
        <w:rPr>
          <w:highlight w:val="yellow"/>
          <w:lang w:val="en-AU"/>
        </w:rPr>
        <w:t xml:space="preserve"> questions</w:t>
      </w:r>
    </w:p>
    <w:p w14:paraId="3C73DD53" w14:textId="77777777" w:rsidR="00AA587E" w:rsidRPr="00B76B32" w:rsidRDefault="00AA587E" w:rsidP="00B76B32">
      <w:pPr>
        <w:rPr>
          <w:highlight w:val="yellow"/>
          <w:lang w:val="en-AU"/>
        </w:rPr>
      </w:pPr>
      <w:r w:rsidRPr="00B76B32">
        <w:rPr>
          <w:highlight w:val="yellow"/>
          <w:lang w:val="en-AU"/>
        </w:rPr>
        <w:t>This distribution highlights how maturity is currently spread across foundational, developing, and more advanced practices.</w:t>
      </w:r>
    </w:p>
    <w:p w14:paraId="43FE9697" w14:textId="77777777" w:rsidR="00AA587E" w:rsidRPr="00AA587E" w:rsidRDefault="00AA587E" w:rsidP="00AA587E">
      <w:pPr>
        <w:rPr>
          <w:lang w:val="en-AU"/>
        </w:rPr>
      </w:pPr>
      <w:r w:rsidRPr="00AA587E">
        <w:rPr>
          <w:lang w:val="en-AU"/>
        </w:rPr>
        <w:pict w14:anchorId="288E6B48">
          <v:rect id="_x0000_i1129" style="width:0;height:1.5pt" o:hralign="center" o:hrstd="t" o:hr="t" fillcolor="#a0a0a0" stroked="f"/>
        </w:pict>
      </w:r>
    </w:p>
    <w:p w14:paraId="18E3E5BE" w14:textId="77777777" w:rsidR="00AA587E" w:rsidRPr="00AA587E" w:rsidRDefault="00AA587E" w:rsidP="00AA587E">
      <w:pPr>
        <w:rPr>
          <w:b/>
          <w:bCs/>
          <w:lang w:val="en-AU"/>
        </w:rPr>
      </w:pPr>
      <w:r w:rsidRPr="00AA587E">
        <w:rPr>
          <w:b/>
          <w:bCs/>
          <w:lang w:val="en-AU"/>
        </w:rPr>
        <w:t>4. Key Findings &amp; Risk Themes</w:t>
      </w:r>
    </w:p>
    <w:p w14:paraId="79F1570D" w14:textId="78E29D19" w:rsidR="00AA587E" w:rsidRPr="00AA587E" w:rsidRDefault="00CD4692" w:rsidP="00B76B32">
      <w:pPr>
        <w:rPr>
          <w:lang w:val="en-AU"/>
        </w:rPr>
      </w:pPr>
      <w:r>
        <w:rPr>
          <w:lang w:val="en-AU"/>
        </w:rPr>
        <w:t xml:space="preserve">Finding 1: Overall Maturity Indicates Developing State</w:t>
        <w:br/>
        <w:t xml:space="preserve"/>
        <w:br/>
        <w:t xml:space="preserve">Observation: The overall maturity score of 71.9% categorizes the AI system as being in the Developing tier, indicating a level of maturity that requires attention to various factors contributing to effectiveness and governance.</w:t>
        <w:br/>
        <w:t xml:space="preserve"/>
        <w:br/>
        <w:t xml:space="preserve">Evidence: The maturity distribution reveals that out of 88 total questions, 8 are Non-Ideal, 22 are Basic, 31 are Good, and 27 are Advanced. This distribution shows a significant concentration of lower scoring responses, particularly in the Non-Ideal and Basic ranges.</w:t>
        <w:br/>
        <w:t xml:space="preserve"/>
        <w:br/>
        <w:t xml:space="preserve">Risk Implication: Remaining in the Developing tier may expose the system to governance risks and operational inefficiencies. Insufficient maturity could hinder the ability to meet stakeholder expectations and affect decision-making based on AI outputs.</w:t>
        <w:br/>
        <w:t xml:space="preserve"/>
        <w:br/>
        <w:t xml:space="preserve">Finding 2: Strong Performance in Data Integrity and Reliability</w:t>
        <w:br/>
        <w:t xml:space="preserve"/>
        <w:br/>
        <w:t xml:space="preserve">Observation: The assessment reveals that Data Integrity and Reliability each achieved a high score of 84%, representing the strongest domains within the maturity framework.</w:t>
        <w:br/>
        <w:t xml:space="preserve"/>
        <w:br/>
        <w:t xml:space="preserve">Evidence: Data Integrity and Reliability have notably low concentrations of low-scoring questions, with only 2 and 1 low-scoring items respectively. These domains exhibit a healthier distribution of scores compared to others.</w:t>
        <w:br/>
        <w:t xml:space="preserve"/>
        <w:br/>
        <w:t xml:space="preserve">Risk Implication: The strengths in Data Integrity and Reliability suggest a robust foundation on which to build further improvements. However, if the focus remains limited to these areas without addressing weaker domains, the overall system reliability and efficacy may still be compromised by unaddressed vulnerabilities.</w:t>
        <w:br/>
        <w:t xml:space="preserve"/>
        <w:br/>
        <w:t xml:space="preserve">Finding 3: Significant Gaps in Safety, Sustainability, and Inclusivity</w:t>
        <w:br/>
        <w:t xml:space="preserve"/>
        <w:br/>
        <w:t xml:space="preserve">Observation: The lowest scores are found in Safety (69%), Sustainability (66%), and Inclusivity (56%), highlighting critical vulnerabilities that require urgent attention.</w:t>
        <w:br/>
        <w:t xml:space="preserve"/>
        <w:br/>
        <w:t xml:space="preserve">Evidence: The concentration of low scores in Inclusivity, with 4 questions rated low, suggests systemic weaknesses that can significantly impact user engagement and system adoption. Sustainability also shows a need for focus due to a similarly low score and cluster of low-performing questions.</w:t>
        <w:br/>
        <w:t xml:space="preserve"/>
        <w:br/>
        <w:t xml:space="preserve">Risk Implication: Failure to elevate performance in Safety, Sustainability, and Inclusivity may present operational risks and could lead to failures in user trust and acceptance. Addressing these gaps is crucial for ensuring long-term viability and ethical compliance.</w:t>
        <w:br/>
        <w:t xml:space="preserve"/>
        <w:br/>
        <w:t xml:space="preserve">Finding 4: Concentration of High-Priority Actions Reflects Critical Improvement Areas</w:t>
        <w:br/>
        <w:t xml:space="preserve"/>
        <w:br/>
        <w:t xml:space="preserve">Observation: The assessment identifies 8 high-priority actions that correlate with the most significant gaps in performance, particularly related to Inclusivity and Sustainability.</w:t>
        <w:br/>
        <w:t xml:space="preserve"/>
        <w:br/>
        <w:t xml:space="preserve">Evidence: High-priority actions predominantly target areas such as Inclusivity and Sustainability, which have the lowest maturity scores. This reflects an acknowledgment of the need for immediate improvement, particularly with actions including stakeholder engagement and algorithm optimization.</w:t>
        <w:br/>
        <w:t xml:space="preserve"/>
        <w:br/>
        <w:t xml:space="preserve">Risk Implication: Concentration on these high-priority actions indicates a recognition of the most pressing weaknesses within the AI system. However, if not actively pursued, the identified risks may lead to operational failures and reputational damage, compromising the system’s overall effectiveness and stakeholder trust. </w:t>
        <w:br/>
        <w:t xml:space="preserve"/>
        <w:br/>
        <w:t xml:space="preserve">Finding 5: Lifecycle Stage Impacts Maturity Assessment</w:t>
        <w:br/>
        <w:t xml:space="preserve"/>
        <w:br/>
        <w:t xml:space="preserve">Observation: The AI system is currently in the development stage, which influences its maturity assessment outcomes and highlights inherent opportunities and challenges.</w:t>
        <w:br/>
        <w:t xml:space="preserve"/>
        <w:br/>
        <w:t xml:space="preserve">Evidence: The overall score of 71.9% reflects the development stage where foundational elements are being established, yet this stage also coincides with the clustering of questions scoring lower in essential areas such as Inclusivity and Sustainability.</w:t>
        <w:br/>
        <w:t xml:space="preserve"/>
        <w:br/>
        <w:t xml:space="preserve">Risk Implication: While being in the development stage presents opportunities for adjustments and enhancements, stagnation or insufficient focus on improving identified gaps may result in systemic risks that could hinder the implementation of the AI system into broader operational contexts. This could lead to challenges in scaling and effectiveness once deployed.</w:t>
      </w:r>
    </w:p>
    <w:p w14:paraId="3AA5944B" w14:textId="77777777" w:rsidR="00AA587E" w:rsidRPr="00AA587E" w:rsidRDefault="00AA587E" w:rsidP="00AA587E">
      <w:pPr>
        <w:rPr>
          <w:lang w:val="en-AU"/>
        </w:rPr>
      </w:pPr>
      <w:r w:rsidRPr="00AA587E">
        <w:rPr>
          <w:lang w:val="en-AU"/>
        </w:rPr>
        <w:pict w14:anchorId="7AB66C5D">
          <v:rect id="_x0000_i1130" style="width:0;height:1.5pt" o:hralign="center" o:hrstd="t" o:hr="t" fillcolor="#a0a0a0" stroked="f"/>
        </w:pict>
      </w:r>
    </w:p>
    <w:p w14:paraId="7D36E3C6" w14:textId="77777777" w:rsidR="00AA587E" w:rsidRPr="00AA587E" w:rsidRDefault="00AA587E" w:rsidP="00AA587E">
      <w:pPr>
        <w:rPr>
          <w:b/>
          <w:bCs/>
          <w:lang w:val="en-AU"/>
        </w:rPr>
      </w:pPr>
      <w:r w:rsidRPr="00AA587E">
        <w:rPr>
          <w:b/>
          <w:bCs/>
          <w:lang w:val="en-AU"/>
        </w:rPr>
        <w:t>5. Recommendations</w:t>
      </w:r>
    </w:p>
    <w:p w14:paraId="3DCD1DAA" w14:textId="77777777" w:rsidR="00AA587E" w:rsidRPr="00AA587E" w:rsidRDefault="00AA587E" w:rsidP="00B76B32">
      <w:pPr>
        <w:rPr>
          <w:lang w:val="en-AU"/>
        </w:rPr>
      </w:pPr>
      <w:r w:rsidRPr="00AA587E">
        <w:rPr>
          <w:lang w:val="en-AU"/>
        </w:rPr>
        <w:t>Based on the assessment results, the following recommendations are prioritised to support progressive improvement in AI governance, risk management, and operational maturity.</w:t>
      </w:r>
    </w:p>
    <w:p w14:paraId="00F7CA9E" w14:textId="77777777" w:rsidR="00AA587E" w:rsidRPr="00AA587E" w:rsidRDefault="00AA587E" w:rsidP="00AA587E">
      <w:pPr>
        <w:rPr>
          <w:lang w:val="en-AU"/>
        </w:rPr>
      </w:pPr>
      <w:r w:rsidRPr="00AA587E">
        <w:rPr>
          <w:lang w:val="en-AU"/>
        </w:rPr>
        <w:pict w14:anchorId="4368295D">
          <v:rect id="_x0000_i1131" style="width:0;height:1.5pt" o:hralign="center" o:hrstd="t" o:hr="t" fillcolor="#a0a0a0" stroked="f"/>
        </w:pict>
      </w:r>
    </w:p>
    <w:p w14:paraId="3D24CA4B" w14:textId="77777777" w:rsidR="00AA587E" w:rsidRPr="00AA587E" w:rsidRDefault="00AA587E" w:rsidP="00AA587E">
      <w:pPr>
        <w:rPr>
          <w:b/>
          <w:bCs/>
          <w:lang w:val="en-AU"/>
        </w:rPr>
      </w:pPr>
      <w:r w:rsidRPr="00AA587E">
        <w:rPr>
          <w:b/>
          <w:bCs/>
          <w:lang w:val="en-AU"/>
        </w:rPr>
        <w:t>5.1 High Priority Recommendations</w:t>
      </w:r>
    </w:p>
    <w:p w14:paraId="4771703F" w14:textId="77777777" w:rsidR="00AA587E" w:rsidRPr="00AA587E" w:rsidRDefault="00AA587E" w:rsidP="00B76B32">
      <w:pPr>
        <w:rPr>
          <w:lang w:val="en-AU"/>
        </w:rPr>
      </w:pPr>
      <w:r w:rsidRPr="00AA587E">
        <w:rPr>
          <w:lang w:val="en-AU"/>
        </w:rPr>
        <w:t>High Priority recommendations address critical gaps identified through low-scoring questions and represent areas requiring urgent attention to mitigate risk.</w:t>
      </w:r>
    </w:p>
    <w:p w14:paraId="65EBED63" w14:textId="77777777" w:rsidR="00AA587E" w:rsidRPr="00AA587E" w:rsidRDefault="00AA587E" w:rsidP="00B76B32">
      <w:pPr>
        <w:rPr>
          <w:lang w:val="en-AU"/>
        </w:rPr>
      </w:pPr>
      <w:r w:rsidRPr="00AA587E">
        <w:rPr>
          <w:b/>
          <w:bCs/>
          <w:lang w:val="en-AU"/>
        </w:rPr>
        <w:t>Summary</w:t>
      </w:r>
    </w:p>
    <w:p w14:paraId="26FEDA44" w14:textId="48DE98F0"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Number of High Priority actions: </w:t>
      </w:r>
      <w:r w:rsidR="00CD4692">
        <w:rPr>
          <w:lang w:val="en-AU"/>
        </w:rPr>
        <w:t xml:space="preserve">8</w:t>
      </w:r>
    </w:p>
    <w:p w14:paraId="1A081A61" w14:textId="2E829217"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Dominant risk themes: </w:t>
      </w:r>
      <w:r w:rsidR="00CD4692">
        <w:rPr>
          <w:lang w:val="en-AU"/>
        </w:rPr>
        <w:t xml:space="preserve">Environmental  Long-term Risk, Accessibility  Equity Risk, Bias  Discrimination Risk, Data Quality  Lineage Risk, Cybersecurity  Access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5BE004F2" w14:textId="77777777" w:rsidTr="00B76B32">
        <w:trPr>
          <w:tblHeader/>
        </w:trPr>
        <w:tc>
          <w:tcPr>
            <w:tcW w:w="725" w:type="pct"/>
            <w:shd w:val="clear" w:color="auto" w:fill="D9D9D9" w:themeFill="background1" w:themeFillShade="D9"/>
            <w:vAlign w:val="center"/>
            <w:hideMark/>
          </w:tcPr>
          <w:p w14:paraId="43E8AD24" w14:textId="77777777" w:rsidR="00AA587E" w:rsidRPr="00B76B32" w:rsidRDefault="00AA587E" w:rsidP="00AA587E">
            <w:pPr>
              <w:rPr>
                <w:b/>
                <w:bCs/>
                <w:sz w:val="22"/>
                <w:szCs w:val="22"/>
                <w:lang w:val="en-AU"/>
              </w:rPr>
            </w:pPr>
            <w:r w:rsidRPr="00B76B32">
              <w:rPr>
                <w:b/>
                <w:bCs/>
                <w:sz w:val="22"/>
                <w:szCs w:val="22"/>
                <w:lang w:val="en-AU"/>
              </w:rPr>
              <w:lastRenderedPageBreak/>
              <w:t>Domain</w:t>
            </w:r>
          </w:p>
        </w:tc>
        <w:tc>
          <w:tcPr>
            <w:tcW w:w="933" w:type="pct"/>
            <w:shd w:val="clear" w:color="auto" w:fill="D9D9D9" w:themeFill="background1" w:themeFillShade="D9"/>
            <w:vAlign w:val="center"/>
            <w:hideMark/>
          </w:tcPr>
          <w:p w14:paraId="504716DE"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524525DA"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41CA08EB"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7EC4E859"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63129B63"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5BE004F2" w14:textId="77777777" w:rsidTr="00B76B32">
        <w:trPr>
          <w:tblHeader/>
        </w:trPr>
        <w:tc>
          <w:tcPr>
            <w:tcW w:w="725" w:type="pct"/>
            <w:vAlign w:val="center"/>
            <w:hideMark/>
          </w:tcPr>
          <w:p>
            <w:r>
              <w:rPr>
                <w:rFonts w:ascii="Arial" w:hAnsi="Arial"/>
                <w:sz w:val="20"/>
              </w:rPr>
              <w:t>Inclusivity</w:t>
            </w:r>
          </w:p>
        </w:tc>
        <w:tc>
          <w:tcPr>
            <w:tcW w:w="933" w:type="pct"/>
            <w:vAlign w:val="center"/>
            <w:hideMark/>
          </w:tcPr>
          <w:p>
            <w:r>
              <w:rPr>
                <w:rFonts w:ascii="Arial" w:hAnsi="Arial"/>
                <w:sz w:val="20"/>
              </w:rPr>
              <w:t>IN-2</w:t>
            </w:r>
          </w:p>
        </w:tc>
        <w:tc>
          <w:tcPr>
            <w:tcW w:w="970" w:type="pct"/>
            <w:vAlign w:val="center"/>
            <w:hideMark/>
          </w:tcPr>
          <w:p>
            <w:r>
              <w:rPr>
                <w:rFonts w:ascii="Arial" w:hAnsi="Arial"/>
                <w:sz w:val="20"/>
              </w:rPr>
              <w:t>Actively engage stakeholders from diverse backgrounds and incorporate their input throughout the design and development process.</w:t>
            </w:r>
          </w:p>
        </w:tc>
      </w:tr>
      <w:tr w:rsidR="00AA587E" w:rsidRPr="00B76B32" w14:paraId="5BE004F2" w14:textId="77777777" w:rsidTr="00B76B32">
        <w:trPr>
          <w:tblHeader/>
        </w:trPr>
        <w:tc>
          <w:tcPr>
            <w:tcW w:w="725" w:type="pct"/>
            <w:vAlign w:val="center"/>
            <w:hideMark/>
          </w:tcPr>
          <w:p>
            <w:r>
              <w:rPr>
                <w:rFonts w:ascii="Arial" w:hAnsi="Arial"/>
                <w:sz w:val="20"/>
              </w:rPr>
              <w:t>Inclusivity</w:t>
            </w:r>
          </w:p>
        </w:tc>
        <w:tc>
          <w:tcPr>
            <w:tcW w:w="933" w:type="pct"/>
            <w:vAlign w:val="center"/>
            <w:hideMark/>
          </w:tcPr>
          <w:p>
            <w:r>
              <w:rPr>
                <w:rFonts w:ascii="Arial" w:hAnsi="Arial"/>
                <w:sz w:val="20"/>
              </w:rPr>
              <w:t>IN-6</w:t>
            </w:r>
          </w:p>
        </w:tc>
        <w:tc>
          <w:tcPr>
            <w:tcW w:w="970" w:type="pct"/>
            <w:vAlign w:val="center"/>
            <w:hideMark/>
          </w:tcPr>
          <w:p>
            <w:r>
              <w:rPr>
                <w:rFonts w:ascii="Arial" w:hAnsi="Arial"/>
                <w:sz w:val="20"/>
              </w:rPr>
              <w:t>Design the system with features and strategies specifically tailored to meet the needs of underrepresented communities (e.g., offline functionality, low-resource language support).</w:t>
            </w:r>
          </w:p>
        </w:tc>
      </w:tr>
      <w:tr w:rsidR="00AA587E" w:rsidRPr="00B76B32" w14:paraId="5BE004F2" w14:textId="77777777" w:rsidTr="00B76B32">
        <w:trPr>
          <w:tblHeader/>
        </w:trPr>
        <w:tc>
          <w:tcPr>
            <w:tcW w:w="725" w:type="pct"/>
            <w:vAlign w:val="center"/>
            <w:hideMark/>
          </w:tcPr>
          <w:p>
            <w:r>
              <w:rPr>
                <w:rFonts w:ascii="Arial" w:hAnsi="Arial"/>
                <w:sz w:val="20"/>
              </w:rPr>
              <w:t>Inclusivity</w:t>
            </w:r>
          </w:p>
        </w:tc>
        <w:tc>
          <w:tcPr>
            <w:tcW w:w="933" w:type="pct"/>
            <w:vAlign w:val="center"/>
            <w:hideMark/>
          </w:tcPr>
          <w:p>
            <w:r>
              <w:rPr>
                <w:rFonts w:ascii="Arial" w:hAnsi="Arial"/>
                <w:sz w:val="20"/>
              </w:rPr>
              <w:t>IN-7</w:t>
            </w:r>
          </w:p>
        </w:tc>
        <w:tc>
          <w:tcPr>
            <w:tcW w:w="970" w:type="pct"/>
            <w:vAlign w:val="center"/>
            <w:hideMark/>
          </w:tcPr>
          <w:p>
            <w:r>
              <w:rPr>
                <w:rFonts w:ascii="Arial" w:hAnsi="Arial"/>
                <w:sz w:val="20"/>
              </w:rPr>
              <w:t>Design the system with full localization, including support for multiple languages, cultural nuances, and region-specific needs.</w:t>
            </w:r>
          </w:p>
        </w:tc>
      </w:tr>
      <w:tr w:rsidR="00AA587E" w:rsidRPr="00B76B32" w14:paraId="5BE004F2" w14:textId="77777777" w:rsidTr="00B76B32">
        <w:trPr>
          <w:tblHeader/>
        </w:trPr>
        <w:tc>
          <w:tcPr>
            <w:tcW w:w="725" w:type="pct"/>
            <w:vAlign w:val="center"/>
            <w:hideMark/>
          </w:tcPr>
          <w:p>
            <w:r>
              <w:rPr>
                <w:rFonts w:ascii="Arial" w:hAnsi="Arial"/>
                <w:sz w:val="20"/>
              </w:rPr>
              <w:t>Sustainability</w:t>
            </w:r>
          </w:p>
        </w:tc>
        <w:tc>
          <w:tcPr>
            <w:tcW w:w="933" w:type="pct"/>
            <w:vAlign w:val="center"/>
            <w:hideMark/>
          </w:tcPr>
          <w:p>
            <w:r>
              <w:rPr>
                <w:rFonts w:ascii="Arial" w:hAnsi="Arial"/>
                <w:sz w:val="20"/>
              </w:rPr>
              <w:t>SU-2</w:t>
            </w:r>
          </w:p>
        </w:tc>
        <w:tc>
          <w:tcPr>
            <w:tcW w:w="970" w:type="pct"/>
            <w:vAlign w:val="center"/>
            <w:hideMark/>
          </w:tcPr>
          <w:p>
            <w:r>
              <w:rPr>
                <w:rFonts w:ascii="Arial" w:hAnsi="Arial"/>
                <w:sz w:val="20"/>
              </w:rPr>
              <w:t>Actively optimize algorithms for efficiency using advanced techniques like pruning, quantization, or model distillation.</w:t>
            </w:r>
          </w:p>
        </w:tc>
      </w:tr>
      <w:tr w:rsidR="00AA587E" w:rsidRPr="00B76B32" w14:paraId="5BE004F2" w14:textId="77777777" w:rsidTr="00B76B32">
        <w:trPr>
          <w:tblHeader/>
        </w:trPr>
        <w:tc>
          <w:tcPr>
            <w:tcW w:w="725" w:type="pct"/>
            <w:vAlign w:val="center"/>
            <w:hideMark/>
          </w:tcPr>
          <w:p>
            <w:r>
              <w:rPr>
                <w:rFonts w:ascii="Arial" w:hAnsi="Arial"/>
                <w:sz w:val="20"/>
              </w:rPr>
              <w:t>Explainability</w:t>
            </w:r>
          </w:p>
        </w:tc>
        <w:tc>
          <w:tcPr>
            <w:tcW w:w="933" w:type="pct"/>
            <w:vAlign w:val="center"/>
            <w:hideMark/>
          </w:tcPr>
          <w:p>
            <w:r>
              <w:rPr>
                <w:rFonts w:ascii="Arial" w:hAnsi="Arial"/>
                <w:sz w:val="20"/>
              </w:rPr>
              <w:t>EX-3</w:t>
            </w:r>
          </w:p>
        </w:tc>
        <w:tc>
          <w:tcPr>
            <w:tcW w:w="970" w:type="pct"/>
            <w:vAlign w:val="center"/>
            <w:hideMark/>
          </w:tcPr>
          <w:p>
            <w:r>
              <w:rPr>
                <w:rFonts w:ascii="Arial" w:hAnsi="Arial"/>
                <w:sz w:val="20"/>
              </w:rPr>
              <w:t>Provide multiple explanation formats (e.g., graphs for analysts, text summaries for end-users) tailored to the needs of diverse audiences.</w:t>
            </w:r>
          </w:p>
        </w:tc>
      </w:tr>
      <w:tr w:rsidR="00AA587E" w:rsidRPr="00B76B32" w14:paraId="5BE004F2" w14:textId="77777777" w:rsidTr="00B76B32">
        <w:trPr>
          <w:tblHeader/>
        </w:trPr>
        <w:tc>
          <w:tcPr>
            <w:tcW w:w="725" w:type="pct"/>
            <w:vAlign w:val="center"/>
            <w:hideMark/>
          </w:tcPr>
          <w:p>
            <w:r>
              <w:rPr>
                <w:rFonts w:ascii="Arial" w:hAnsi="Arial"/>
                <w:sz w:val="20"/>
              </w:rPr>
              <w:t>Fairness</w:t>
            </w:r>
          </w:p>
        </w:tc>
        <w:tc>
          <w:tcPr>
            <w:tcW w:w="933" w:type="pct"/>
            <w:vAlign w:val="center"/>
            <w:hideMark/>
          </w:tcPr>
          <w:p>
            <w:r>
              <w:rPr>
                <w:rFonts w:ascii="Arial" w:hAnsi="Arial"/>
                <w:sz w:val="20"/>
              </w:rPr>
              <w:t>FA-5</w:t>
            </w:r>
          </w:p>
        </w:tc>
        <w:tc>
          <w:tcPr>
            <w:tcW w:w="970" w:type="pct"/>
            <w:vAlign w:val="center"/>
            <w:hideMark/>
          </w:tcPr>
          <w:p>
            <w:r>
              <w:rPr>
                <w:rFonts w:ascii="Arial" w:hAnsi="Arial"/>
                <w:sz w:val="20"/>
              </w:rPr>
              <w:t>Conduct comprehensive testing with real-world data and scenarios before deployment.</w:t>
            </w:r>
          </w:p>
        </w:tc>
      </w:tr>
      <w:tr w:rsidR="00AA587E" w:rsidRPr="00B76B32" w14:paraId="5BE004F2" w14:textId="77777777" w:rsidTr="00B76B32">
        <w:trPr>
          <w:tblHeader/>
        </w:trPr>
        <w:tc>
          <w:tcPr>
            <w:tcW w:w="725" w:type="pct"/>
            <w:vAlign w:val="center"/>
            <w:hideMark/>
          </w:tcPr>
          <w:p>
            <w:r>
              <w:rPr>
                <w:rFonts w:ascii="Arial" w:hAnsi="Arial"/>
                <w:sz w:val="20"/>
              </w:rPr>
              <w:t>Safety</w:t>
            </w:r>
          </w:p>
        </w:tc>
        <w:tc>
          <w:tcPr>
            <w:tcW w:w="933" w:type="pct"/>
            <w:vAlign w:val="center"/>
            <w:hideMark/>
          </w:tcPr>
          <w:p>
            <w:r>
              <w:rPr>
                <w:rFonts w:ascii="Arial" w:hAnsi="Arial"/>
                <w:sz w:val="20"/>
              </w:rPr>
              <w:t>SA-2</w:t>
            </w:r>
          </w:p>
        </w:tc>
        <w:tc>
          <w:tcPr>
            <w:tcW w:w="970" w:type="pct"/>
            <w:vAlign w:val="center"/>
            <w:hideMark/>
          </w:tcPr>
          <w:p>
            <w:r>
              <w:rPr>
                <w:rFonts w:ascii="Arial" w:hAnsi="Arial"/>
                <w:sz w:val="20"/>
              </w:rPr>
              <w:t>Implement proactive risk identification, monitoring, and mitigation strategies, including safety constraints in design.</w:t>
            </w:r>
          </w:p>
        </w:tc>
      </w:tr>
      <w:tr w:rsidR="00AA587E" w:rsidRPr="00B76B32" w14:paraId="5BE004F2" w14:textId="77777777" w:rsidTr="00B76B32">
        <w:trPr>
          <w:tblHeader/>
        </w:trPr>
        <w:tc>
          <w:tcPr>
            <w:tcW w:w="725" w:type="pct"/>
            <w:vAlign w:val="center"/>
            <w:hideMark/>
          </w:tcPr>
          <w:p>
            <w:r>
              <w:rPr>
                <w:rFonts w:ascii="Arial" w:hAnsi="Arial"/>
                <w:sz w:val="20"/>
              </w:rPr>
              <w:t>Transparency</w:t>
            </w:r>
          </w:p>
        </w:tc>
        <w:tc>
          <w:tcPr>
            <w:tcW w:w="933" w:type="pct"/>
            <w:vAlign w:val="center"/>
            <w:hideMark/>
          </w:tcPr>
          <w:p>
            <w:r>
              <w:rPr>
                <w:rFonts w:ascii="Arial" w:hAnsi="Arial"/>
                <w:sz w:val="20"/>
              </w:rPr>
              <w:t>TR-7</w:t>
            </w:r>
          </w:p>
        </w:tc>
        <w:tc>
          <w:tcPr>
            <w:tcW w:w="970" w:type="pct"/>
            <w:vAlign w:val="center"/>
            <w:hideMark/>
          </w:tcPr>
          <w:p>
            <w:r>
              <w:rPr>
                <w:rFonts w:ascii="Arial" w:hAnsi="Arial"/>
                <w:sz w:val="20"/>
              </w:rPr>
              <w:t>Users are clearly notified through explicit messages or labels (e.g., “This is an AI system”).</w:t>
            </w:r>
          </w:p>
        </w:tc>
      </w:tr>
    </w:tbl>
    <w:p w14:paraId="6D9B9FE0" w14:textId="77777777" w:rsidR="00AA587E" w:rsidRPr="00AA587E" w:rsidRDefault="00AA587E" w:rsidP="00AA587E">
      <w:pPr>
        <w:rPr>
          <w:lang w:val="en-AU"/>
        </w:rPr>
      </w:pPr>
      <w:r w:rsidRPr="00AA587E">
        <w:rPr>
          <w:lang w:val="en-AU"/>
        </w:rPr>
        <w:pict w14:anchorId="0E07BF1D">
          <v:rect id="_x0000_i1132" style="width:0;height:1.5pt" o:hralign="center" o:hrstd="t" o:hr="t" fillcolor="#a0a0a0" stroked="f"/>
        </w:pict>
      </w:r>
    </w:p>
    <w:p w14:paraId="06513E7A" w14:textId="77777777" w:rsidR="00AA587E" w:rsidRPr="00AA587E" w:rsidRDefault="00AA587E" w:rsidP="00AA587E">
      <w:pPr>
        <w:rPr>
          <w:b/>
          <w:bCs/>
          <w:lang w:val="en-AU"/>
        </w:rPr>
      </w:pPr>
      <w:r w:rsidRPr="00AA587E">
        <w:rPr>
          <w:b/>
          <w:bCs/>
          <w:lang w:val="en-AU"/>
        </w:rPr>
        <w:t>5.2 Medium Priority Recommendations</w:t>
      </w:r>
    </w:p>
    <w:p w14:paraId="75D68996" w14:textId="77777777" w:rsidR="00AA587E" w:rsidRPr="00AA587E" w:rsidRDefault="00AA587E" w:rsidP="00B76B32">
      <w:pPr>
        <w:rPr>
          <w:lang w:val="en-AU"/>
        </w:rPr>
      </w:pPr>
      <w:r w:rsidRPr="00AA587E">
        <w:rPr>
          <w:lang w:val="en-AU"/>
        </w:rPr>
        <w:t>Medium Priority recommendations address gaps associated with foundational or partially established practices and should be implemented over the medium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653"/>
        <w:gridCol w:w="1719"/>
        <w:gridCol w:w="1518"/>
        <w:gridCol w:w="1078"/>
        <w:gridCol w:w="1608"/>
      </w:tblGrid>
      <w:tr w:rsidR="00AA587E" w:rsidRPr="00B76B32" w14:paraId="57C18D08" w14:textId="77777777" w:rsidTr="00B76B32">
        <w:trPr>
          <w:tblHeader/>
        </w:trPr>
        <w:tc>
          <w:tcPr>
            <w:tcW w:w="780" w:type="pct"/>
            <w:shd w:val="clear" w:color="auto" w:fill="D9D9D9" w:themeFill="background1" w:themeFillShade="D9"/>
            <w:vAlign w:val="center"/>
            <w:hideMark/>
          </w:tcPr>
          <w:p w14:paraId="42693355" w14:textId="77777777" w:rsidR="00AA587E" w:rsidRPr="00B76B32" w:rsidRDefault="00AA587E" w:rsidP="00AA587E">
            <w:pPr>
              <w:rPr>
                <w:b/>
                <w:bCs/>
                <w:sz w:val="22"/>
                <w:szCs w:val="22"/>
                <w:lang w:val="en-AU"/>
              </w:rPr>
            </w:pPr>
            <w:r w:rsidRPr="00B76B32">
              <w:rPr>
                <w:b/>
                <w:bCs/>
                <w:sz w:val="22"/>
                <w:szCs w:val="22"/>
                <w:lang w:val="en-AU"/>
              </w:rPr>
              <w:t>Domain</w:t>
            </w:r>
          </w:p>
        </w:tc>
        <w:tc>
          <w:tcPr>
            <w:tcW w:w="895" w:type="pct"/>
            <w:shd w:val="clear" w:color="auto" w:fill="D9D9D9" w:themeFill="background1" w:themeFillShade="D9"/>
            <w:vAlign w:val="center"/>
            <w:hideMark/>
          </w:tcPr>
          <w:p w14:paraId="58E316D3" w14:textId="77777777" w:rsidR="00AA587E" w:rsidRPr="00B76B32" w:rsidRDefault="00AA587E" w:rsidP="00AA587E">
            <w:pPr>
              <w:rPr>
                <w:b/>
                <w:bCs/>
                <w:sz w:val="22"/>
                <w:szCs w:val="22"/>
                <w:lang w:val="en-AU"/>
              </w:rPr>
            </w:pPr>
            <w:r w:rsidRPr="00B76B32">
              <w:rPr>
                <w:b/>
                <w:bCs/>
                <w:sz w:val="22"/>
                <w:szCs w:val="22"/>
                <w:lang w:val="en-AU"/>
              </w:rPr>
              <w:t>Question ID</w:t>
            </w:r>
          </w:p>
        </w:tc>
        <w:tc>
          <w:tcPr>
            <w:tcW w:w="931" w:type="pct"/>
            <w:shd w:val="clear" w:color="auto" w:fill="D9D9D9" w:themeFill="background1" w:themeFillShade="D9"/>
            <w:vAlign w:val="center"/>
            <w:hideMark/>
          </w:tcPr>
          <w:p w14:paraId="1AEF796B" w14:textId="77777777" w:rsidR="00AA587E" w:rsidRPr="00B76B32" w:rsidRDefault="00AA587E" w:rsidP="00AA587E">
            <w:pPr>
              <w:rPr>
                <w:b/>
                <w:bCs/>
                <w:sz w:val="22"/>
                <w:szCs w:val="22"/>
                <w:lang w:val="en-AU"/>
              </w:rPr>
            </w:pPr>
            <w:r w:rsidRPr="00B76B32">
              <w:rPr>
                <w:b/>
                <w:bCs/>
                <w:sz w:val="22"/>
                <w:szCs w:val="22"/>
                <w:lang w:val="en-AU"/>
              </w:rPr>
              <w:t>Recommendation</w:t>
            </w:r>
          </w:p>
        </w:tc>
        <w:tc>
          <w:tcPr>
            <w:tcW w:w="823" w:type="pct"/>
            <w:shd w:val="clear" w:color="auto" w:fill="D9D9D9" w:themeFill="background1" w:themeFillShade="D9"/>
            <w:vAlign w:val="center"/>
            <w:hideMark/>
          </w:tcPr>
          <w:p w14:paraId="7011AC66" w14:textId="77777777" w:rsidR="00AA587E" w:rsidRPr="00B76B32" w:rsidRDefault="00AA587E" w:rsidP="00AA587E">
            <w:pPr>
              <w:rPr>
                <w:b/>
                <w:bCs/>
                <w:sz w:val="22"/>
                <w:szCs w:val="22"/>
                <w:lang w:val="en-AU"/>
              </w:rPr>
            </w:pPr>
            <w:r w:rsidRPr="00B76B32">
              <w:rPr>
                <w:b/>
                <w:bCs/>
                <w:sz w:val="22"/>
                <w:szCs w:val="22"/>
                <w:lang w:val="en-AU"/>
              </w:rPr>
              <w:t>Timeframe</w:t>
            </w:r>
          </w:p>
        </w:tc>
        <w:tc>
          <w:tcPr>
            <w:tcW w:w="584" w:type="pct"/>
            <w:shd w:val="clear" w:color="auto" w:fill="D9D9D9" w:themeFill="background1" w:themeFillShade="D9"/>
            <w:vAlign w:val="center"/>
            <w:hideMark/>
          </w:tcPr>
          <w:p w14:paraId="710FBD89" w14:textId="77777777" w:rsidR="00AA587E" w:rsidRPr="00B76B32" w:rsidRDefault="00AA587E" w:rsidP="00AA587E">
            <w:pPr>
              <w:rPr>
                <w:b/>
                <w:bCs/>
                <w:sz w:val="22"/>
                <w:szCs w:val="22"/>
                <w:lang w:val="en-AU"/>
              </w:rPr>
            </w:pPr>
            <w:r w:rsidRPr="00B76B32">
              <w:rPr>
                <w:b/>
                <w:bCs/>
                <w:sz w:val="22"/>
                <w:szCs w:val="22"/>
                <w:lang w:val="en-AU"/>
              </w:rPr>
              <w:t>Effort</w:t>
            </w:r>
          </w:p>
        </w:tc>
        <w:tc>
          <w:tcPr>
            <w:tcW w:w="871" w:type="pct"/>
            <w:shd w:val="clear" w:color="auto" w:fill="D9D9D9" w:themeFill="background1" w:themeFillShade="D9"/>
            <w:vAlign w:val="center"/>
            <w:hideMark/>
          </w:tcPr>
          <w:p w14:paraId="03E733F9"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57C18D08" w14:textId="77777777" w:rsidTr="00B76B32">
        <w:trPr>
          <w:tblHeader/>
        </w:trPr>
        <w:tc>
          <w:tcPr>
            <w:tcW w:w="780" w:type="pct"/>
            <w:vAlign w:val="center"/>
            <w:hideMark/>
          </w:tcPr>
          <w:p>
            <w:r>
              <w:rPr>
                <w:rFonts w:ascii="Arial" w:hAnsi="Arial"/>
                <w:sz w:val="20"/>
              </w:rPr>
              <w:t>Inclusivity</w:t>
            </w:r>
          </w:p>
        </w:tc>
        <w:tc>
          <w:tcPr>
            <w:tcW w:w="895" w:type="pct"/>
            <w:vAlign w:val="center"/>
            <w:hideMark/>
          </w:tcPr>
          <w:p>
            <w:r>
              <w:rPr>
                <w:rFonts w:ascii="Arial" w:hAnsi="Arial"/>
                <w:sz w:val="20"/>
              </w:rPr>
              <w:t>IN-5</w:t>
            </w:r>
          </w:p>
        </w:tc>
        <w:tc>
          <w:tcPr>
            <w:tcW w:w="931" w:type="pct"/>
            <w:vAlign w:val="center"/>
            <w:hideMark/>
          </w:tcPr>
          <w:p>
            <w:r>
              <w:rPr>
                <w:rFonts w:ascii="Arial" w:hAnsi="Arial"/>
                <w:sz w:val="20"/>
              </w:rPr>
              <w:t>Actively involve stakeholders from diverse backgrounds at every stage, from design to testing.</w:t>
            </w:r>
          </w:p>
        </w:tc>
      </w:tr>
      <w:tr w:rsidR="00AA587E" w:rsidRPr="00B76B32" w14:paraId="57C18D08" w14:textId="77777777" w:rsidTr="00B76B32">
        <w:trPr>
          <w:tblHeader/>
        </w:trPr>
        <w:tc>
          <w:tcPr>
            <w:tcW w:w="780" w:type="pct"/>
            <w:vAlign w:val="center"/>
            <w:hideMark/>
          </w:tcPr>
          <w:p>
            <w:r>
              <w:rPr>
                <w:rFonts w:ascii="Arial" w:hAnsi="Arial"/>
                <w:sz w:val="20"/>
              </w:rPr>
              <w:t>Sustainability</w:t>
            </w:r>
          </w:p>
        </w:tc>
        <w:tc>
          <w:tcPr>
            <w:tcW w:w="895" w:type="pct"/>
            <w:vAlign w:val="center"/>
            <w:hideMark/>
          </w:tcPr>
          <w:p>
            <w:r>
              <w:rPr>
                <w:rFonts w:ascii="Arial" w:hAnsi="Arial"/>
                <w:sz w:val="20"/>
              </w:rPr>
              <w:t>SU-1</w:t>
            </w:r>
          </w:p>
        </w:tc>
        <w:tc>
          <w:tcPr>
            <w:tcW w:w="931" w:type="pct"/>
            <w:vAlign w:val="center"/>
            <w:hideMark/>
          </w:tcPr>
          <w:p>
            <w:r>
              <w:rPr>
                <w:rFonts w:ascii="Arial" w:hAnsi="Arial"/>
                <w:sz w:val="20"/>
              </w:rPr>
              <w:t>Regularly measure and report the environmental impact of AI training and deployment, including energy usage and carbon emissions.</w:t>
            </w:r>
          </w:p>
        </w:tc>
      </w:tr>
      <w:tr w:rsidR="00AA587E" w:rsidRPr="00B76B32" w14:paraId="57C18D08" w14:textId="77777777" w:rsidTr="00B76B32">
        <w:trPr>
          <w:tblHeader/>
        </w:trPr>
        <w:tc>
          <w:tcPr>
            <w:tcW w:w="780" w:type="pct"/>
            <w:vAlign w:val="center"/>
            <w:hideMark/>
          </w:tcPr>
          <w:p>
            <w:r>
              <w:rPr>
                <w:rFonts w:ascii="Arial" w:hAnsi="Arial"/>
                <w:sz w:val="20"/>
              </w:rPr>
              <w:t>Sustainability</w:t>
            </w:r>
          </w:p>
        </w:tc>
        <w:tc>
          <w:tcPr>
            <w:tcW w:w="895" w:type="pct"/>
            <w:vAlign w:val="center"/>
            <w:hideMark/>
          </w:tcPr>
          <w:p>
            <w:r>
              <w:rPr>
                <w:rFonts w:ascii="Arial" w:hAnsi="Arial"/>
                <w:sz w:val="20"/>
              </w:rPr>
              <w:t>SU-5</w:t>
            </w:r>
          </w:p>
        </w:tc>
        <w:tc>
          <w:tcPr>
            <w:tcW w:w="931" w:type="pct"/>
            <w:vAlign w:val="center"/>
            <w:hideMark/>
          </w:tcPr>
          <w:p>
            <w:r>
              <w:rPr>
                <w:rFonts w:ascii="Arial" w:hAnsi="Arial"/>
                <w:sz w:val="20"/>
              </w:rPr>
              <w:t>Continuously optimize algorithms to reduce computational costs, balancing performance and sustainability.</w:t>
            </w:r>
          </w:p>
        </w:tc>
      </w:tr>
      <w:tr w:rsidR="00AA587E" w:rsidRPr="00B76B32" w14:paraId="57C18D08" w14:textId="77777777" w:rsidTr="00B76B32">
        <w:trPr>
          <w:tblHeader/>
        </w:trPr>
        <w:tc>
          <w:tcPr>
            <w:tcW w:w="780" w:type="pct"/>
            <w:vAlign w:val="center"/>
            <w:hideMark/>
          </w:tcPr>
          <w:p>
            <w:r>
              <w:rPr>
                <w:rFonts w:ascii="Arial" w:hAnsi="Arial"/>
                <w:sz w:val="20"/>
              </w:rPr>
              <w:t>Sustainability</w:t>
            </w:r>
          </w:p>
        </w:tc>
        <w:tc>
          <w:tcPr>
            <w:tcW w:w="895" w:type="pct"/>
            <w:vAlign w:val="center"/>
            <w:hideMark/>
          </w:tcPr>
          <w:p>
            <w:r>
              <w:rPr>
                <w:rFonts w:ascii="Arial" w:hAnsi="Arial"/>
                <w:sz w:val="20"/>
              </w:rPr>
              <w:t>SU-8</w:t>
            </w:r>
          </w:p>
        </w:tc>
        <w:tc>
          <w:tcPr>
            <w:tcW w:w="931" w:type="pct"/>
            <w:vAlign w:val="center"/>
            <w:hideMark/>
          </w:tcPr>
          <w:p>
            <w:r>
              <w:rPr>
                <w:rFonts w:ascii="Arial" w:hAnsi="Arial"/>
                <w:sz w:val="20"/>
              </w:rPr>
              <w:t>Implement ongoing tracking of environmental metrics such as energy use and carbon emissions, with regular reporting.</w:t>
            </w:r>
          </w:p>
        </w:tc>
      </w:tr>
      <w:tr w:rsidR="00AA587E" w:rsidRPr="00B76B32" w14:paraId="57C18D08" w14:textId="77777777" w:rsidTr="00B76B32">
        <w:trPr>
          <w:tblHeader/>
        </w:trPr>
        <w:tc>
          <w:tcPr>
            <w:tcW w:w="780" w:type="pct"/>
            <w:vAlign w:val="center"/>
            <w:hideMark/>
          </w:tcPr>
          <w:p>
            <w:r>
              <w:rPr>
                <w:rFonts w:ascii="Arial" w:hAnsi="Arial"/>
                <w:sz w:val="20"/>
              </w:rPr>
              <w:t>Explainability</w:t>
            </w:r>
          </w:p>
        </w:tc>
        <w:tc>
          <w:tcPr>
            <w:tcW w:w="895" w:type="pct"/>
            <w:vAlign w:val="center"/>
            <w:hideMark/>
          </w:tcPr>
          <w:p>
            <w:r>
              <w:rPr>
                <w:rFonts w:ascii="Arial" w:hAnsi="Arial"/>
                <w:sz w:val="20"/>
              </w:rPr>
              <w:t>EX-2</w:t>
            </w:r>
          </w:p>
        </w:tc>
        <w:tc>
          <w:tcPr>
            <w:tcW w:w="931" w:type="pct"/>
            <w:vAlign w:val="center"/>
            <w:hideMark/>
          </w:tcPr>
          <w:p>
            <w:r>
              <w:rPr>
                <w:rFonts w:ascii="Arial" w:hAnsi="Arial"/>
                <w:sz w:val="20"/>
              </w:rPr>
              <w:t>Conduct user testing with diverse, non-technical participants and iterate based on their feedback to ensure clarity.</w:t>
            </w:r>
          </w:p>
        </w:tc>
      </w:tr>
      <w:tr w:rsidR="00AA587E" w:rsidRPr="00B76B32" w14:paraId="57C18D08" w14:textId="77777777" w:rsidTr="00B76B32">
        <w:trPr>
          <w:tblHeader/>
        </w:trPr>
        <w:tc>
          <w:tcPr>
            <w:tcW w:w="780" w:type="pct"/>
            <w:vAlign w:val="center"/>
            <w:hideMark/>
          </w:tcPr>
          <w:p>
            <w:r>
              <w:rPr>
                <w:rFonts w:ascii="Arial" w:hAnsi="Arial"/>
                <w:sz w:val="20"/>
              </w:rPr>
              <w:t>Explainability</w:t>
            </w:r>
          </w:p>
        </w:tc>
        <w:tc>
          <w:tcPr>
            <w:tcW w:w="895" w:type="pct"/>
            <w:vAlign w:val="center"/>
            <w:hideMark/>
          </w:tcPr>
          <w:p>
            <w:r>
              <w:rPr>
                <w:rFonts w:ascii="Arial" w:hAnsi="Arial"/>
                <w:sz w:val="20"/>
              </w:rPr>
              <w:t>EX-6</w:t>
            </w:r>
          </w:p>
        </w:tc>
        <w:tc>
          <w:tcPr>
            <w:tcW w:w="931" w:type="pct"/>
            <w:vAlign w:val="center"/>
            <w:hideMark/>
          </w:tcPr>
          <w:p>
            <w:r>
              <w:rPr>
                <w:rFonts w:ascii="Arial" w:hAnsi="Arial"/>
                <w:sz w:val="20"/>
              </w:rPr>
              <w:t>Provide user-friendly interfaces that present clear reasoning and key factors influencing decisions.</w:t>
            </w:r>
          </w:p>
        </w:tc>
      </w:tr>
      <w:tr w:rsidR="00AA587E" w:rsidRPr="00B76B32" w14:paraId="57C18D08" w14:textId="77777777" w:rsidTr="00B76B32">
        <w:trPr>
          <w:tblHeader/>
        </w:trPr>
        <w:tc>
          <w:tcPr>
            <w:tcW w:w="780" w:type="pct"/>
            <w:vAlign w:val="center"/>
            <w:hideMark/>
          </w:tcPr>
          <w:p>
            <w:r>
              <w:rPr>
                <w:rFonts w:ascii="Arial" w:hAnsi="Arial"/>
                <w:sz w:val="20"/>
              </w:rPr>
              <w:t>Fairness</w:t>
            </w:r>
          </w:p>
        </w:tc>
        <w:tc>
          <w:tcPr>
            <w:tcW w:w="895" w:type="pct"/>
            <w:vAlign w:val="center"/>
            <w:hideMark/>
          </w:tcPr>
          <w:p>
            <w:r>
              <w:rPr>
                <w:rFonts w:ascii="Arial" w:hAnsi="Arial"/>
                <w:sz w:val="20"/>
              </w:rPr>
              <w:t>FA-3</w:t>
            </w:r>
          </w:p>
        </w:tc>
        <w:tc>
          <w:tcPr>
            <w:tcW w:w="931" w:type="pct"/>
            <w:vAlign w:val="center"/>
            <w:hideMark/>
          </w:tcPr>
          <w:p>
            <w:r>
              <w:rPr>
                <w:rFonts w:ascii="Arial" w:hAnsi="Arial"/>
                <w:sz w:val="20"/>
              </w:rPr>
              <w:t>Conduct detailed quantitative analysis and qualitative testing with diverse focus groups to identify disparities.</w:t>
            </w:r>
          </w:p>
        </w:tc>
      </w:tr>
      <w:tr w:rsidR="00AA587E" w:rsidRPr="00B76B32" w14:paraId="57C18D08" w14:textId="77777777" w:rsidTr="00B76B32">
        <w:trPr>
          <w:tblHeader/>
        </w:trPr>
        <w:tc>
          <w:tcPr>
            <w:tcW w:w="780" w:type="pct"/>
            <w:vAlign w:val="center"/>
            <w:hideMark/>
          </w:tcPr>
          <w:p>
            <w:r>
              <w:rPr>
                <w:rFonts w:ascii="Arial" w:hAnsi="Arial"/>
                <w:sz w:val="20"/>
              </w:rPr>
              <w:t>Fairness</w:t>
            </w:r>
          </w:p>
        </w:tc>
        <w:tc>
          <w:tcPr>
            <w:tcW w:w="895" w:type="pct"/>
            <w:vAlign w:val="center"/>
            <w:hideMark/>
          </w:tcPr>
          <w:p>
            <w:r>
              <w:rPr>
                <w:rFonts w:ascii="Arial" w:hAnsi="Arial"/>
                <w:sz w:val="20"/>
              </w:rPr>
              <w:t>FA-8</w:t>
            </w:r>
          </w:p>
        </w:tc>
        <w:tc>
          <w:tcPr>
            <w:tcW w:w="931" w:type="pct"/>
            <w:vAlign w:val="center"/>
            <w:hideMark/>
          </w:tcPr>
          <w:p>
            <w:r>
              <w:rPr>
                <w:rFonts w:ascii="Arial" w:hAnsi="Arial"/>
                <w:sz w:val="20"/>
              </w:rPr>
              <w:t>Fairness considerations are embedded throughout the design and development process.</w:t>
            </w:r>
          </w:p>
        </w:tc>
      </w:tr>
      <w:tr w:rsidR="00AA587E" w:rsidRPr="00B76B32" w14:paraId="57C18D08" w14:textId="77777777" w:rsidTr="00B76B32">
        <w:trPr>
          <w:tblHeader/>
        </w:trPr>
        <w:tc>
          <w:tcPr>
            <w:tcW w:w="780" w:type="pct"/>
            <w:vAlign w:val="center"/>
            <w:hideMark/>
          </w:tcPr>
          <w:p>
            <w:r>
              <w:rPr>
                <w:rFonts w:ascii="Arial" w:hAnsi="Arial"/>
                <w:sz w:val="20"/>
              </w:rPr>
              <w:t>Safety</w:t>
            </w:r>
          </w:p>
        </w:tc>
        <w:tc>
          <w:tcPr>
            <w:tcW w:w="895" w:type="pct"/>
            <w:vAlign w:val="center"/>
            <w:hideMark/>
          </w:tcPr>
          <w:p>
            <w:r>
              <w:rPr>
                <w:rFonts w:ascii="Arial" w:hAnsi="Arial"/>
                <w:sz w:val="20"/>
              </w:rPr>
              <w:t>SA-1</w:t>
            </w:r>
          </w:p>
        </w:tc>
        <w:tc>
          <w:tcPr>
            <w:tcW w:w="931" w:type="pct"/>
            <w:vAlign w:val="center"/>
            <w:hideMark/>
          </w:tcPr>
          <w:p>
            <w:r>
              <w:rPr>
                <w:rFonts w:ascii="Arial" w:hAnsi="Arial"/>
                <w:sz w:val="20"/>
              </w:rPr>
              <w:t>Conduct comprehensive safety impact assessments during development and deployment, with updates as the system evolves.</w:t>
            </w:r>
          </w:p>
        </w:tc>
      </w:tr>
      <w:tr w:rsidR="00AA587E" w:rsidRPr="00B76B32" w14:paraId="57C18D08" w14:textId="77777777" w:rsidTr="00B76B32">
        <w:trPr>
          <w:tblHeader/>
        </w:trPr>
        <w:tc>
          <w:tcPr>
            <w:tcW w:w="780" w:type="pct"/>
            <w:vAlign w:val="center"/>
            <w:hideMark/>
          </w:tcPr>
          <w:p>
            <w:r>
              <w:rPr>
                <w:rFonts w:ascii="Arial" w:hAnsi="Arial"/>
                <w:sz w:val="20"/>
              </w:rPr>
              <w:t>Safety</w:t>
            </w:r>
          </w:p>
        </w:tc>
        <w:tc>
          <w:tcPr>
            <w:tcW w:w="895" w:type="pct"/>
            <w:vAlign w:val="center"/>
            <w:hideMark/>
          </w:tcPr>
          <w:p>
            <w:r>
              <w:rPr>
                <w:rFonts w:ascii="Arial" w:hAnsi="Arial"/>
                <w:sz w:val="20"/>
              </w:rPr>
              <w:t>SA-3</w:t>
            </w:r>
          </w:p>
        </w:tc>
        <w:tc>
          <w:tcPr>
            <w:tcW w:w="931" w:type="pct"/>
            <w:vAlign w:val="center"/>
            <w:hideMark/>
          </w:tcPr>
          <w:p>
            <w:r>
              <w:rPr>
                <w:rFonts w:ascii="Arial" w:hAnsi="Arial"/>
                <w:sz w:val="20"/>
              </w:rPr>
              <w:t>Use automated real-time monitoring tools with alert systems to detect and respond to unsafe behavior.</w:t>
            </w:r>
          </w:p>
        </w:tc>
      </w:tr>
      <w:tr w:rsidR="00AA587E" w:rsidRPr="00B76B32" w14:paraId="57C18D08" w14:textId="77777777" w:rsidTr="00B76B32">
        <w:trPr>
          <w:tblHeader/>
        </w:trPr>
        <w:tc>
          <w:tcPr>
            <w:tcW w:w="780" w:type="pct"/>
            <w:vAlign w:val="center"/>
            <w:hideMark/>
          </w:tcPr>
          <w:p>
            <w:r>
              <w:rPr>
                <w:rFonts w:ascii="Arial" w:hAnsi="Arial"/>
                <w:sz w:val="20"/>
              </w:rPr>
              <w:t>Privacy</w:t>
            </w:r>
          </w:p>
        </w:tc>
        <w:tc>
          <w:tcPr>
            <w:tcW w:w="895" w:type="pct"/>
            <w:vAlign w:val="center"/>
            <w:hideMark/>
          </w:tcPr>
          <w:p>
            <w:r>
              <w:rPr>
                <w:rFonts w:ascii="Arial" w:hAnsi="Arial"/>
                <w:sz w:val="20"/>
              </w:rPr>
              <w:t>PR-1</w:t>
            </w:r>
          </w:p>
        </w:tc>
        <w:tc>
          <w:tcPr>
            <w:tcW w:w="931" w:type="pct"/>
            <w:vAlign w:val="center"/>
            <w:hideMark/>
          </w:tcPr>
          <w:p>
            <w:r>
              <w:rPr>
                <w:rFonts w:ascii="Arial" w:hAnsi="Arial"/>
                <w:sz w:val="20"/>
              </w:rPr>
              <w:t>Conduct regular audits and implement privacy-by-design principles to ensure compliance with all applicable laws.</w:t>
            </w:r>
          </w:p>
        </w:tc>
      </w:tr>
      <w:tr w:rsidR="00AA587E" w:rsidRPr="00B76B32" w14:paraId="57C18D08" w14:textId="77777777" w:rsidTr="00B76B32">
        <w:trPr>
          <w:tblHeader/>
        </w:trPr>
        <w:tc>
          <w:tcPr>
            <w:tcW w:w="780" w:type="pct"/>
            <w:vAlign w:val="center"/>
            <w:hideMark/>
          </w:tcPr>
          <w:p>
            <w:r>
              <w:rPr>
                <w:rFonts w:ascii="Arial" w:hAnsi="Arial"/>
                <w:sz w:val="20"/>
              </w:rPr>
              <w:t>Privacy</w:t>
            </w:r>
          </w:p>
        </w:tc>
        <w:tc>
          <w:tcPr>
            <w:tcW w:w="895" w:type="pct"/>
            <w:vAlign w:val="center"/>
            <w:hideMark/>
          </w:tcPr>
          <w:p>
            <w:r>
              <w:rPr>
                <w:rFonts w:ascii="Arial" w:hAnsi="Arial"/>
                <w:sz w:val="20"/>
              </w:rPr>
              <w:t>PR-5</w:t>
            </w:r>
          </w:p>
        </w:tc>
        <w:tc>
          <w:tcPr>
            <w:tcW w:w="931" w:type="pct"/>
            <w:vAlign w:val="center"/>
            <w:hideMark/>
          </w:tcPr>
          <w:p>
            <w:r>
              <w:rPr>
                <w:rFonts w:ascii="Arial" w:hAnsi="Arial"/>
                <w:sz w:val="20"/>
              </w:rPr>
              <w:t>Use state-of-the-art anonymization and pseudonymization techniques, validated through regular testing.</w:t>
            </w:r>
          </w:p>
        </w:tc>
      </w:tr>
      <w:tr w:rsidR="00AA587E" w:rsidRPr="00B76B32" w14:paraId="57C18D08" w14:textId="77777777" w:rsidTr="00B76B32">
        <w:trPr>
          <w:tblHeader/>
        </w:trPr>
        <w:tc>
          <w:tcPr>
            <w:tcW w:w="780" w:type="pct"/>
            <w:vAlign w:val="center"/>
            <w:hideMark/>
          </w:tcPr>
          <w:p>
            <w:r>
              <w:rPr>
                <w:rFonts w:ascii="Arial" w:hAnsi="Arial"/>
                <w:sz w:val="20"/>
              </w:rPr>
              <w:t>Privacy</w:t>
            </w:r>
          </w:p>
        </w:tc>
        <w:tc>
          <w:tcPr>
            <w:tcW w:w="895" w:type="pct"/>
            <w:vAlign w:val="center"/>
            <w:hideMark/>
          </w:tcPr>
          <w:p>
            <w:r>
              <w:rPr>
                <w:rFonts w:ascii="Arial" w:hAnsi="Arial"/>
                <w:sz w:val="20"/>
              </w:rPr>
              <w:t>PR-8</w:t>
            </w:r>
          </w:p>
        </w:tc>
        <w:tc>
          <w:tcPr>
            <w:tcW w:w="931" w:type="pct"/>
            <w:vAlign w:val="center"/>
            <w:hideMark/>
          </w:tcPr>
          <w:p>
            <w:r>
              <w:rPr>
                <w:rFonts w:ascii="Arial" w:hAnsi="Arial"/>
                <w:sz w:val="20"/>
              </w:rPr>
              <w:t>Implement region-specific compliance measures, including data localization and cross-border transfer agreements.</w:t>
            </w:r>
          </w:p>
        </w:tc>
      </w:tr>
      <w:tr w:rsidR="00AA587E" w:rsidRPr="00B76B32" w14:paraId="57C18D08" w14:textId="77777777" w:rsidTr="00B76B32">
        <w:trPr>
          <w:tblHeader/>
        </w:trPr>
        <w:tc>
          <w:tcPr>
            <w:tcW w:w="780" w:type="pct"/>
            <w:vAlign w:val="center"/>
            <w:hideMark/>
          </w:tcPr>
          <w:p>
            <w:r>
              <w:rPr>
                <w:rFonts w:ascii="Arial" w:hAnsi="Arial"/>
                <w:sz w:val="20"/>
              </w:rPr>
              <w:t>Security</w:t>
            </w:r>
          </w:p>
        </w:tc>
        <w:tc>
          <w:tcPr>
            <w:tcW w:w="895" w:type="pct"/>
            <w:vAlign w:val="center"/>
            <w:hideMark/>
          </w:tcPr>
          <w:p>
            <w:r>
              <w:rPr>
                <w:rFonts w:ascii="Arial" w:hAnsi="Arial"/>
                <w:sz w:val="20"/>
              </w:rPr>
              <w:t>SE-2</w:t>
            </w:r>
          </w:p>
        </w:tc>
        <w:tc>
          <w:tcPr>
            <w:tcW w:w="931" w:type="pct"/>
            <w:vAlign w:val="center"/>
            <w:hideMark/>
          </w:tcPr>
          <w:p>
            <w:r>
              <w:rPr>
                <w:rFonts w:ascii="Arial" w:hAnsi="Arial"/>
                <w:sz w:val="20"/>
              </w:rPr>
              <w:t>Conduct adversarial training, implement input validation checks, and monitor for adversarial patterns.</w:t>
            </w:r>
          </w:p>
        </w:tc>
      </w:tr>
      <w:tr w:rsidR="00AA587E" w:rsidRPr="00B76B32" w14:paraId="57C18D08" w14:textId="77777777" w:rsidTr="00B76B32">
        <w:trPr>
          <w:tblHeader/>
        </w:trPr>
        <w:tc>
          <w:tcPr>
            <w:tcW w:w="780" w:type="pct"/>
            <w:vAlign w:val="center"/>
            <w:hideMark/>
          </w:tcPr>
          <w:p>
            <w:r>
              <w:rPr>
                <w:rFonts w:ascii="Arial" w:hAnsi="Arial"/>
                <w:sz w:val="20"/>
              </w:rPr>
              <w:t>Security</w:t>
            </w:r>
          </w:p>
        </w:tc>
        <w:tc>
          <w:tcPr>
            <w:tcW w:w="895" w:type="pct"/>
            <w:vAlign w:val="center"/>
            <w:hideMark/>
          </w:tcPr>
          <w:p>
            <w:r>
              <w:rPr>
                <w:rFonts w:ascii="Arial" w:hAnsi="Arial"/>
                <w:sz w:val="20"/>
              </w:rPr>
              <w:t>SE-5</w:t>
            </w:r>
          </w:p>
        </w:tc>
        <w:tc>
          <w:tcPr>
            <w:tcW w:w="931" w:type="pct"/>
            <w:vAlign w:val="center"/>
            <w:hideMark/>
          </w:tcPr>
          <w:p>
            <w:r>
              <w:rPr>
                <w:rFonts w:ascii="Arial" w:hAnsi="Arial"/>
                <w:sz w:val="20"/>
              </w:rPr>
              <w:t>Implement version control, checksum validations, and strict access controls to prevent unauthorized changes.</w:t>
            </w:r>
          </w:p>
        </w:tc>
      </w:tr>
      <w:tr w:rsidR="00AA587E" w:rsidRPr="00B76B32" w14:paraId="57C18D08" w14:textId="77777777" w:rsidTr="00B76B32">
        <w:trPr>
          <w:tblHeader/>
        </w:trPr>
        <w:tc>
          <w:tcPr>
            <w:tcW w:w="780" w:type="pct"/>
            <w:vAlign w:val="center"/>
            <w:hideMark/>
          </w:tcPr>
          <w:p>
            <w:r>
              <w:rPr>
                <w:rFonts w:ascii="Arial" w:hAnsi="Arial"/>
                <w:sz w:val="20"/>
              </w:rPr>
              <w:t>Transparency</w:t>
            </w:r>
          </w:p>
        </w:tc>
        <w:tc>
          <w:tcPr>
            <w:tcW w:w="895" w:type="pct"/>
            <w:vAlign w:val="center"/>
            <w:hideMark/>
          </w:tcPr>
          <w:p>
            <w:r>
              <w:rPr>
                <w:rFonts w:ascii="Arial" w:hAnsi="Arial"/>
                <w:sz w:val="20"/>
              </w:rPr>
              <w:t>TR-3</w:t>
            </w:r>
          </w:p>
        </w:tc>
        <w:tc>
          <w:tcPr>
            <w:tcW w:w="931" w:type="pct"/>
            <w:vAlign w:val="center"/>
            <w:hideMark/>
          </w:tcPr>
          <w:p>
            <w:r>
              <w:rPr>
                <w:rFonts w:ascii="Arial" w:hAnsi="Arial"/>
                <w:sz w:val="20"/>
              </w:rPr>
              <w:t>Provide transparency reports, detailed system documentation, or interactive dashboards for external review.</w:t>
            </w:r>
          </w:p>
        </w:tc>
      </w:tr>
      <w:tr w:rsidR="00AA587E" w:rsidRPr="00B76B32" w14:paraId="57C18D08" w14:textId="77777777" w:rsidTr="00B76B32">
        <w:trPr>
          <w:tblHeader/>
        </w:trPr>
        <w:tc>
          <w:tcPr>
            <w:tcW w:w="780" w:type="pct"/>
            <w:vAlign w:val="center"/>
            <w:hideMark/>
          </w:tcPr>
          <w:p>
            <w:r>
              <w:rPr>
                <w:rFonts w:ascii="Arial" w:hAnsi="Arial"/>
                <w:sz w:val="20"/>
              </w:rPr>
              <w:t>Transparency</w:t>
            </w:r>
          </w:p>
        </w:tc>
        <w:tc>
          <w:tcPr>
            <w:tcW w:w="895" w:type="pct"/>
            <w:vAlign w:val="center"/>
            <w:hideMark/>
          </w:tcPr>
          <w:p>
            <w:r>
              <w:rPr>
                <w:rFonts w:ascii="Arial" w:hAnsi="Arial"/>
                <w:sz w:val="20"/>
              </w:rPr>
              <w:t>TR-6</w:t>
            </w:r>
          </w:p>
        </w:tc>
        <w:tc>
          <w:tcPr>
            <w:tcW w:w="931" w:type="pct"/>
            <w:vAlign w:val="center"/>
            <w:hideMark/>
          </w:tcPr>
          <w:p>
            <w:r>
              <w:rPr>
                <w:rFonts w:ascii="Arial" w:hAnsi="Arial"/>
                <w:sz w:val="20"/>
              </w:rPr>
              <w:t>Fully disclose data sources and algorithmic details, including limitations and provenance, to stakeholders.</w:t>
            </w:r>
          </w:p>
        </w:tc>
      </w:tr>
      <w:tr w:rsidR="00AA587E" w:rsidRPr="00B76B32" w14:paraId="57C18D08" w14:textId="77777777" w:rsidTr="00B76B32">
        <w:trPr>
          <w:tblHeader/>
        </w:trPr>
        <w:tc>
          <w:tcPr>
            <w:tcW w:w="780" w:type="pct"/>
            <w:vAlign w:val="center"/>
            <w:hideMark/>
          </w:tcPr>
          <w:p>
            <w:r>
              <w:rPr>
                <w:rFonts w:ascii="Arial" w:hAnsi="Arial"/>
                <w:sz w:val="20"/>
              </w:rPr>
              <w:t>Accountability</w:t>
            </w:r>
          </w:p>
        </w:tc>
        <w:tc>
          <w:tcPr>
            <w:tcW w:w="895" w:type="pct"/>
            <w:vAlign w:val="center"/>
            <w:hideMark/>
          </w:tcPr>
          <w:p>
            <w:r>
              <w:rPr>
                <w:rFonts w:ascii="Arial" w:hAnsi="Arial"/>
                <w:sz w:val="20"/>
              </w:rPr>
              <w:t>AC-1</w:t>
            </w:r>
          </w:p>
        </w:tc>
        <w:tc>
          <w:tcPr>
            <w:tcW w:w="931" w:type="pct"/>
            <w:vAlign w:val="center"/>
            <w:hideMark/>
          </w:tcPr>
          <w:p>
            <w:r>
              <w:rPr>
                <w:rFonts w:ascii="Arial" w:hAnsi="Arial"/>
                <w:sz w:val="20"/>
              </w:rPr>
              <w:t>Clear accountability protocols are established, with designated teams responsible for identifying, resolving, and documenting failures.</w:t>
            </w:r>
          </w:p>
        </w:tc>
      </w:tr>
      <w:tr w:rsidR="00AA587E" w:rsidRPr="00B76B32" w14:paraId="57C18D08" w14:textId="77777777" w:rsidTr="00B76B32">
        <w:trPr>
          <w:tblHeader/>
        </w:trPr>
        <w:tc>
          <w:tcPr>
            <w:tcW w:w="780" w:type="pct"/>
            <w:vAlign w:val="center"/>
            <w:hideMark/>
          </w:tcPr>
          <w:p>
            <w:r>
              <w:rPr>
                <w:rFonts w:ascii="Arial" w:hAnsi="Arial"/>
                <w:sz w:val="20"/>
              </w:rPr>
              <w:t>Accountability</w:t>
            </w:r>
          </w:p>
        </w:tc>
        <w:tc>
          <w:tcPr>
            <w:tcW w:w="895" w:type="pct"/>
            <w:vAlign w:val="center"/>
            <w:hideMark/>
          </w:tcPr>
          <w:p>
            <w:r>
              <w:rPr>
                <w:rFonts w:ascii="Arial" w:hAnsi="Arial"/>
                <w:sz w:val="20"/>
              </w:rPr>
              <w:t>AC-5</w:t>
            </w:r>
          </w:p>
        </w:tc>
        <w:tc>
          <w:tcPr>
            <w:tcW w:w="931" w:type="pct"/>
            <w:vAlign w:val="center"/>
            <w:hideMark/>
          </w:tcPr>
          <w:p>
            <w:r>
              <w:rPr>
                <w:rFonts w:ascii="Arial" w:hAnsi="Arial"/>
                <w:sz w:val="20"/>
              </w:rPr>
              <w:t>Roles and responsibilities are clearly defined, documented, and regularly reviewed to ensure alignment across teams.</w:t>
            </w:r>
          </w:p>
        </w:tc>
      </w:tr>
      <w:tr w:rsidR="00AA587E" w:rsidRPr="00B76B32" w14:paraId="57C18D08" w14:textId="77777777" w:rsidTr="00B76B32">
        <w:trPr>
          <w:tblHeader/>
        </w:trPr>
        <w:tc>
          <w:tcPr>
            <w:tcW w:w="780" w:type="pct"/>
            <w:vAlign w:val="center"/>
            <w:hideMark/>
          </w:tcPr>
          <w:p>
            <w:r>
              <w:rPr>
                <w:rFonts w:ascii="Arial" w:hAnsi="Arial"/>
                <w:sz w:val="20"/>
              </w:rPr>
              <w:t>Data Integrity</w:t>
            </w:r>
          </w:p>
        </w:tc>
        <w:tc>
          <w:tcPr>
            <w:tcW w:w="895" w:type="pct"/>
            <w:vAlign w:val="center"/>
            <w:hideMark/>
          </w:tcPr>
          <w:p>
            <w:r>
              <w:rPr>
                <w:rFonts w:ascii="Arial" w:hAnsi="Arial"/>
                <w:sz w:val="20"/>
              </w:rPr>
              <w:t>DI-1</w:t>
            </w:r>
          </w:p>
        </w:tc>
        <w:tc>
          <w:tcPr>
            <w:tcW w:w="931" w:type="pct"/>
            <w:vAlign w:val="center"/>
            <w:hideMark/>
          </w:tcPr>
          <w:p>
            <w:r>
              <w:rPr>
                <w:rFonts w:ascii="Arial" w:hAnsi="Arial"/>
                <w:sz w:val="20"/>
              </w:rPr>
              <w:t>Use automated tools and manual reviews to regularly validate data for accuracy, completeness, and quality.</w:t>
            </w:r>
          </w:p>
        </w:tc>
      </w:tr>
      <w:tr w:rsidR="00AA587E" w:rsidRPr="00B76B32" w14:paraId="57C18D08" w14:textId="77777777" w:rsidTr="00B76B32">
        <w:trPr>
          <w:tblHeader/>
        </w:trPr>
        <w:tc>
          <w:tcPr>
            <w:tcW w:w="780" w:type="pct"/>
            <w:vAlign w:val="center"/>
            <w:hideMark/>
          </w:tcPr>
          <w:p>
            <w:r>
              <w:rPr>
                <w:rFonts w:ascii="Arial" w:hAnsi="Arial"/>
                <w:sz w:val="20"/>
              </w:rPr>
              <w:t>Data Integrity</w:t>
            </w:r>
          </w:p>
        </w:tc>
        <w:tc>
          <w:tcPr>
            <w:tcW w:w="895" w:type="pct"/>
            <w:vAlign w:val="center"/>
            <w:hideMark/>
          </w:tcPr>
          <w:p>
            <w:r>
              <w:rPr>
                <w:rFonts w:ascii="Arial" w:hAnsi="Arial"/>
                <w:sz w:val="20"/>
              </w:rPr>
              <w:t>DI-7</w:t>
            </w:r>
          </w:p>
        </w:tc>
        <w:tc>
          <w:tcPr>
            <w:tcW w:w="931" w:type="pct"/>
            <w:vAlign w:val="center"/>
            <w:hideMark/>
          </w:tcPr>
          <w:p>
            <w:r>
              <w:rPr>
                <w:rFonts w:ascii="Arial" w:hAnsi="Arial"/>
                <w:sz w:val="20"/>
              </w:rPr>
              <w:t>Conduct thorough evaluations of third-party data sources, including audits and performance testing.</w:t>
            </w:r>
          </w:p>
        </w:tc>
      </w:tr>
      <w:tr w:rsidR="00AA587E" w:rsidRPr="00B76B32" w14:paraId="57C18D08" w14:textId="77777777" w:rsidTr="00B76B32">
        <w:trPr>
          <w:tblHeader/>
        </w:trPr>
        <w:tc>
          <w:tcPr>
            <w:tcW w:w="780" w:type="pct"/>
            <w:vAlign w:val="center"/>
            <w:hideMark/>
          </w:tcPr>
          <w:p>
            <w:r>
              <w:rPr>
                <w:rFonts w:ascii="Arial" w:hAnsi="Arial"/>
                <w:sz w:val="20"/>
              </w:rPr>
              <w:t>Reliability</w:t>
            </w:r>
          </w:p>
        </w:tc>
        <w:tc>
          <w:tcPr>
            <w:tcW w:w="895" w:type="pct"/>
            <w:vAlign w:val="center"/>
            <w:hideMark/>
          </w:tcPr>
          <w:p>
            <w:r>
              <w:rPr>
                <w:rFonts w:ascii="Arial" w:hAnsi="Arial"/>
                <w:sz w:val="20"/>
              </w:rPr>
              <w:t>RE-5</w:t>
            </w:r>
          </w:p>
        </w:tc>
        <w:tc>
          <w:tcPr>
            <w:tcW w:w="931" w:type="pct"/>
            <w:vAlign w:val="center"/>
            <w:hideMark/>
          </w:tcPr>
          <w:p>
            <w:r>
              <w:rPr>
                <w:rFonts w:ascii="Arial" w:hAnsi="Arial"/>
                <w:sz w:val="20"/>
              </w:rPr>
              <w:t>Conduct systematic analyses to identify and document all potential failure points, with mitigation plans in place.</w:t>
            </w:r>
          </w:p>
        </w:tc>
      </w:tr>
    </w:tbl>
    <w:p w14:paraId="0F21FD34" w14:textId="77777777" w:rsidR="00AA587E" w:rsidRPr="00AA587E" w:rsidRDefault="00AA587E" w:rsidP="00AA587E">
      <w:pPr>
        <w:rPr>
          <w:lang w:val="en-AU"/>
        </w:rPr>
      </w:pPr>
      <w:r w:rsidRPr="00AA587E">
        <w:rPr>
          <w:lang w:val="en-AU"/>
        </w:rPr>
        <w:pict w14:anchorId="5A3B6558">
          <v:rect id="_x0000_i1133" style="width:0;height:1.5pt" o:hralign="center" o:hrstd="t" o:hr="t" fillcolor="#a0a0a0" stroked="f"/>
        </w:pict>
      </w:r>
    </w:p>
    <w:p w14:paraId="25FB7322" w14:textId="77777777" w:rsidR="00AA587E" w:rsidRPr="00AA587E" w:rsidRDefault="00AA587E" w:rsidP="00AA587E">
      <w:pPr>
        <w:rPr>
          <w:b/>
          <w:bCs/>
          <w:lang w:val="en-AU"/>
        </w:rPr>
      </w:pPr>
      <w:r w:rsidRPr="00AA587E">
        <w:rPr>
          <w:b/>
          <w:bCs/>
          <w:lang w:val="en-AU"/>
        </w:rPr>
        <w:t>5.3 Low Priority Recommendations</w:t>
      </w:r>
    </w:p>
    <w:p w14:paraId="3A7C9E84" w14:textId="77777777" w:rsidR="00AA587E" w:rsidRPr="00AA587E" w:rsidRDefault="00AA587E" w:rsidP="00B76B32">
      <w:pPr>
        <w:rPr>
          <w:lang w:val="en-AU"/>
        </w:rPr>
      </w:pPr>
      <w:r w:rsidRPr="00AA587E">
        <w:rPr>
          <w:lang w:val="en-AU"/>
        </w:rPr>
        <w:t>Low Priority recommendations focus on long-term maturity uplift and alignment with leading practices.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330504CD" w14:textId="77777777" w:rsidTr="00B76B32">
        <w:trPr>
          <w:tblHeader/>
        </w:trPr>
        <w:tc>
          <w:tcPr>
            <w:tcW w:w="724" w:type="pct"/>
            <w:shd w:val="clear" w:color="auto" w:fill="D9D9D9" w:themeFill="background1" w:themeFillShade="D9"/>
            <w:vAlign w:val="center"/>
            <w:hideMark/>
          </w:tcPr>
          <w:p w14:paraId="59DA0C83" w14:textId="77777777" w:rsidR="00AA587E" w:rsidRPr="00B76B32" w:rsidRDefault="00AA587E" w:rsidP="00AA587E">
            <w:pPr>
              <w:rPr>
                <w:b/>
                <w:bCs/>
                <w:sz w:val="22"/>
                <w:szCs w:val="22"/>
                <w:lang w:val="en-AU"/>
              </w:rPr>
            </w:pPr>
            <w:r w:rsidRPr="00B76B32">
              <w:rPr>
                <w:b/>
                <w:bCs/>
                <w:sz w:val="22"/>
                <w:szCs w:val="22"/>
                <w:lang w:val="en-AU"/>
              </w:rPr>
              <w:t>Domain</w:t>
            </w:r>
          </w:p>
        </w:tc>
        <w:tc>
          <w:tcPr>
            <w:tcW w:w="933" w:type="pct"/>
            <w:shd w:val="clear" w:color="auto" w:fill="D9D9D9" w:themeFill="background1" w:themeFillShade="D9"/>
            <w:vAlign w:val="center"/>
            <w:hideMark/>
          </w:tcPr>
          <w:p w14:paraId="1D1EE046"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448E995F"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2D9EB757"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3CEC58AD"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5212B70B"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330504CD" w14:textId="77777777" w:rsidTr="00B76B32">
        <w:trPr>
          <w:tblHeader/>
        </w:trPr>
        <w:tc>
          <w:tcPr>
            <w:tcW w:w="724" w:type="pct"/>
            <w:vAlign w:val="center"/>
            <w:hideMark/>
          </w:tcPr>
          <w:p>
            <w:r>
              <w:rPr>
                <w:rFonts w:ascii="Arial" w:hAnsi="Arial"/>
                <w:sz w:val="20"/>
              </w:rPr>
              <w:t>Inclusivity</w:t>
            </w:r>
          </w:p>
        </w:tc>
        <w:tc>
          <w:tcPr>
            <w:tcW w:w="933" w:type="pct"/>
            <w:vAlign w:val="center"/>
            <w:hideMark/>
          </w:tcPr>
          <w:p>
            <w:r>
              <w:rPr>
                <w:rFonts w:ascii="Arial" w:hAnsi="Arial"/>
                <w:sz w:val="20"/>
              </w:rPr>
              <w:t>IN-1</w:t>
            </w:r>
          </w:p>
        </w:tc>
        <w:tc>
          <w:tcPr>
            <w:tcW w:w="970" w:type="pct"/>
            <w:vAlign w:val="center"/>
            <w:hideMark/>
          </w:tcPr>
          <w:p>
            <w:r>
              <w:rPr>
                <w:rFonts w:ascii="Arial" w:hAnsi="Arial"/>
                <w:sz w:val="20"/>
              </w:rPr>
              <w:t>Design the system with accessibility features such as screen readers, multilingual support, and offline functionality to serve all user groups, including those with disabilities and underserved populations.</w:t>
            </w:r>
          </w:p>
        </w:tc>
      </w:tr>
      <w:tr w:rsidR="00AA587E" w:rsidRPr="00B76B32" w14:paraId="330504CD" w14:textId="77777777" w:rsidTr="00B76B32">
        <w:trPr>
          <w:tblHeader/>
        </w:trPr>
        <w:tc>
          <w:tcPr>
            <w:tcW w:w="724" w:type="pct"/>
            <w:vAlign w:val="center"/>
            <w:hideMark/>
          </w:tcPr>
          <w:p>
            <w:r>
              <w:rPr>
                <w:rFonts w:ascii="Arial" w:hAnsi="Arial"/>
                <w:sz w:val="20"/>
              </w:rPr>
              <w:t>Inclusivity</w:t>
            </w:r>
          </w:p>
        </w:tc>
        <w:tc>
          <w:tcPr>
            <w:tcW w:w="933" w:type="pct"/>
            <w:vAlign w:val="center"/>
            <w:hideMark/>
          </w:tcPr>
          <w:p>
            <w:r>
              <w:rPr>
                <w:rFonts w:ascii="Arial" w:hAnsi="Arial"/>
                <w:sz w:val="20"/>
              </w:rPr>
              <w:t>IN-4</w:t>
            </w:r>
          </w:p>
        </w:tc>
        <w:tc>
          <w:tcPr>
            <w:tcW w:w="970" w:type="pct"/>
            <w:vAlign w:val="center"/>
            <w:hideMark/>
          </w:tcPr>
          <w:p>
            <w:r>
              <w:rPr>
                <w:rFonts w:ascii="Arial" w:hAnsi="Arial"/>
                <w:sz w:val="20"/>
              </w:rPr>
              <w:t>Integrate accessibility standards (e.g., WCAG) and test the system with users with disabilities to ensure compliance and usability.</w:t>
            </w:r>
          </w:p>
        </w:tc>
      </w:tr>
      <w:tr w:rsidR="00AA587E" w:rsidRPr="00B76B32" w14:paraId="330504CD" w14:textId="77777777" w:rsidTr="00B76B32">
        <w:trPr>
          <w:tblHeader/>
        </w:trPr>
        <w:tc>
          <w:tcPr>
            <w:tcW w:w="724" w:type="pct"/>
            <w:vAlign w:val="center"/>
            <w:hideMark/>
          </w:tcPr>
          <w:p>
            <w:r>
              <w:rPr>
                <w:rFonts w:ascii="Arial" w:hAnsi="Arial"/>
                <w:sz w:val="20"/>
              </w:rPr>
              <w:t>Inclusivity</w:t>
            </w:r>
          </w:p>
        </w:tc>
        <w:tc>
          <w:tcPr>
            <w:tcW w:w="933" w:type="pct"/>
            <w:vAlign w:val="center"/>
            <w:hideMark/>
          </w:tcPr>
          <w:p>
            <w:r>
              <w:rPr>
                <w:rFonts w:ascii="Arial" w:hAnsi="Arial"/>
                <w:sz w:val="20"/>
              </w:rPr>
              <w:t>IN-8</w:t>
            </w:r>
          </w:p>
        </w:tc>
        <w:tc>
          <w:tcPr>
            <w:tcW w:w="970" w:type="pct"/>
            <w:vAlign w:val="center"/>
            <w:hideMark/>
          </w:tcPr>
          <w:p>
            <w:r>
              <w:rPr>
                <w:rFonts w:ascii="Arial" w:hAnsi="Arial"/>
                <w:sz w:val="20"/>
              </w:rPr>
              <w:t>Use regular evaluations, including data analysis, user feedback, and testing, to identify and mitigate exclusionary impacts.</w:t>
            </w:r>
          </w:p>
        </w:tc>
      </w:tr>
      <w:tr w:rsidR="00AA587E" w:rsidRPr="00B76B32" w14:paraId="330504CD" w14:textId="77777777" w:rsidTr="00B76B32">
        <w:trPr>
          <w:tblHeader/>
        </w:trPr>
        <w:tc>
          <w:tcPr>
            <w:tcW w:w="724" w:type="pct"/>
            <w:vAlign w:val="center"/>
            <w:hideMark/>
          </w:tcPr>
          <w:p>
            <w:r>
              <w:rPr>
                <w:rFonts w:ascii="Arial" w:hAnsi="Arial"/>
                <w:sz w:val="20"/>
              </w:rPr>
              <w:t>Sustainability</w:t>
            </w:r>
          </w:p>
        </w:tc>
        <w:tc>
          <w:tcPr>
            <w:tcW w:w="933" w:type="pct"/>
            <w:vAlign w:val="center"/>
            <w:hideMark/>
          </w:tcPr>
          <w:p>
            <w:r>
              <w:rPr>
                <w:rFonts w:ascii="Arial" w:hAnsi="Arial"/>
                <w:sz w:val="20"/>
              </w:rPr>
              <w:t>SU-4</w:t>
            </w:r>
          </w:p>
        </w:tc>
        <w:tc>
          <w:tcPr>
            <w:tcW w:w="970" w:type="pct"/>
            <w:vAlign w:val="center"/>
            <w:hideMark/>
          </w:tcPr>
          <w:p>
            <w:r>
              <w:rPr>
                <w:rFonts w:ascii="Arial" w:hAnsi="Arial"/>
                <w:sz w:val="20"/>
              </w:rPr>
              <w:t>Quantify and track the carbon footprint of all training and deployment processes, with goals for reduction.</w:t>
            </w:r>
          </w:p>
        </w:tc>
      </w:tr>
      <w:tr w:rsidR="00AA587E" w:rsidRPr="00B76B32" w14:paraId="330504CD" w14:textId="77777777" w:rsidTr="00B76B32">
        <w:trPr>
          <w:tblHeader/>
        </w:trPr>
        <w:tc>
          <w:tcPr>
            <w:tcW w:w="724" w:type="pct"/>
            <w:vAlign w:val="center"/>
            <w:hideMark/>
          </w:tcPr>
          <w:p>
            <w:r>
              <w:rPr>
                <w:rFonts w:ascii="Arial" w:hAnsi="Arial"/>
                <w:sz w:val="20"/>
              </w:rPr>
              <w:t>Sustainability</w:t>
            </w:r>
          </w:p>
        </w:tc>
        <w:tc>
          <w:tcPr>
            <w:tcW w:w="933" w:type="pct"/>
            <w:vAlign w:val="center"/>
            <w:hideMark/>
          </w:tcPr>
          <w:p>
            <w:r>
              <w:rPr>
                <w:rFonts w:ascii="Arial" w:hAnsi="Arial"/>
                <w:sz w:val="20"/>
              </w:rPr>
              <w:t>SU-7</w:t>
            </w:r>
          </w:p>
        </w:tc>
        <w:tc>
          <w:tcPr>
            <w:tcW w:w="970" w:type="pct"/>
            <w:vAlign w:val="center"/>
            <w:hideMark/>
          </w:tcPr>
          <w:p>
            <w:r>
              <w:rPr>
                <w:rFonts w:ascii="Arial" w:hAnsi="Arial"/>
                <w:sz w:val="20"/>
              </w:rPr>
              <w:t>Clearly define and implement a balance between sustainability and performance, incorporating trade-offs into the design process.</w:t>
            </w:r>
          </w:p>
        </w:tc>
      </w:tr>
      <w:tr w:rsidR="00AA587E" w:rsidRPr="00B76B32" w14:paraId="330504CD" w14:textId="77777777" w:rsidTr="00B76B32">
        <w:trPr>
          <w:tblHeader/>
        </w:trPr>
        <w:tc>
          <w:tcPr>
            <w:tcW w:w="724" w:type="pct"/>
            <w:vAlign w:val="center"/>
            <w:hideMark/>
          </w:tcPr>
          <w:p>
            <w:r>
              <w:rPr>
                <w:rFonts w:ascii="Arial" w:hAnsi="Arial"/>
                <w:sz w:val="20"/>
              </w:rPr>
              <w:t>Explainability</w:t>
            </w:r>
          </w:p>
        </w:tc>
        <w:tc>
          <w:tcPr>
            <w:tcW w:w="933" w:type="pct"/>
            <w:vAlign w:val="center"/>
            <w:hideMark/>
          </w:tcPr>
          <w:p>
            <w:r>
              <w:rPr>
                <w:rFonts w:ascii="Arial" w:hAnsi="Arial"/>
                <w:sz w:val="20"/>
              </w:rPr>
              <w:t>EX-1</w:t>
            </w:r>
          </w:p>
        </w:tc>
        <w:tc>
          <w:tcPr>
            <w:tcW w:w="970" w:type="pct"/>
            <w:vAlign w:val="center"/>
            <w:hideMark/>
          </w:tcPr>
          <w:p>
            <w:r>
              <w:rPr>
                <w:rFonts w:ascii="Arial" w:hAnsi="Arial"/>
                <w:sz w:val="20"/>
              </w:rPr>
              <w:t>Explainability requirements are determined based on the criticality of the AI system, potential impacts, and stakeholder needs, with clear criteria established.</w:t>
            </w:r>
          </w:p>
        </w:tc>
      </w:tr>
      <w:tr w:rsidR="00AA587E" w:rsidRPr="00B76B32" w14:paraId="330504CD" w14:textId="77777777" w:rsidTr="00B76B32">
        <w:trPr>
          <w:tblHeader/>
        </w:trPr>
        <w:tc>
          <w:tcPr>
            <w:tcW w:w="724" w:type="pct"/>
            <w:vAlign w:val="center"/>
            <w:hideMark/>
          </w:tcPr>
          <w:p>
            <w:r>
              <w:rPr>
                <w:rFonts w:ascii="Arial" w:hAnsi="Arial"/>
                <w:sz w:val="20"/>
              </w:rPr>
              <w:t>Explainability</w:t>
            </w:r>
          </w:p>
        </w:tc>
        <w:tc>
          <w:tcPr>
            <w:tcW w:w="933" w:type="pct"/>
            <w:vAlign w:val="center"/>
            <w:hideMark/>
          </w:tcPr>
          <w:p>
            <w:r>
              <w:rPr>
                <w:rFonts w:ascii="Arial" w:hAnsi="Arial"/>
                <w:sz w:val="20"/>
              </w:rPr>
              <w:t>EX-5</w:t>
            </w:r>
          </w:p>
        </w:tc>
        <w:tc>
          <w:tcPr>
            <w:tcW w:w="970" w:type="pct"/>
            <w:vAlign w:val="center"/>
            <w:hideMark/>
          </w:tcPr>
          <w:p>
            <w:r>
              <w:rPr>
                <w:rFonts w:ascii="Arial" w:hAnsi="Arial"/>
                <w:sz w:val="20"/>
              </w:rPr>
              <w:t>Explicitly balance complexity and explainability, simplifying models or using interpretable methods where appropriate.</w:t>
            </w:r>
          </w:p>
        </w:tc>
      </w:tr>
      <w:tr w:rsidR="00AA587E" w:rsidRPr="00B76B32" w14:paraId="330504CD" w14:textId="77777777" w:rsidTr="00B76B32">
        <w:trPr>
          <w:tblHeader/>
        </w:trPr>
        <w:tc>
          <w:tcPr>
            <w:tcW w:w="724" w:type="pct"/>
            <w:vAlign w:val="center"/>
            <w:hideMark/>
          </w:tcPr>
          <w:p>
            <w:r>
              <w:rPr>
                <w:rFonts w:ascii="Arial" w:hAnsi="Arial"/>
                <w:sz w:val="20"/>
              </w:rPr>
              <w:t>Explainability</w:t>
            </w:r>
          </w:p>
        </w:tc>
        <w:tc>
          <w:tcPr>
            <w:tcW w:w="933" w:type="pct"/>
            <w:vAlign w:val="center"/>
            <w:hideMark/>
          </w:tcPr>
          <w:p>
            <w:r>
              <w:rPr>
                <w:rFonts w:ascii="Arial" w:hAnsi="Arial"/>
                <w:sz w:val="20"/>
              </w:rPr>
              <w:t>EX-8</w:t>
            </w:r>
          </w:p>
        </w:tc>
        <w:tc>
          <w:tcPr>
            <w:tcW w:w="970" w:type="pct"/>
            <w:vAlign w:val="center"/>
            <w:hideMark/>
          </w:tcPr>
          <w:p>
            <w:r>
              <w:rPr>
                <w:rFonts w:ascii="Arial" w:hAnsi="Arial"/>
                <w:sz w:val="20"/>
              </w:rPr>
              <w:t>Explanations are customized for each group (e.g., simplified for end-users, detailed for regulators, and actionable for internal teams).</w:t>
            </w:r>
          </w:p>
        </w:tc>
      </w:tr>
      <w:tr w:rsidR="00AA587E" w:rsidRPr="00B76B32" w14:paraId="330504CD" w14:textId="77777777" w:rsidTr="00B76B32">
        <w:trPr>
          <w:tblHeader/>
        </w:trPr>
        <w:tc>
          <w:tcPr>
            <w:tcW w:w="724" w:type="pct"/>
            <w:vAlign w:val="center"/>
            <w:hideMark/>
          </w:tcPr>
          <w:p>
            <w:r>
              <w:rPr>
                <w:rFonts w:ascii="Arial" w:hAnsi="Arial"/>
                <w:sz w:val="20"/>
              </w:rPr>
              <w:t>Fairness</w:t>
            </w:r>
          </w:p>
        </w:tc>
        <w:tc>
          <w:tcPr>
            <w:tcW w:w="933" w:type="pct"/>
            <w:vAlign w:val="center"/>
            <w:hideMark/>
          </w:tcPr>
          <w:p>
            <w:r>
              <w:rPr>
                <w:rFonts w:ascii="Arial" w:hAnsi="Arial"/>
                <w:sz w:val="20"/>
              </w:rPr>
              <w:t>FA-2</w:t>
            </w:r>
          </w:p>
        </w:tc>
        <w:tc>
          <w:tcPr>
            <w:tcW w:w="970" w:type="pct"/>
            <w:vAlign w:val="center"/>
            <w:hideMark/>
          </w:tcPr>
          <w:p>
            <w:r>
              <w:rPr>
                <w:rFonts w:ascii="Arial" w:hAnsi="Arial"/>
                <w:sz w:val="20"/>
              </w:rPr>
              <w:t>Conduct demographic analysis and source additional data to address gaps in representation.</w:t>
            </w:r>
          </w:p>
        </w:tc>
      </w:tr>
      <w:tr w:rsidR="00AA587E" w:rsidRPr="00B76B32" w14:paraId="330504CD" w14:textId="77777777" w:rsidTr="00B76B32">
        <w:trPr>
          <w:tblHeader/>
        </w:trPr>
        <w:tc>
          <w:tcPr>
            <w:tcW w:w="724" w:type="pct"/>
            <w:vAlign w:val="center"/>
            <w:hideMark/>
          </w:tcPr>
          <w:p>
            <w:r>
              <w:rPr>
                <w:rFonts w:ascii="Arial" w:hAnsi="Arial"/>
                <w:sz w:val="20"/>
              </w:rPr>
              <w:t>Fairness</w:t>
            </w:r>
          </w:p>
        </w:tc>
        <w:tc>
          <w:tcPr>
            <w:tcW w:w="933" w:type="pct"/>
            <w:vAlign w:val="center"/>
            <w:hideMark/>
          </w:tcPr>
          <w:p>
            <w:r>
              <w:rPr>
                <w:rFonts w:ascii="Arial" w:hAnsi="Arial"/>
                <w:sz w:val="20"/>
              </w:rPr>
              <w:t>FA-4</w:t>
            </w:r>
          </w:p>
        </w:tc>
        <w:tc>
          <w:tcPr>
            <w:tcW w:w="970" w:type="pct"/>
            <w:vAlign w:val="center"/>
            <w:hideMark/>
          </w:tcPr>
          <w:p>
            <w:r>
              <w:rPr>
                <w:rFonts w:ascii="Arial" w:hAnsi="Arial"/>
                <w:sz w:val="20"/>
              </w:rPr>
              <w:t>Use fairness metrics such as demographic parity or equal opportunity and conduct regular evaluations against these benchmarks.</w:t>
            </w:r>
          </w:p>
        </w:tc>
      </w:tr>
      <w:tr w:rsidR="00AA587E" w:rsidRPr="00B76B32" w14:paraId="330504CD" w14:textId="77777777" w:rsidTr="00B76B32">
        <w:trPr>
          <w:tblHeader/>
        </w:trPr>
        <w:tc>
          <w:tcPr>
            <w:tcW w:w="724" w:type="pct"/>
            <w:vAlign w:val="center"/>
            <w:hideMark/>
          </w:tcPr>
          <w:p>
            <w:r>
              <w:rPr>
                <w:rFonts w:ascii="Arial" w:hAnsi="Arial"/>
                <w:sz w:val="20"/>
              </w:rPr>
              <w:t>Fairness</w:t>
            </w:r>
          </w:p>
        </w:tc>
        <w:tc>
          <w:tcPr>
            <w:tcW w:w="933" w:type="pct"/>
            <w:vAlign w:val="center"/>
            <w:hideMark/>
          </w:tcPr>
          <w:p>
            <w:r>
              <w:rPr>
                <w:rFonts w:ascii="Arial" w:hAnsi="Arial"/>
                <w:sz w:val="20"/>
              </w:rPr>
              <w:t>FA-7</w:t>
            </w:r>
          </w:p>
        </w:tc>
        <w:tc>
          <w:tcPr>
            <w:tcW w:w="970" w:type="pct"/>
            <w:vAlign w:val="center"/>
            <w:hideMark/>
          </w:tcPr>
          <w:p>
            <w:r>
              <w:rPr>
                <w:rFonts w:ascii="Arial" w:hAnsi="Arial"/>
                <w:sz w:val="20"/>
              </w:rPr>
              <w:t>Introduce fairness weights or adjustments during model training and evaluate outputs specifically for underserved groups.</w:t>
            </w:r>
          </w:p>
        </w:tc>
      </w:tr>
      <w:tr w:rsidR="00AA587E" w:rsidRPr="00B76B32" w14:paraId="330504CD" w14:textId="77777777" w:rsidTr="00B76B32">
        <w:trPr>
          <w:tblHeader/>
        </w:trPr>
        <w:tc>
          <w:tcPr>
            <w:tcW w:w="724" w:type="pct"/>
            <w:vAlign w:val="center"/>
            <w:hideMark/>
          </w:tcPr>
          <w:p>
            <w:r>
              <w:rPr>
                <w:rFonts w:ascii="Arial" w:hAnsi="Arial"/>
                <w:sz w:val="20"/>
              </w:rPr>
              <w:t>Safety</w:t>
            </w:r>
          </w:p>
        </w:tc>
        <w:tc>
          <w:tcPr>
            <w:tcW w:w="933" w:type="pct"/>
            <w:vAlign w:val="center"/>
            <w:hideMark/>
          </w:tcPr>
          <w:p>
            <w:r>
              <w:rPr>
                <w:rFonts w:ascii="Arial" w:hAnsi="Arial"/>
                <w:sz w:val="20"/>
              </w:rPr>
              <w:t>SA-5</w:t>
            </w:r>
          </w:p>
        </w:tc>
        <w:tc>
          <w:tcPr>
            <w:tcW w:w="970" w:type="pct"/>
            <w:vAlign w:val="center"/>
            <w:hideMark/>
          </w:tcPr>
          <w:p>
            <w:r>
              <w:rPr>
                <w:rFonts w:ascii="Arial" w:hAnsi="Arial"/>
                <w:sz w:val="20"/>
              </w:rPr>
              <w:t>Establish and regularly test automated emergency shutdown protocols to address unsafe behavior.</w:t>
            </w:r>
          </w:p>
        </w:tc>
      </w:tr>
      <w:tr w:rsidR="00AA587E" w:rsidRPr="00B76B32" w14:paraId="330504CD" w14:textId="77777777" w:rsidTr="00B76B32">
        <w:trPr>
          <w:tblHeader/>
        </w:trPr>
        <w:tc>
          <w:tcPr>
            <w:tcW w:w="724" w:type="pct"/>
            <w:vAlign w:val="center"/>
            <w:hideMark/>
          </w:tcPr>
          <w:p>
            <w:r>
              <w:rPr>
                <w:rFonts w:ascii="Arial" w:hAnsi="Arial"/>
                <w:sz w:val="20"/>
              </w:rPr>
              <w:t>Safety</w:t>
            </w:r>
          </w:p>
        </w:tc>
        <w:tc>
          <w:tcPr>
            <w:tcW w:w="933" w:type="pct"/>
            <w:vAlign w:val="center"/>
            <w:hideMark/>
          </w:tcPr>
          <w:p>
            <w:r>
              <w:rPr>
                <w:rFonts w:ascii="Arial" w:hAnsi="Arial"/>
                <w:sz w:val="20"/>
              </w:rPr>
              <w:t>SA-6</w:t>
            </w:r>
          </w:p>
        </w:tc>
        <w:tc>
          <w:tcPr>
            <w:tcW w:w="970" w:type="pct"/>
            <w:vAlign w:val="center"/>
            <w:hideMark/>
          </w:tcPr>
          <w:p>
            <w:r>
              <w:rPr>
                <w:rFonts w:ascii="Arial" w:hAnsi="Arial"/>
                <w:sz w:val="20"/>
              </w:rPr>
              <w:t>Conduct systematic risk assessments, identify mitigation strategies, and document all steps taken to reduce harm.</w:t>
            </w:r>
          </w:p>
        </w:tc>
      </w:tr>
      <w:tr w:rsidR="00AA587E" w:rsidRPr="00B76B32" w14:paraId="330504CD" w14:textId="77777777" w:rsidTr="00B76B32">
        <w:trPr>
          <w:tblHeader/>
        </w:trPr>
        <w:tc>
          <w:tcPr>
            <w:tcW w:w="724" w:type="pct"/>
            <w:vAlign w:val="center"/>
            <w:hideMark/>
          </w:tcPr>
          <w:p>
            <w:r>
              <w:rPr>
                <w:rFonts w:ascii="Arial" w:hAnsi="Arial"/>
                <w:sz w:val="20"/>
              </w:rPr>
              <w:t>Safety</w:t>
            </w:r>
          </w:p>
        </w:tc>
        <w:tc>
          <w:tcPr>
            <w:tcW w:w="933" w:type="pct"/>
            <w:vAlign w:val="center"/>
            <w:hideMark/>
          </w:tcPr>
          <w:p>
            <w:r>
              <w:rPr>
                <w:rFonts w:ascii="Arial" w:hAnsi="Arial"/>
                <w:sz w:val="20"/>
              </w:rPr>
              <w:t>SA-8</w:t>
            </w:r>
          </w:p>
        </w:tc>
        <w:tc>
          <w:tcPr>
            <w:tcW w:w="970" w:type="pct"/>
            <w:vAlign w:val="center"/>
            <w:hideMark/>
          </w:tcPr>
          <w:p>
            <w:r>
              <w:rPr>
                <w:rFonts w:ascii="Arial" w:hAnsi="Arial"/>
                <w:sz w:val="20"/>
              </w:rPr>
              <w:t>Conduct extensive safety testing in realistic and high-risk scenarios, incorporating user feedback and system improvements.</w:t>
            </w:r>
          </w:p>
        </w:tc>
      </w:tr>
      <w:tr w:rsidR="00AA587E" w:rsidRPr="00B76B32" w14:paraId="330504CD" w14:textId="77777777" w:rsidTr="00B76B32">
        <w:trPr>
          <w:tblHeader/>
        </w:trPr>
        <w:tc>
          <w:tcPr>
            <w:tcW w:w="724" w:type="pct"/>
            <w:vAlign w:val="center"/>
            <w:hideMark/>
          </w:tcPr>
          <w:p>
            <w:r>
              <w:rPr>
                <w:rFonts w:ascii="Arial" w:hAnsi="Arial"/>
                <w:sz w:val="20"/>
              </w:rPr>
              <w:t>Privacy</w:t>
            </w:r>
          </w:p>
        </w:tc>
        <w:tc>
          <w:tcPr>
            <w:tcW w:w="933" w:type="pct"/>
            <w:vAlign w:val="center"/>
            <w:hideMark/>
          </w:tcPr>
          <w:p>
            <w:r>
              <w:rPr>
                <w:rFonts w:ascii="Arial" w:hAnsi="Arial"/>
                <w:sz w:val="20"/>
              </w:rPr>
              <w:t>PR-2</w:t>
            </w:r>
          </w:p>
        </w:tc>
        <w:tc>
          <w:tcPr>
            <w:tcW w:w="970" w:type="pct"/>
            <w:vAlign w:val="center"/>
            <w:hideMark/>
          </w:tcPr>
          <w:p>
            <w:r>
              <w:rPr>
                <w:rFonts w:ascii="Arial" w:hAnsi="Arial"/>
                <w:sz w:val="20"/>
              </w:rPr>
              <w:t>Use advanced techniques such as anonymization, pseudonymization, and encryption throughout the data lifecycle.</w:t>
            </w:r>
          </w:p>
        </w:tc>
      </w:tr>
      <w:tr w:rsidR="00AA587E" w:rsidRPr="00B76B32" w14:paraId="330504CD" w14:textId="77777777" w:rsidTr="00B76B32">
        <w:trPr>
          <w:tblHeader/>
        </w:trPr>
        <w:tc>
          <w:tcPr>
            <w:tcW w:w="724" w:type="pct"/>
            <w:vAlign w:val="center"/>
            <w:hideMark/>
          </w:tcPr>
          <w:p>
            <w:r>
              <w:rPr>
                <w:rFonts w:ascii="Arial" w:hAnsi="Arial"/>
                <w:sz w:val="20"/>
              </w:rPr>
              <w:t>Privacy</w:t>
            </w:r>
          </w:p>
        </w:tc>
        <w:tc>
          <w:tcPr>
            <w:tcW w:w="933" w:type="pct"/>
            <w:vAlign w:val="center"/>
            <w:hideMark/>
          </w:tcPr>
          <w:p>
            <w:r>
              <w:rPr>
                <w:rFonts w:ascii="Arial" w:hAnsi="Arial"/>
                <w:sz w:val="20"/>
              </w:rPr>
              <w:t>PR-4</w:t>
            </w:r>
          </w:p>
        </w:tc>
        <w:tc>
          <w:tcPr>
            <w:tcW w:w="970" w:type="pct"/>
            <w:vAlign w:val="center"/>
            <w:hideMark/>
          </w:tcPr>
          <w:p>
            <w:r>
              <w:rPr>
                <w:rFonts w:ascii="Arial" w:hAnsi="Arial"/>
                <w:sz w:val="20"/>
              </w:rPr>
              <w:t>Use purpose-limitation tags, access controls, and audits to ensure data is only used for its intended purpose.</w:t>
            </w:r>
          </w:p>
        </w:tc>
      </w:tr>
      <w:tr w:rsidR="00AA587E" w:rsidRPr="00B76B32" w14:paraId="330504CD" w14:textId="77777777" w:rsidTr="00B76B32">
        <w:trPr>
          <w:tblHeader/>
        </w:trPr>
        <w:tc>
          <w:tcPr>
            <w:tcW w:w="724" w:type="pct"/>
            <w:vAlign w:val="center"/>
            <w:hideMark/>
          </w:tcPr>
          <w:p>
            <w:r>
              <w:rPr>
                <w:rFonts w:ascii="Arial" w:hAnsi="Arial"/>
                <w:sz w:val="20"/>
              </w:rPr>
              <w:t>Privacy</w:t>
            </w:r>
          </w:p>
        </w:tc>
        <w:tc>
          <w:tcPr>
            <w:tcW w:w="933" w:type="pct"/>
            <w:vAlign w:val="center"/>
            <w:hideMark/>
          </w:tcPr>
          <w:p>
            <w:r>
              <w:rPr>
                <w:rFonts w:ascii="Arial" w:hAnsi="Arial"/>
                <w:sz w:val="20"/>
              </w:rPr>
              <w:t>PR-6</w:t>
            </w:r>
          </w:p>
        </w:tc>
        <w:tc>
          <w:tcPr>
            <w:tcW w:w="970" w:type="pct"/>
            <w:vAlign w:val="center"/>
            <w:hideMark/>
          </w:tcPr>
          <w:p>
            <w:r>
              <w:rPr>
                <w:rFonts w:ascii="Arial" w:hAnsi="Arial"/>
                <w:sz w:val="20"/>
              </w:rPr>
              <w:t>Implement continuous monitoring systems and automated alerts to detect and prevent privacy violations.</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SE-1</w:t>
            </w:r>
          </w:p>
        </w:tc>
        <w:tc>
          <w:tcPr>
            <w:tcW w:w="970" w:type="pct"/>
            <w:vAlign w:val="center"/>
            <w:hideMark/>
          </w:tcPr>
          <w:p>
            <w:r>
              <w:rPr>
                <w:rFonts w:ascii="Arial" w:hAnsi="Arial"/>
                <w:sz w:val="20"/>
              </w:rPr>
              <w:t>Use encryption, access controls, secure APIs, and tamper-proof logging to protect models and data.</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SE-3</w:t>
            </w:r>
          </w:p>
        </w:tc>
        <w:tc>
          <w:tcPr>
            <w:tcW w:w="970" w:type="pct"/>
            <w:vAlign w:val="center"/>
            <w:hideMark/>
          </w:tcPr>
          <w:p>
            <w:r>
              <w:rPr>
                <w:rFonts w:ascii="Arial" w:hAnsi="Arial"/>
                <w:sz w:val="20"/>
              </w:rPr>
              <w:t>Conduct regular security audits and penetration testing to identify and address vulnerabilities in the AI system.</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SE-4</w:t>
            </w:r>
          </w:p>
        </w:tc>
        <w:tc>
          <w:tcPr>
            <w:tcW w:w="970" w:type="pct"/>
            <w:vAlign w:val="center"/>
            <w:hideMark/>
          </w:tcPr>
          <w:p>
            <w:r>
              <w:rPr>
                <w:rFonts w:ascii="Arial" w:hAnsi="Arial"/>
                <w:sz w:val="20"/>
              </w:rPr>
              <w:t>Use secure environments for training, encrypt model artifacts during deployment, and monitor runtime operations for threats.</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SE-6</w:t>
            </w:r>
          </w:p>
        </w:tc>
        <w:tc>
          <w:tcPr>
            <w:tcW w:w="970" w:type="pct"/>
            <w:vAlign w:val="center"/>
            <w:hideMark/>
          </w:tcPr>
          <w:p>
            <w:r>
              <w:rPr>
                <w:rFonts w:ascii="Arial" w:hAnsi="Arial"/>
                <w:sz w:val="20"/>
              </w:rPr>
              <w:t>Use adversarial training, anomaly detection systems, and input validation mechanisms to mitigate risks.</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SE-8</w:t>
            </w:r>
          </w:p>
        </w:tc>
        <w:tc>
          <w:tcPr>
            <w:tcW w:w="970" w:type="pct"/>
            <w:vAlign w:val="center"/>
            <w:hideMark/>
          </w:tcPr>
          <w:p>
            <w:r>
              <w:rPr>
                <w:rFonts w:ascii="Arial" w:hAnsi="Arial"/>
                <w:sz w:val="20"/>
              </w:rPr>
              <w:t>Perform regular vulnerability assessments and penetration tests tailored to AI-specific risks.</w:t>
            </w:r>
          </w:p>
        </w:tc>
      </w:tr>
      <w:tr w:rsidR="00AA587E" w:rsidRPr="00B76B32" w14:paraId="330504CD" w14:textId="77777777" w:rsidTr="00B76B32">
        <w:trPr>
          <w:tblHeader/>
        </w:trPr>
        <w:tc>
          <w:tcPr>
            <w:tcW w:w="724" w:type="pct"/>
            <w:vAlign w:val="center"/>
            <w:hideMark/>
          </w:tcPr>
          <w:p>
            <w:r>
              <w:rPr>
                <w:rFonts w:ascii="Arial" w:hAnsi="Arial"/>
                <w:sz w:val="20"/>
              </w:rPr>
              <w:t>Transparency</w:t>
            </w:r>
          </w:p>
        </w:tc>
        <w:tc>
          <w:tcPr>
            <w:tcW w:w="933" w:type="pct"/>
            <w:vAlign w:val="center"/>
            <w:hideMark/>
          </w:tcPr>
          <w:p>
            <w:r>
              <w:rPr>
                <w:rFonts w:ascii="Arial" w:hAnsi="Arial"/>
                <w:sz w:val="20"/>
              </w:rPr>
              <w:t>TR-2</w:t>
            </w:r>
          </w:p>
        </w:tc>
        <w:tc>
          <w:tcPr>
            <w:tcW w:w="970" w:type="pct"/>
            <w:vAlign w:val="center"/>
            <w:hideMark/>
          </w:tcPr>
          <w:p>
            <w:r>
              <w:rPr>
                <w:rFonts w:ascii="Arial" w:hAnsi="Arial"/>
                <w:sz w:val="20"/>
              </w:rPr>
              <w:t>Comprehensive documentation of data sources, preprocessing steps, algorithms, and processes is maintained and regularly updated.</w:t>
            </w:r>
          </w:p>
        </w:tc>
      </w:tr>
      <w:tr w:rsidR="00AA587E" w:rsidRPr="00B76B32" w14:paraId="330504CD" w14:textId="77777777" w:rsidTr="00B76B32">
        <w:trPr>
          <w:tblHeader/>
        </w:trPr>
        <w:tc>
          <w:tcPr>
            <w:tcW w:w="724" w:type="pct"/>
            <w:vAlign w:val="center"/>
            <w:hideMark/>
          </w:tcPr>
          <w:p>
            <w:r>
              <w:rPr>
                <w:rFonts w:ascii="Arial" w:hAnsi="Arial"/>
                <w:sz w:val="20"/>
              </w:rPr>
              <w:t>Transparency</w:t>
            </w:r>
          </w:p>
        </w:tc>
        <w:tc>
          <w:tcPr>
            <w:tcW w:w="933" w:type="pct"/>
            <w:vAlign w:val="center"/>
            <w:hideMark/>
          </w:tcPr>
          <w:p>
            <w:r>
              <w:rPr>
                <w:rFonts w:ascii="Arial" w:hAnsi="Arial"/>
                <w:sz w:val="20"/>
              </w:rPr>
              <w:t>TR-5</w:t>
            </w:r>
          </w:p>
        </w:tc>
        <w:tc>
          <w:tcPr>
            <w:tcW w:w="970" w:type="pct"/>
            <w:vAlign w:val="center"/>
            <w:hideMark/>
          </w:tcPr>
          <w:p>
            <w:r>
              <w:rPr>
                <w:rFonts w:ascii="Arial" w:hAnsi="Arial"/>
                <w:sz w:val="20"/>
              </w:rPr>
              <w:t>No, the system is fully explainable with no black-box components.</w:t>
            </w:r>
          </w:p>
        </w:tc>
      </w:tr>
      <w:tr w:rsidR="00AA587E" w:rsidRPr="00B76B32" w14:paraId="330504CD" w14:textId="77777777" w:rsidTr="00B76B32">
        <w:trPr>
          <w:tblHeader/>
        </w:trPr>
        <w:tc>
          <w:tcPr>
            <w:tcW w:w="724" w:type="pct"/>
            <w:vAlign w:val="center"/>
            <w:hideMark/>
          </w:tcPr>
          <w:p>
            <w:r>
              <w:rPr>
                <w:rFonts w:ascii="Arial" w:hAnsi="Arial"/>
                <w:sz w:val="20"/>
              </w:rPr>
              <w:t>Accountability</w:t>
            </w:r>
          </w:p>
        </w:tc>
        <w:tc>
          <w:tcPr>
            <w:tcW w:w="933" w:type="pct"/>
            <w:vAlign w:val="center"/>
            <w:hideMark/>
          </w:tcPr>
          <w:p>
            <w:r>
              <w:rPr>
                <w:rFonts w:ascii="Arial" w:hAnsi="Arial"/>
                <w:sz w:val="20"/>
              </w:rPr>
              <w:t>AC-4</w:t>
            </w:r>
          </w:p>
        </w:tc>
        <w:tc>
          <w:tcPr>
            <w:tcW w:w="970" w:type="pct"/>
            <w:vAlign w:val="center"/>
            <w:hideMark/>
          </w:tcPr>
          <w:p>
            <w:r>
              <w:rPr>
                <w:rFonts w:ascii="Arial" w:hAnsi="Arial"/>
                <w:sz w:val="20"/>
              </w:rPr>
              <w:t>A structured process is in place for addressing complaints, including a clear escalation path and manual review options.</w:t>
            </w:r>
          </w:p>
        </w:tc>
      </w:tr>
      <w:tr w:rsidR="00AA587E" w:rsidRPr="00B76B32" w14:paraId="330504CD" w14:textId="77777777" w:rsidTr="00B76B32">
        <w:trPr>
          <w:tblHeader/>
        </w:trPr>
        <w:tc>
          <w:tcPr>
            <w:tcW w:w="724" w:type="pct"/>
            <w:vAlign w:val="center"/>
            <w:hideMark/>
          </w:tcPr>
          <w:p>
            <w:r>
              <w:rPr>
                <w:rFonts w:ascii="Arial" w:hAnsi="Arial"/>
                <w:sz w:val="20"/>
              </w:rPr>
              <w:t>Accountability</w:t>
            </w:r>
          </w:p>
        </w:tc>
        <w:tc>
          <w:tcPr>
            <w:tcW w:w="933" w:type="pct"/>
            <w:vAlign w:val="center"/>
            <w:hideMark/>
          </w:tcPr>
          <w:p>
            <w:r>
              <w:rPr>
                <w:rFonts w:ascii="Arial" w:hAnsi="Arial"/>
                <w:sz w:val="20"/>
              </w:rPr>
              <w:t>AC-6</w:t>
            </w:r>
          </w:p>
        </w:tc>
        <w:tc>
          <w:tcPr>
            <w:tcW w:w="970" w:type="pct"/>
            <w:vAlign w:val="center"/>
            <w:hideMark/>
          </w:tcPr>
          <w:p>
            <w:r>
              <w:rPr>
                <w:rFonts w:ascii="Arial" w:hAnsi="Arial"/>
                <w:sz w:val="20"/>
              </w:rPr>
              <w:t>Dedicated teams or individuals are assigned to monitor and manage the AI system at all stages of its lifecycle.</w:t>
            </w:r>
          </w:p>
        </w:tc>
      </w:tr>
      <w:tr w:rsidR="00AA587E" w:rsidRPr="00B76B32" w14:paraId="330504CD" w14:textId="77777777" w:rsidTr="00B76B32">
        <w:trPr>
          <w:tblHeader/>
        </w:trPr>
        <w:tc>
          <w:tcPr>
            <w:tcW w:w="724" w:type="pct"/>
            <w:vAlign w:val="center"/>
            <w:hideMark/>
          </w:tcPr>
          <w:p>
            <w:r>
              <w:rPr>
                <w:rFonts w:ascii="Arial" w:hAnsi="Arial"/>
                <w:sz w:val="20"/>
              </w:rPr>
              <w:t>Accountability</w:t>
            </w:r>
          </w:p>
        </w:tc>
        <w:tc>
          <w:tcPr>
            <w:tcW w:w="933" w:type="pct"/>
            <w:vAlign w:val="center"/>
            <w:hideMark/>
          </w:tcPr>
          <w:p>
            <w:r>
              <w:rPr>
                <w:rFonts w:ascii="Arial" w:hAnsi="Arial"/>
                <w:sz w:val="20"/>
              </w:rPr>
              <w:t>AC-8</w:t>
            </w:r>
          </w:p>
        </w:tc>
        <w:tc>
          <w:tcPr>
            <w:tcW w:w="970" w:type="pct"/>
            <w:vAlign w:val="center"/>
            <w:hideMark/>
          </w:tcPr>
          <w:p>
            <w:r>
              <w:rPr>
                <w:rFonts w:ascii="Arial" w:hAnsi="Arial"/>
                <w:sz w:val="20"/>
              </w:rPr>
              <w:t>Established mechanisms, such as appeals processes or review boards, are in place to address disputes and ensure resolution.</w:t>
            </w:r>
          </w:p>
        </w:tc>
      </w:tr>
      <w:tr w:rsidR="00AA587E" w:rsidRPr="00B76B32" w14:paraId="330504CD" w14:textId="77777777" w:rsidTr="00B76B32">
        <w:trPr>
          <w:tblHeader/>
        </w:trPr>
        <w:tc>
          <w:tcPr>
            <w:tcW w:w="724" w:type="pct"/>
            <w:vAlign w:val="center"/>
            <w:hideMark/>
          </w:tcPr>
          <w:p>
            <w:r>
              <w:rPr>
                <w:rFonts w:ascii="Arial" w:hAnsi="Arial"/>
                <w:sz w:val="20"/>
              </w:rPr>
              <w:t>Data Integrity</w:t>
            </w:r>
          </w:p>
        </w:tc>
        <w:tc>
          <w:tcPr>
            <w:tcW w:w="933" w:type="pct"/>
            <w:vAlign w:val="center"/>
            <w:hideMark/>
          </w:tcPr>
          <w:p>
            <w:r>
              <w:rPr>
                <w:rFonts w:ascii="Arial" w:hAnsi="Arial"/>
                <w:sz w:val="20"/>
              </w:rPr>
              <w:t>DI-6</w:t>
            </w:r>
          </w:p>
        </w:tc>
        <w:tc>
          <w:tcPr>
            <w:tcW w:w="970" w:type="pct"/>
            <w:vAlign w:val="center"/>
            <w:hideMark/>
          </w:tcPr>
          <w:p>
            <w:r>
              <w:rPr>
                <w:rFonts w:ascii="Arial" w:hAnsi="Arial"/>
                <w:sz w:val="20"/>
              </w:rPr>
              <w:t>Use automated tools and established workflows to clean, normalize, and preprocess data consistently.</w:t>
            </w:r>
          </w:p>
        </w:tc>
      </w:tr>
      <w:tr w:rsidR="00AA587E" w:rsidRPr="00B76B32" w14:paraId="330504CD" w14:textId="77777777" w:rsidTr="00B76B32">
        <w:trPr>
          <w:tblHeader/>
        </w:trPr>
        <w:tc>
          <w:tcPr>
            <w:tcW w:w="724" w:type="pct"/>
            <w:vAlign w:val="center"/>
            <w:hideMark/>
          </w:tcPr>
          <w:p>
            <w:r>
              <w:rPr>
                <w:rFonts w:ascii="Arial" w:hAnsi="Arial"/>
                <w:sz w:val="20"/>
              </w:rPr>
              <w:t>Reliability</w:t>
            </w:r>
          </w:p>
        </w:tc>
        <w:tc>
          <w:tcPr>
            <w:tcW w:w="933" w:type="pct"/>
            <w:vAlign w:val="center"/>
            <w:hideMark/>
          </w:tcPr>
          <w:p>
            <w:r>
              <w:rPr>
                <w:rFonts w:ascii="Arial" w:hAnsi="Arial"/>
                <w:sz w:val="20"/>
              </w:rPr>
              <w:t>RE-1</w:t>
            </w:r>
          </w:p>
        </w:tc>
        <w:tc>
          <w:tcPr>
            <w:tcW w:w="970" w:type="pct"/>
            <w:vAlign w:val="center"/>
            <w:hideMark/>
          </w:tcPr>
          <w:p>
            <w:r>
              <w:rPr>
                <w:rFonts w:ascii="Arial" w:hAnsi="Arial"/>
                <w:sz w:val="20"/>
              </w:rPr>
              <w:t>Conduct comprehensive testing across diverse scenarios, including edge cases, stress conditions, and varied data inputs.</w:t>
            </w:r>
          </w:p>
        </w:tc>
      </w:tr>
      <w:tr w:rsidR="00AA587E" w:rsidRPr="00B76B32" w14:paraId="330504CD" w14:textId="77777777" w:rsidTr="00B76B32">
        <w:trPr>
          <w:tblHeader/>
        </w:trPr>
        <w:tc>
          <w:tcPr>
            <w:tcW w:w="724" w:type="pct"/>
            <w:vAlign w:val="center"/>
            <w:hideMark/>
          </w:tcPr>
          <w:p>
            <w:r>
              <w:rPr>
                <w:rFonts w:ascii="Arial" w:hAnsi="Arial"/>
                <w:sz w:val="20"/>
              </w:rPr>
              <w:t>Reliability</w:t>
            </w:r>
          </w:p>
        </w:tc>
        <w:tc>
          <w:tcPr>
            <w:tcW w:w="933" w:type="pct"/>
            <w:vAlign w:val="center"/>
            <w:hideMark/>
          </w:tcPr>
          <w:p>
            <w:r>
              <w:rPr>
                <w:rFonts w:ascii="Arial" w:hAnsi="Arial"/>
                <w:sz w:val="20"/>
              </w:rPr>
              <w:t>RE-3</w:t>
            </w:r>
          </w:p>
        </w:tc>
        <w:tc>
          <w:tcPr>
            <w:tcW w:w="970" w:type="pct"/>
            <w:vAlign w:val="center"/>
            <w:hideMark/>
          </w:tcPr>
          <w:p>
            <w:r>
              <w:rPr>
                <w:rFonts w:ascii="Arial" w:hAnsi="Arial"/>
                <w:sz w:val="20"/>
              </w:rPr>
              <w:t>Implement continuous monitoring systems with alerts for issues like model drift, degradation, or anomalies.</w:t>
            </w:r>
          </w:p>
        </w:tc>
      </w:tr>
      <w:tr w:rsidR="00AA587E" w:rsidRPr="00B76B32" w14:paraId="330504CD" w14:textId="77777777" w:rsidTr="00B76B32">
        <w:trPr>
          <w:tblHeader/>
        </w:trPr>
        <w:tc>
          <w:tcPr>
            <w:tcW w:w="724" w:type="pct"/>
            <w:vAlign w:val="center"/>
            <w:hideMark/>
          </w:tcPr>
          <w:p>
            <w:r>
              <w:rPr>
                <w:rFonts w:ascii="Arial" w:hAnsi="Arial"/>
                <w:sz w:val="20"/>
              </w:rPr>
              <w:t>Reliability</w:t>
            </w:r>
          </w:p>
        </w:tc>
        <w:tc>
          <w:tcPr>
            <w:tcW w:w="933" w:type="pct"/>
            <w:vAlign w:val="center"/>
            <w:hideMark/>
          </w:tcPr>
          <w:p>
            <w:r>
              <w:rPr>
                <w:rFonts w:ascii="Arial" w:hAnsi="Arial"/>
                <w:sz w:val="20"/>
              </w:rPr>
              <w:t>RE-4</w:t>
            </w:r>
          </w:p>
        </w:tc>
        <w:tc>
          <w:tcPr>
            <w:tcW w:w="970" w:type="pct"/>
            <w:vAlign w:val="center"/>
            <w:hideMark/>
          </w:tcPr>
          <w:p>
            <w:r>
              <w:rPr>
                <w:rFonts w:ascii="Arial" w:hAnsi="Arial"/>
                <w:sz w:val="20"/>
              </w:rPr>
              <w:t>Define and regularly track clear, measurable success metrics that align with business goals and stakeholder expectations.</w:t>
            </w:r>
          </w:p>
        </w:tc>
      </w:tr>
    </w:tbl>
    <w:p w14:paraId="3E58B3B7" w14:textId="77777777" w:rsidR="00AA587E" w:rsidRPr="00AA587E" w:rsidRDefault="00AA587E" w:rsidP="00AA587E">
      <w:pPr>
        <w:rPr>
          <w:lang w:val="en-AU"/>
        </w:rPr>
      </w:pPr>
      <w:r w:rsidRPr="00AA587E">
        <w:rPr>
          <w:lang w:val="en-AU"/>
        </w:rPr>
        <w:pict w14:anchorId="33ABC872">
          <v:rect id="_x0000_i1134" style="width:0;height:1.5pt" o:hralign="center" o:hrstd="t" o:hr="t" fillcolor="#a0a0a0" stroked="f"/>
        </w:pict>
      </w:r>
    </w:p>
    <w:p w14:paraId="6BF33830" w14:textId="77777777" w:rsidR="00AA587E" w:rsidRPr="00AA587E" w:rsidRDefault="00AA587E" w:rsidP="00AA587E">
      <w:pPr>
        <w:rPr>
          <w:b/>
          <w:bCs/>
          <w:lang w:val="en-AU"/>
        </w:rPr>
      </w:pPr>
      <w:r w:rsidRPr="00AA587E">
        <w:rPr>
          <w:b/>
          <w:bCs/>
          <w:lang w:val="en-AU"/>
        </w:rPr>
        <w:t>6. Evidence  Assurance Coverage</w:t>
      </w:r>
    </w:p>
    <w:p w14:paraId="6CBF78EE" w14:textId="77777777" w:rsidR="00AA587E" w:rsidRPr="00AA587E" w:rsidRDefault="00AA587E" w:rsidP="00B76B32">
      <w:pPr>
        <w:rPr>
          <w:lang w:val="en-AU"/>
        </w:rPr>
      </w:pPr>
      <w:r w:rsidRPr="00AA587E">
        <w:rPr>
          <w:lang w:val="en-AU"/>
        </w:rPr>
        <w:t>This section summarises the level of supporting evidence provided during the assessment.</w:t>
      </w:r>
    </w:p>
    <w:p w14:paraId="088F2718" w14:textId="2FCDD96C"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Total evidence artefacts submitted:</w:t>
      </w:r>
      <w:r w:rsidRPr="00B76B32">
        <w:rPr>
          <w:lang w:val="en-AU"/>
        </w:rPr>
        <w:t xml:space="preserve"> </w:t>
      </w:r>
      <w:r w:rsidR="00CD4692">
        <w:rPr>
          <w:lang w:val="en-AU"/>
        </w:rPr>
        <w:t xml:space="preserve">0</w:t>
      </w:r>
    </w:p>
    <w:p w14:paraId="76DB7518" w14:textId="281D663F"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Artefacts linked to high-priority risks:</w:t>
      </w:r>
      <w:r w:rsidRPr="00B76B32">
        <w:rPr>
          <w:lang w:val="en-AU"/>
        </w:rPr>
        <w:t xml:space="preserve"> </w:t>
      </w:r>
      <w:r w:rsidR="00CD4692">
        <w:rPr>
          <w:lang w:val="en-AU"/>
        </w:rPr>
        <w:t xml:space="preserve">0</w:t>
      </w:r>
    </w:p>
    <w:p w14:paraId="5C280E75" w14:textId="0C2565D4"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Overall evidence coverage:</w:t>
      </w:r>
      <w:r w:rsidRPr="00B76B32">
        <w:rPr>
          <w:lang w:val="en-AU"/>
        </w:rPr>
        <w:t xml:space="preserve"> </w:t>
      </w:r>
      <w:r w:rsidR="00CD4692">
        <w:rPr>
          <w:lang w:val="en-AU"/>
        </w:rPr>
        <w:t xml:space="preserve">0.0</w:t>
      </w:r>
      <w:r w:rsidRPr="00B76B32">
        <w:rPr>
          <w:lang w:val="en-AU"/>
        </w:rPr>
        <w:t>%</w:t>
      </w:r>
      <w:proofErr w:type="gramEnd"/>
    </w:p>
    <w:p w14:paraId="07BF7859" w14:textId="12750A6D"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Identified evidence gaps:</w:t>
      </w:r>
      <w:r w:rsidRPr="00B76B32">
        <w:rPr>
          <w:lang w:val="en-AU"/>
        </w:rPr>
        <w:t xml:space="preserve"> </w:t>
      </w:r>
      <w:r w:rsidR="00CD4692">
        <w:rPr>
          <w:lang w:val="en-AU"/>
        </w:rPr>
        <w:t xml:space="preserve">8</w:t>
      </w:r>
    </w:p>
    <w:p w14:paraId="577899A4" w14:textId="77777777" w:rsidR="00AA587E" w:rsidRPr="00AA587E" w:rsidRDefault="00AA587E" w:rsidP="00B76B32">
      <w:pPr>
        <w:ind w:left="360"/>
        <w:rPr>
          <w:lang w:val="en-AU"/>
        </w:rPr>
      </w:pPr>
      <w:r w:rsidRPr="00AA587E">
        <w:rPr>
          <w:lang w:val="en-AU"/>
        </w:rPr>
        <w:t xml:space="preserve"/>
      </w:r>
      <w:r w:rsidRPr="00AA587E">
        <w:rPr>
          <w:lang w:val="en-AU"/>
        </w:rPr>
        <w:br/>
      </w:r>
      <w:r w:rsidRPr="00AA587E">
        <w:rPr>
          <w:b/>
          <w:bCs/>
          <w:lang w:val="en-AU"/>
        </w:rPr>
        <w:t xml:space="preserve">Key Evidence Gaps Identified</w:t>
      </w:r>
      <w:r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IN-2</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IN-6</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IN-7</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Sustainability</w:t>
      </w:r>
      <w:r w:rsidR="00AA587E" w:rsidRPr="00AA587E">
        <w:rPr>
          <w:lang w:val="en-AU"/>
        </w:rPr>
        <w:t xml:space="preserve"> – </w:t>
      </w:r>
      <w:r>
        <w:rPr>
          <w:lang w:val="en-AU"/>
        </w:rPr>
        <w:t xml:space="preserve">SU-2</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Explainability</w:t>
      </w:r>
      <w:r w:rsidR="00AA587E" w:rsidRPr="00AA587E">
        <w:rPr>
          <w:lang w:val="en-AU"/>
        </w:rPr>
        <w:t xml:space="preserve"> – </w:t>
      </w:r>
      <w:r>
        <w:rPr>
          <w:lang w:val="en-AU"/>
        </w:rPr>
        <w:t xml:space="preserve">EX-3</w:t>
      </w:r>
      <w:r w:rsidR="00AA587E" w:rsidRPr="00AA587E">
        <w:rPr>
          <w:lang w:val="en-AU"/>
        </w:rPr>
        <w:t xml:space="preserve">: </w:t>
      </w:r>
      <w:r>
        <w:rPr>
          <w:lang w:val="en-AU"/>
        </w:rPr>
        <w:t xml:space="preserve">High priority action without linked evidence</w:t>
      </w:r>
      <w:r w:rsidR="00AA587E" w:rsidRPr="00AA587E">
        <w:rPr>
          <w:lang w:val="en-AU"/>
        </w:rPr>
        <w:br/>
        <w:t xml:space="preserve"/>
      </w:r>
      <w:r w:rsidR="00AA587E" w:rsidRPr="00AA587E">
        <w:rPr>
          <w:lang w:val="en-AU"/>
        </w:rPr>
        <w:br/>
        <w:t xml:space="preserve"/>
      </w:r>
    </w:p>
    <w:p w14:paraId="63775551" w14:textId="77777777" w:rsidR="00AA587E" w:rsidRPr="00AA587E" w:rsidRDefault="00AA587E" w:rsidP="00B76B32">
      <w:pPr>
        <w:ind w:left="360"/>
        <w:rPr>
          <w:lang w:val="en-AU"/>
        </w:rPr>
      </w:pPr>
      <w:r w:rsidRPr="00AA587E">
        <w:rPr>
          <w:lang w:val="en-AU"/>
        </w:rPr>
        <w:t>Evidence coverage supports confidence in the assessment results and highlights areas where additional assurance artefacts would strengthen governance and audit readiness.</w:t>
      </w:r>
    </w:p>
    <w:p w14:paraId="7410F68A" w14:textId="77777777" w:rsidR="00AA587E" w:rsidRPr="00AA587E" w:rsidRDefault="00AA587E" w:rsidP="00AA587E">
      <w:pPr>
        <w:rPr>
          <w:lang w:val="en-AU"/>
        </w:rPr>
      </w:pPr>
      <w:r w:rsidRPr="00AA587E">
        <w:rPr>
          <w:lang w:val="en-AU"/>
        </w:rPr>
        <w:pict w14:anchorId="60359155">
          <v:rect id="_x0000_i1135" style="width:0;height:1.5pt" o:hralign="center" o:hrstd="t" o:hr="t" fillcolor="#a0a0a0" stroked="f"/>
        </w:pict>
      </w:r>
    </w:p>
    <w:p w14:paraId="49CEFE79" w14:textId="77777777" w:rsidR="00AA587E" w:rsidRPr="00AA587E" w:rsidRDefault="00AA587E" w:rsidP="00AA587E">
      <w:pPr>
        <w:rPr>
          <w:b/>
          <w:bCs/>
          <w:lang w:val="en-AU"/>
        </w:rPr>
      </w:pPr>
      <w:r w:rsidRPr="00AA587E">
        <w:rPr>
          <w:b/>
          <w:bCs/>
          <w:lang w:val="en-AU"/>
        </w:rPr>
        <w:t>7. Scope, Assumptions  Limitations</w:t>
      </w:r>
    </w:p>
    <w:p w14:paraId="250548FE" w14:textId="77777777" w:rsidR="00AA587E" w:rsidRPr="00AA587E" w:rsidRDefault="00AA587E" w:rsidP="00B76B32">
      <w:pPr>
        <w:rPr>
          <w:lang w:val="en-AU"/>
        </w:rPr>
      </w:pPr>
      <w:r w:rsidRPr="00AA587E">
        <w:rPr>
          <w:lang w:val="en-AU"/>
        </w:rPr>
        <w:t>This assessment is based on information provided at the time of assessment, including self-reported responses and submitted evidence artefacts.</w:t>
      </w:r>
    </w:p>
    <w:p w14:paraId="56CDF45D" w14:textId="77777777" w:rsidR="00AA587E" w:rsidRPr="00AA587E" w:rsidRDefault="00AA587E" w:rsidP="00B76B32">
      <w:pPr>
        <w:rPr>
          <w:lang w:val="en-AU"/>
        </w:rPr>
      </w:pPr>
      <w:r w:rsidRPr="00AA587E">
        <w:rPr>
          <w:lang w:val="en-AU"/>
        </w:rPr>
        <w:t>Key limitations include:</w:t>
      </w:r>
    </w:p>
    <w:p w14:paraId="3624878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The assessment does not constitute legal, regulatory, or compliance advice</w:t>
      </w:r>
    </w:p>
    <w:p w14:paraId="3270F80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Results reflect current practices and may change as controls mature or operating conditions evolve</w:t>
      </w:r>
    </w:p>
    <w:p w14:paraId="32E8DDAB"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Evidence sufficiency has been assessed at a high level and does not replace formal audit or assurance activities</w:t>
      </w:r>
    </w:p>
    <w:p w14:paraId="2A8CC5E2" w14:textId="77777777" w:rsidR="00AA587E" w:rsidRPr="00AA587E" w:rsidRDefault="00AA587E" w:rsidP="00B76B32">
      <w:pPr>
        <w:rPr>
          <w:lang w:val="en-AU"/>
        </w:rPr>
      </w:pPr>
      <w:r w:rsidRPr="00AA587E">
        <w:rPr>
          <w:lang w:val="en-AU"/>
        </w:rPr>
        <w:t>Future reassessments are recommended to track maturity progression over time and validate the effectiveness of implemented improvements.</w:t>
      </w:r>
    </w:p>
    <w:p w14:paraId="759043FE" w14:textId="77777777" w:rsidR="00AA587E" w:rsidRPr="00AA587E" w:rsidRDefault="00AA587E" w:rsidP="00AA587E">
      <w:pPr>
        <w:rPr>
          <w:lang w:val="en-AU"/>
        </w:rPr>
      </w:pPr>
      <w:r w:rsidRPr="00AA587E">
        <w:rPr>
          <w:lang w:val="en-AU"/>
        </w:rPr>
        <w:pict w14:anchorId="02155482">
          <v:rect id="_x0000_i1136" style="width:0;height:1.5pt" o:hralign="center" o:hrstd="t" o:hr="t" fillcolor="#a0a0a0" stroked="f"/>
        </w:pict>
      </w:r>
    </w:p>
    <w:p w14:paraId="3A8D5FC2" w14:textId="19E55B44" w:rsidR="00AA587E" w:rsidRPr="00AA587E" w:rsidRDefault="00AA587E" w:rsidP="00B76B32">
      <w:pPr>
        <w:rPr>
          <w:lang w:val="en-AU"/>
        </w:rPr>
      </w:pPr>
      <w:r w:rsidRPr="00AA587E">
        <w:rPr>
          <w:b/>
          <w:bCs/>
          <w:lang w:val="en-AU"/>
        </w:rPr>
        <w:lastRenderedPageBreak/>
        <w:t>Report generated on:</w:t>
      </w:r>
      <w:r w:rsidRPr="00AA587E">
        <w:rPr>
          <w:lang w:val="en-AU"/>
        </w:rPr>
        <w:t xml:space="preserve"> </w:t>
      </w:r>
      <w:r w:rsidR="00CD4692">
        <w:rPr>
          <w:lang w:val="en-AU"/>
        </w:rPr>
        <w:t xml:space="preserve">2026-01-08T01:35:46</w:t>
      </w:r>
      <w:r w:rsidRPr="00AA587E">
        <w:rPr>
          <w:lang w:val="en-AU"/>
        </w:rPr>
        <w:br/>
      </w:r>
      <w:r w:rsidRPr="00AA587E">
        <w:rPr>
          <w:b/>
          <w:bCs/>
          <w:lang w:val="en-AU"/>
        </w:rPr>
        <w:t>Assessment source reference:</w:t>
      </w:r>
      <w:r w:rsidRPr="00AA587E">
        <w:rPr>
          <w:lang w:val="en-AU"/>
        </w:rPr>
        <w:t xml:space="preserve"> </w:t>
      </w:r>
      <w:r w:rsidR="00CD4692">
        <w:rPr>
          <w:lang w:val="en-AU"/>
        </w:rPr>
        <w:t xml:space="preserve">N/A</w:t>
      </w:r>
    </w:p>
    <w:p w14:paraId="004C37ED" w14:textId="77777777" w:rsidR="00DE0D60" w:rsidRDefault="00DE0D60"/>
    <w:sectPr w:rsidR="00DE0D60" w:rsidSect="005132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F906E850"/>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658DD"/>
    <w:multiLevelType w:val="multilevel"/>
    <w:tmpl w:val="E44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BEF"/>
    <w:multiLevelType w:val="multilevel"/>
    <w:tmpl w:val="0F2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51F"/>
    <w:multiLevelType w:val="multilevel"/>
    <w:tmpl w:val="5B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41A4"/>
    <w:multiLevelType w:val="multilevel"/>
    <w:tmpl w:val="E44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2510"/>
    <w:multiLevelType w:val="hybridMultilevel"/>
    <w:tmpl w:val="45C03F2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2DB495B"/>
    <w:multiLevelType w:val="multilevel"/>
    <w:tmpl w:val="EEA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D12CF"/>
    <w:multiLevelType w:val="multilevel"/>
    <w:tmpl w:val="727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77399"/>
    <w:multiLevelType w:val="hybridMultilevel"/>
    <w:tmpl w:val="1646E0F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5FF86D94"/>
    <w:multiLevelType w:val="multilevel"/>
    <w:tmpl w:val="32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83F93"/>
    <w:multiLevelType w:val="hybridMultilevel"/>
    <w:tmpl w:val="4460A2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440288E"/>
    <w:multiLevelType w:val="hybridMultilevel"/>
    <w:tmpl w:val="239A42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97B54B8"/>
    <w:multiLevelType w:val="hybridMultilevel"/>
    <w:tmpl w:val="A5FC1E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7609152E"/>
    <w:multiLevelType w:val="multilevel"/>
    <w:tmpl w:val="50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9540">
    <w:abstractNumId w:val="0"/>
  </w:num>
  <w:num w:numId="2" w16cid:durableId="662047031">
    <w:abstractNumId w:val="0"/>
  </w:num>
  <w:num w:numId="3" w16cid:durableId="248000199">
    <w:abstractNumId w:val="0"/>
  </w:num>
  <w:num w:numId="4" w16cid:durableId="1218083388">
    <w:abstractNumId w:val="0"/>
  </w:num>
  <w:num w:numId="5" w16cid:durableId="1504514933">
    <w:abstractNumId w:val="1"/>
  </w:num>
  <w:num w:numId="6" w16cid:durableId="419569300">
    <w:abstractNumId w:val="6"/>
  </w:num>
  <w:num w:numId="7" w16cid:durableId="988510916">
    <w:abstractNumId w:val="9"/>
  </w:num>
  <w:num w:numId="8" w16cid:durableId="1543908654">
    <w:abstractNumId w:val="2"/>
  </w:num>
  <w:num w:numId="9" w16cid:durableId="451023931">
    <w:abstractNumId w:val="3"/>
  </w:num>
  <w:num w:numId="10" w16cid:durableId="1087115727">
    <w:abstractNumId w:val="13"/>
  </w:num>
  <w:num w:numId="11" w16cid:durableId="1521123200">
    <w:abstractNumId w:val="7"/>
  </w:num>
  <w:num w:numId="12" w16cid:durableId="596718788">
    <w:abstractNumId w:val="4"/>
  </w:num>
  <w:num w:numId="13" w16cid:durableId="623316971">
    <w:abstractNumId w:val="8"/>
  </w:num>
  <w:num w:numId="14" w16cid:durableId="1677920542">
    <w:abstractNumId w:val="11"/>
  </w:num>
  <w:num w:numId="15" w16cid:durableId="945036752">
    <w:abstractNumId w:val="12"/>
  </w:num>
  <w:num w:numId="16" w16cid:durableId="672681123">
    <w:abstractNumId w:val="10"/>
  </w:num>
  <w:num w:numId="17" w16cid:durableId="41427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7E"/>
    <w:rsid w:val="000F4866"/>
    <w:rsid w:val="0051321C"/>
    <w:rsid w:val="0067717B"/>
    <w:rsid w:val="00691AFD"/>
    <w:rsid w:val="00693798"/>
    <w:rsid w:val="00AA587E"/>
    <w:rsid w:val="00B76B32"/>
    <w:rsid w:val="00BD48A7"/>
    <w:rsid w:val="00CD4692"/>
    <w:rsid w:val="00CF39D7"/>
    <w:rsid w:val="00DE0D60"/>
    <w:rsid w:val="00E1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B4CB"/>
  <w15:chartTrackingRefBased/>
  <w15:docId w15:val="{4F6BF2A8-40F5-4C20-A0E1-A9FCD7FF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D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AA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5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8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8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ListParagraph"/>
    <w:link w:val="Heading01Char"/>
    <w:qFormat/>
    <w:rsid w:val="00E10D99"/>
    <w:pPr>
      <w:numPr>
        <w:numId w:val="4"/>
      </w:numPr>
    </w:pPr>
  </w:style>
  <w:style w:type="character" w:customStyle="1" w:styleId="Heading01Char">
    <w:name w:val="Heading01 Char"/>
    <w:basedOn w:val="DefaultParagraphFont"/>
    <w:link w:val="Heading01"/>
    <w:rsid w:val="00E10D99"/>
    <w:rPr>
      <w:rFonts w:ascii="Arial" w:hAnsi="Arial"/>
      <w:sz w:val="24"/>
      <w:szCs w:val="24"/>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link w:val="Heading02Char"/>
    <w:qFormat/>
    <w:rsid w:val="00E10D99"/>
    <w:pPr>
      <w:numPr>
        <w:ilvl w:val="1"/>
        <w:numId w:val="4"/>
      </w:numPr>
    </w:pPr>
  </w:style>
  <w:style w:type="character" w:customStyle="1" w:styleId="Heading02Char">
    <w:name w:val="Heading02 Char"/>
    <w:basedOn w:val="DefaultParagraphFont"/>
    <w:link w:val="Heading02"/>
    <w:rsid w:val="00E10D99"/>
    <w:rPr>
      <w:rFonts w:ascii="Arial" w:hAnsi="Arial"/>
      <w:sz w:val="24"/>
      <w:szCs w:val="24"/>
    </w:rPr>
  </w:style>
  <w:style w:type="paragraph" w:customStyle="1" w:styleId="Heading03">
    <w:name w:val="Heading03"/>
    <w:basedOn w:val="ListParagraph"/>
    <w:link w:val="Heading03Char"/>
    <w:qFormat/>
    <w:rsid w:val="00E10D99"/>
    <w:pPr>
      <w:numPr>
        <w:ilvl w:val="2"/>
        <w:numId w:val="4"/>
      </w:numPr>
    </w:pPr>
    <w:rPr>
      <w:i/>
      <w:iCs/>
    </w:rPr>
  </w:style>
  <w:style w:type="character" w:customStyle="1" w:styleId="Heading03Char">
    <w:name w:val="Heading03 Char"/>
    <w:basedOn w:val="DefaultParagraphFont"/>
    <w:link w:val="Heading03"/>
    <w:rsid w:val="00E10D99"/>
    <w:rPr>
      <w:rFonts w:ascii="Arial" w:hAnsi="Arial"/>
      <w:i/>
      <w:iCs/>
      <w:sz w:val="24"/>
      <w:szCs w:val="24"/>
    </w:rPr>
  </w:style>
  <w:style w:type="paragraph" w:customStyle="1" w:styleId="Heading04">
    <w:name w:val="Heading04"/>
    <w:basedOn w:val="ListParagraph"/>
    <w:link w:val="Heading04Char"/>
    <w:qFormat/>
    <w:rsid w:val="00E10D99"/>
    <w:pPr>
      <w:numPr>
        <w:ilvl w:val="3"/>
        <w:numId w:val="4"/>
      </w:numPr>
      <w:spacing w:after="0" w:line="276" w:lineRule="auto"/>
    </w:pPr>
  </w:style>
  <w:style w:type="character" w:customStyle="1" w:styleId="Heading04Char">
    <w:name w:val="Heading04 Char"/>
    <w:basedOn w:val="DefaultParagraphFont"/>
    <w:link w:val="Heading04"/>
    <w:rsid w:val="00E10D99"/>
    <w:rPr>
      <w:rFonts w:ascii="Arial" w:hAnsi="Arial"/>
      <w:sz w:val="24"/>
    </w:rPr>
  </w:style>
  <w:style w:type="character" w:customStyle="1" w:styleId="Heading2Char">
    <w:name w:val="Heading 2 Char"/>
    <w:basedOn w:val="DefaultParagraphFont"/>
    <w:link w:val="Heading2"/>
    <w:uiPriority w:val="9"/>
    <w:semiHidden/>
    <w:rsid w:val="00AA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58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58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8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8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87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AA58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87E"/>
    <w:pPr>
      <w:spacing w:before="160"/>
      <w:jc w:val="center"/>
    </w:pPr>
    <w:rPr>
      <w:i/>
      <w:iCs/>
      <w:color w:val="404040" w:themeColor="text1" w:themeTint="BF"/>
    </w:rPr>
  </w:style>
  <w:style w:type="character" w:customStyle="1" w:styleId="QuoteChar">
    <w:name w:val="Quote Char"/>
    <w:basedOn w:val="DefaultParagraphFont"/>
    <w:link w:val="Quote"/>
    <w:uiPriority w:val="29"/>
    <w:rsid w:val="00AA587E"/>
    <w:rPr>
      <w:i/>
      <w:iCs/>
      <w:color w:val="404040" w:themeColor="text1" w:themeTint="BF"/>
    </w:rPr>
  </w:style>
  <w:style w:type="character" w:styleId="IntenseEmphasis">
    <w:name w:val="Intense Emphasis"/>
    <w:basedOn w:val="DefaultParagraphFont"/>
    <w:uiPriority w:val="21"/>
    <w:qFormat/>
    <w:rsid w:val="00AA587E"/>
    <w:rPr>
      <w:i/>
      <w:iCs/>
      <w:color w:val="0F4761" w:themeColor="accent1" w:themeShade="BF"/>
    </w:rPr>
  </w:style>
  <w:style w:type="paragraph" w:styleId="IntenseQuote">
    <w:name w:val="Intense Quote"/>
    <w:basedOn w:val="Normal"/>
    <w:next w:val="Normal"/>
    <w:link w:val="IntenseQuoteChar"/>
    <w:uiPriority w:val="30"/>
    <w:qFormat/>
    <w:rsid w:val="00AA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7E"/>
    <w:rPr>
      <w:i/>
      <w:iCs/>
      <w:color w:val="0F4761" w:themeColor="accent1" w:themeShade="BF"/>
    </w:rPr>
  </w:style>
  <w:style w:type="character" w:styleId="IntenseReference">
    <w:name w:val="Intense Reference"/>
    <w:basedOn w:val="DefaultParagraphFont"/>
    <w:uiPriority w:val="32"/>
    <w:qFormat/>
    <w:rsid w:val="00AA5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754</Words>
  <Characters>5051</Characters>
  <Application>Microsoft Office Word</Application>
  <DocSecurity>0</DocSecurity>
  <Lines>459</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dcterms:created xsi:type="dcterms:W3CDTF">2026-01-07T22:25:00Z</dcterms:created>
  <dcterms:modified xsi:type="dcterms:W3CDTF">2026-01-07T23:01:00Z</dcterms:modified>
  <dc:identifier/>
  <dc:language/>
</cp:coreProperties>
</file>