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thickThinSmallGap" w:sz="12" w:space="0" w:color="auto"/>
        </w:tblBorders>
        <w:tblLook w:val="04A0"/>
      </w:tblPr>
      <w:tblGrid>
        <w:gridCol w:w="5778"/>
        <w:gridCol w:w="4662"/>
      </w:tblGrid>
      <w:tr w:rsidR="00F05118" w:rsidRPr="002727DF" w:rsidTr="002E73A7">
        <w:tc>
          <w:tcPr>
            <w:tcW w:w="5778" w:type="dxa"/>
          </w:tcPr>
          <w:p w:rsidR="00F05118" w:rsidRPr="002727DF" w:rsidRDefault="008519FC" w:rsidP="008519FC">
            <w:pPr>
              <w:pStyle w:val="Header"/>
            </w:pPr>
            <w:r w:rsidRPr="008519FC">
              <w:rPr>
                <w:noProof/>
                <w:sz w:val="56"/>
                <w:lang w:eastAsia="zh-TW"/>
              </w:rPr>
              <w:drawing>
                <wp:inline distT="0" distB="0" distL="0" distR="0">
                  <wp:extent cx="425450" cy="553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sz w:val="56"/>
              </w:rPr>
              <w:t xml:space="preserve"> </w:t>
            </w:r>
            <w:r w:rsidR="0051004E">
              <w:rPr>
                <w:sz w:val="56"/>
              </w:rPr>
              <w:t xml:space="preserve">SUNIL </w:t>
            </w:r>
            <w:r w:rsidR="00F05118" w:rsidRPr="002727DF">
              <w:rPr>
                <w:sz w:val="56"/>
              </w:rPr>
              <w:t>NARAYAN</w:t>
            </w:r>
          </w:p>
        </w:tc>
        <w:tc>
          <w:tcPr>
            <w:tcW w:w="4662" w:type="dxa"/>
          </w:tcPr>
          <w:p w:rsidR="00F05118" w:rsidRPr="002727DF" w:rsidRDefault="00F05118" w:rsidP="002E73A7">
            <w:pPr>
              <w:pStyle w:val="Header"/>
              <w:jc w:val="right"/>
              <w:rPr>
                <w:sz w:val="10"/>
              </w:rPr>
            </w:pPr>
          </w:p>
          <w:p w:rsidR="00F05118" w:rsidRPr="002727DF" w:rsidRDefault="00F05118" w:rsidP="002E73A7">
            <w:pPr>
              <w:pStyle w:val="Header"/>
              <w:jc w:val="right"/>
              <w:rPr>
                <w:sz w:val="16"/>
              </w:rPr>
            </w:pPr>
            <w:r w:rsidRPr="002727DF">
              <w:rPr>
                <w:sz w:val="16"/>
              </w:rPr>
              <w:sym w:font="Wingdings" w:char="F02E"/>
            </w:r>
            <w:r w:rsidRPr="002727DF">
              <w:rPr>
                <w:sz w:val="16"/>
              </w:rPr>
              <w:t xml:space="preserve"> 2220 SE 96</w:t>
            </w:r>
            <w:r w:rsidRPr="002727DF">
              <w:rPr>
                <w:sz w:val="16"/>
                <w:vertAlign w:val="superscript"/>
              </w:rPr>
              <w:t>th</w:t>
            </w:r>
            <w:r w:rsidRPr="002727DF">
              <w:rPr>
                <w:sz w:val="16"/>
              </w:rPr>
              <w:t xml:space="preserve"> Dr., #7, Portland, Oregon 97216</w:t>
            </w:r>
          </w:p>
          <w:p w:rsidR="00F05118" w:rsidRPr="002727DF" w:rsidRDefault="00F05118" w:rsidP="002E73A7">
            <w:pPr>
              <w:pStyle w:val="Header"/>
              <w:jc w:val="center"/>
              <w:rPr>
                <w:sz w:val="16"/>
              </w:rPr>
            </w:pPr>
            <w:r w:rsidRPr="002727DF">
              <w:rPr>
                <w:sz w:val="16"/>
              </w:rPr>
              <w:sym w:font="Webdings" w:char="F0C8"/>
            </w:r>
            <w:r w:rsidRPr="002727DF">
              <w:rPr>
                <w:sz w:val="16"/>
              </w:rPr>
              <w:t xml:space="preserve"> (503) 459-8951  </w:t>
            </w:r>
            <w:r w:rsidRPr="002727DF">
              <w:rPr>
                <w:sz w:val="16"/>
              </w:rPr>
              <w:sym w:font="Wingdings" w:char="F03A"/>
            </w:r>
            <w:r w:rsidRPr="002727DF">
              <w:rPr>
                <w:sz w:val="16"/>
              </w:rPr>
              <w:t xml:space="preserve"> </w:t>
            </w:r>
            <w:r>
              <w:rPr>
                <w:sz w:val="16"/>
              </w:rPr>
              <w:t>odissi20@outlook</w:t>
            </w:r>
            <w:r w:rsidRPr="002727DF">
              <w:rPr>
                <w:sz w:val="16"/>
              </w:rPr>
              <w:t>.com</w:t>
            </w:r>
          </w:p>
        </w:tc>
      </w:tr>
    </w:tbl>
    <w:p w:rsidR="00F05118" w:rsidRPr="002727DF" w:rsidRDefault="00F05118" w:rsidP="00F05118">
      <w:pPr>
        <w:pStyle w:val="Header"/>
        <w:rPr>
          <w:sz w:val="4"/>
        </w:rPr>
      </w:pPr>
    </w:p>
    <w:p w:rsidR="00C1446E" w:rsidRPr="00103E58" w:rsidRDefault="00C1446E" w:rsidP="00F05118">
      <w:pPr>
        <w:pBdr>
          <w:bottom w:val="thinThickSmallGap" w:sz="18" w:space="1" w:color="auto"/>
        </w:pBdr>
        <w:jc w:val="center"/>
        <w:rPr>
          <w:color w:val="000000"/>
          <w:sz w:val="18"/>
          <w:szCs w:val="18"/>
        </w:rPr>
      </w:pPr>
      <w:r w:rsidRPr="00103E58">
        <w:rPr>
          <w:color w:val="000000"/>
          <w:sz w:val="18"/>
          <w:szCs w:val="18"/>
        </w:rPr>
        <w:t>Legal Profession</w:t>
      </w:r>
      <w:r w:rsidR="00FF3DBC" w:rsidRPr="00103E58">
        <w:rPr>
          <w:color w:val="000000"/>
          <w:sz w:val="18"/>
          <w:szCs w:val="18"/>
        </w:rPr>
        <w:t>al</w:t>
      </w:r>
    </w:p>
    <w:p w:rsidR="00F05118" w:rsidRPr="002727DF" w:rsidRDefault="00F05118" w:rsidP="00F05118">
      <w:pPr>
        <w:pBdr>
          <w:bottom w:val="thinThickSmallGap" w:sz="18" w:space="1" w:color="auto"/>
        </w:pBdr>
        <w:jc w:val="center"/>
        <w:rPr>
          <w:color w:val="000000"/>
          <w:sz w:val="18"/>
          <w:szCs w:val="18"/>
        </w:rPr>
      </w:pPr>
      <w:r w:rsidRPr="007B57B0">
        <w:rPr>
          <w:color w:val="000000"/>
          <w:sz w:val="18"/>
          <w:szCs w:val="18"/>
        </w:rPr>
        <w:t>Focus Areas:</w:t>
      </w:r>
      <w:r>
        <w:rPr>
          <w:color w:val="000000"/>
          <w:sz w:val="18"/>
          <w:szCs w:val="18"/>
        </w:rPr>
        <w:t xml:space="preserve"> Ethic</w:t>
      </w:r>
      <w:r w:rsidR="00211FCC">
        <w:rPr>
          <w:color w:val="000000"/>
          <w:sz w:val="18"/>
          <w:szCs w:val="18"/>
        </w:rPr>
        <w:t>s, Case Law, Methodologies</w:t>
      </w:r>
      <w:r w:rsidR="00F32471">
        <w:rPr>
          <w:color w:val="000000"/>
          <w:sz w:val="18"/>
          <w:szCs w:val="18"/>
        </w:rPr>
        <w:t xml:space="preserve"> &amp; Procedure</w:t>
      </w:r>
    </w:p>
    <w:p w:rsidR="00F05118" w:rsidRDefault="00F05118" w:rsidP="00F05118"/>
    <w:tbl>
      <w:tblPr>
        <w:tblW w:w="0" w:type="auto"/>
        <w:tblBorders>
          <w:bottom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/>
      </w:tblPr>
      <w:tblGrid>
        <w:gridCol w:w="2808"/>
        <w:gridCol w:w="7632"/>
      </w:tblGrid>
      <w:tr w:rsidR="00F05118" w:rsidRPr="002727DF" w:rsidTr="55EF3E2B">
        <w:trPr>
          <w:trHeight w:val="80"/>
        </w:trPr>
        <w:tc>
          <w:tcPr>
            <w:tcW w:w="2808" w:type="dxa"/>
          </w:tcPr>
          <w:p w:rsidR="00F05118" w:rsidRPr="002727DF" w:rsidRDefault="00F05118" w:rsidP="002E73A7">
            <w:pPr>
              <w:pBdr>
                <w:bottom w:val="thickThinLargeGap" w:sz="4" w:space="1" w:color="auto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2727DF">
              <w:rPr>
                <w:b/>
                <w:color w:val="000000"/>
                <w:sz w:val="18"/>
                <w:szCs w:val="18"/>
              </w:rPr>
              <w:t>CORE COMPETENCIES</w:t>
            </w:r>
          </w:p>
          <w:p w:rsidR="00F05118" w:rsidRPr="002727DF" w:rsidRDefault="00F05118" w:rsidP="002E73A7">
            <w:pPr>
              <w:jc w:val="center"/>
              <w:rPr>
                <w:b/>
                <w:color w:val="000000"/>
                <w:sz w:val="12"/>
                <w:szCs w:val="12"/>
              </w:rPr>
            </w:pPr>
          </w:p>
          <w:p w:rsidR="00F05118" w:rsidRPr="002727DF" w:rsidRDefault="00F05118" w:rsidP="002E73A7">
            <w:pPr>
              <w:spacing w:after="60"/>
              <w:jc w:val="center"/>
              <w:rPr>
                <w:color w:val="000000"/>
                <w:sz w:val="18"/>
                <w:szCs w:val="18"/>
              </w:rPr>
            </w:pPr>
            <w:r w:rsidRPr="002727DF">
              <w:rPr>
                <w:color w:val="000000"/>
                <w:sz w:val="18"/>
                <w:szCs w:val="18"/>
              </w:rPr>
              <w:t>Time &amp; Project Management</w:t>
            </w:r>
          </w:p>
          <w:p w:rsidR="00F05118" w:rsidRPr="002727DF" w:rsidRDefault="00211FCC" w:rsidP="002E73A7">
            <w:pPr>
              <w:spacing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Legal Docum</w:t>
            </w:r>
            <w:r w:rsidR="00F06F88">
              <w:rPr>
                <w:color w:val="000000"/>
                <w:sz w:val="18"/>
                <w:szCs w:val="18"/>
              </w:rPr>
              <w:t>entation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color w:val="000000"/>
                <w:sz w:val="18"/>
                <w:szCs w:val="18"/>
              </w:rPr>
            </w:pPr>
            <w:r w:rsidRPr="002727DF">
              <w:rPr>
                <w:color w:val="000000"/>
                <w:sz w:val="18"/>
                <w:szCs w:val="18"/>
              </w:rPr>
              <w:t>Writing &amp; Oral Communication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color w:val="000000"/>
                <w:sz w:val="18"/>
                <w:szCs w:val="18"/>
              </w:rPr>
            </w:pPr>
            <w:r w:rsidRPr="002727DF">
              <w:rPr>
                <w:color w:val="000000"/>
                <w:sz w:val="18"/>
                <w:szCs w:val="18"/>
              </w:rPr>
              <w:t>Procedural &amp; Substantive Legal Analysis</w:t>
            </w:r>
          </w:p>
          <w:p w:rsidR="00F05118" w:rsidRDefault="00211FCC" w:rsidP="002E73A7">
            <w:pPr>
              <w:tabs>
                <w:tab w:val="left" w:pos="8460"/>
              </w:tabs>
              <w:ind w:right="14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Investigation Planning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b/>
                <w:sz w:val="14"/>
                <w:szCs w:val="12"/>
              </w:rPr>
            </w:pP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EDUCATION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sz w:val="12"/>
                <w:szCs w:val="12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Associates of Applied Science in Paralegal Studies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Portland Community College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In Progress - 2014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Bachelors of Science in Criminology &amp; Criminal Justice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 xml:space="preserve">Portland State University 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2011</w:t>
            </w: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center"/>
              <w:rPr>
                <w:b/>
                <w:sz w:val="12"/>
                <w:szCs w:val="12"/>
              </w:rPr>
            </w:pP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ACCOMPLISHMENT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b/>
                <w:sz w:val="14"/>
                <w:szCs w:val="12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Trillium Charter School  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 w:rsidRPr="002727DF">
              <w:rPr>
                <w:sz w:val="18"/>
              </w:rPr>
              <w:t>Presented demogr</w:t>
            </w:r>
            <w:r>
              <w:rPr>
                <w:sz w:val="18"/>
              </w:rPr>
              <w:t xml:space="preserve">aphic research findings from evaluation of </w:t>
            </w:r>
            <w:r w:rsidRPr="002727DF">
              <w:rPr>
                <w:sz w:val="18"/>
              </w:rPr>
              <w:t xml:space="preserve"> legal hi</w:t>
            </w:r>
            <w:r>
              <w:rPr>
                <w:sz w:val="18"/>
              </w:rPr>
              <w:t xml:space="preserve">story of racial discrimination in </w:t>
            </w:r>
            <w:r w:rsidRPr="002727DF">
              <w:rPr>
                <w:sz w:val="18"/>
              </w:rPr>
              <w:t>California</w:t>
            </w:r>
            <w:r>
              <w:rPr>
                <w:sz w:val="18"/>
              </w:rPr>
              <w:t>n procedural law</w:t>
            </w:r>
            <w:r w:rsidRPr="002727DF">
              <w:rPr>
                <w:sz w:val="18"/>
              </w:rPr>
              <w:t xml:space="preserve"> </w:t>
            </w:r>
          </w:p>
          <w:p w:rsidR="00F05118" w:rsidRPr="00583A80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4"/>
                <w:szCs w:val="14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  <w:szCs w:val="18"/>
              </w:rPr>
            </w:pPr>
            <w:r w:rsidRPr="002727DF">
              <w:rPr>
                <w:b/>
                <w:sz w:val="18"/>
                <w:szCs w:val="18"/>
              </w:rPr>
              <w:t>WEP (Women’s Empowerment Project)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>
              <w:rPr>
                <w:sz w:val="18"/>
              </w:rPr>
              <w:t>Provided technical assistance in development of an electronic file system constituting</w:t>
            </w:r>
            <w:r w:rsidRPr="002727DF">
              <w:rPr>
                <w:sz w:val="18"/>
              </w:rPr>
              <w:t xml:space="preserve"> qualitative</w:t>
            </w:r>
            <w:r>
              <w:rPr>
                <w:sz w:val="18"/>
              </w:rPr>
              <w:t>, quantitative and</w:t>
            </w:r>
            <w:r w:rsidRPr="002727DF">
              <w:rPr>
                <w:sz w:val="18"/>
              </w:rPr>
              <w:t xml:space="preserve"> demographic</w:t>
            </w:r>
            <w:r>
              <w:rPr>
                <w:sz w:val="18"/>
              </w:rPr>
              <w:t xml:space="preserve"> data and statistics</w:t>
            </w:r>
            <w:r w:rsidRPr="002727DF">
              <w:rPr>
                <w:sz w:val="18"/>
              </w:rPr>
              <w:t xml:space="preserve"> </w:t>
            </w:r>
          </w:p>
          <w:p w:rsidR="00F05118" w:rsidRPr="00583A80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4"/>
                <w:szCs w:val="14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Office of Neighborhood Involvement</w:t>
            </w:r>
          </w:p>
          <w:p w:rsidR="00F05118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 w:rsidRPr="002727DF">
              <w:rPr>
                <w:sz w:val="18"/>
              </w:rPr>
              <w:t>Interviewed Public Safety Committee</w:t>
            </w:r>
            <w:r>
              <w:rPr>
                <w:sz w:val="18"/>
              </w:rPr>
              <w:t xml:space="preserve"> (PSC) Chairperson to collect data on progressive course of action in natural and artificial disaster prevention  </w:t>
            </w:r>
          </w:p>
          <w:p w:rsidR="00F05118" w:rsidRPr="00583A80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4"/>
                <w:szCs w:val="14"/>
              </w:rPr>
            </w:pP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center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TECHNICAL SKILLS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b/>
                <w:sz w:val="10"/>
                <w:szCs w:val="10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 w:rsidRPr="002727DF">
              <w:rPr>
                <w:sz w:val="18"/>
              </w:rPr>
              <w:t xml:space="preserve">MS Office Suite (Excel, </w:t>
            </w:r>
          </w:p>
          <w:p w:rsidR="00F05118" w:rsidRPr="002727DF" w:rsidRDefault="00F0511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 w:rsidRPr="002727DF">
              <w:rPr>
                <w:sz w:val="18"/>
              </w:rPr>
              <w:t>Word, PowerPoint, Access)</w:t>
            </w:r>
          </w:p>
          <w:p w:rsidR="00F05118" w:rsidRDefault="55EF3E2B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  <w:szCs w:val="18"/>
              </w:rPr>
            </w:pPr>
            <w:r w:rsidRPr="55EF3E2B">
              <w:rPr>
                <w:sz w:val="18"/>
                <w:szCs w:val="18"/>
              </w:rPr>
              <w:t xml:space="preserve">Legal Software (Lexis Nexus, </w:t>
            </w:r>
            <w:proofErr w:type="spellStart"/>
            <w:r w:rsidRPr="55EF3E2B">
              <w:rPr>
                <w:sz w:val="18"/>
                <w:szCs w:val="18"/>
              </w:rPr>
              <w:t>Fastcase</w:t>
            </w:r>
            <w:proofErr w:type="spellEnd"/>
            <w:r w:rsidRPr="55EF3E2B">
              <w:rPr>
                <w:sz w:val="18"/>
                <w:szCs w:val="18"/>
              </w:rPr>
              <w:t xml:space="preserve">, </w:t>
            </w:r>
            <w:proofErr w:type="spellStart"/>
            <w:r w:rsidRPr="55EF3E2B">
              <w:rPr>
                <w:sz w:val="18"/>
                <w:szCs w:val="18"/>
              </w:rPr>
              <w:t>FreshBooks</w:t>
            </w:r>
            <w:proofErr w:type="spellEnd"/>
            <w:r w:rsidRPr="55EF3E2B">
              <w:rPr>
                <w:sz w:val="18"/>
                <w:szCs w:val="18"/>
              </w:rPr>
              <w:t>, Tabs3 &amp; Clio)</w:t>
            </w:r>
          </w:p>
          <w:p w:rsidR="00F06F88" w:rsidRPr="00CE0A8A" w:rsidRDefault="00F06F88" w:rsidP="002E73A7">
            <w:pPr>
              <w:tabs>
                <w:tab w:val="left" w:pos="8460"/>
              </w:tabs>
              <w:spacing w:after="60"/>
              <w:ind w:right="144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Management (docketing, calendaring,</w:t>
            </w:r>
            <w:r w:rsidR="00257572">
              <w:rPr>
                <w:sz w:val="18"/>
                <w:szCs w:val="18"/>
              </w:rPr>
              <w:t xml:space="preserve"> </w:t>
            </w:r>
            <w:r w:rsidR="009D4669">
              <w:rPr>
                <w:sz w:val="18"/>
                <w:szCs w:val="18"/>
              </w:rPr>
              <w:t>trust account ledger, timekeeping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7632" w:type="dxa"/>
          </w:tcPr>
          <w:p w:rsidR="00F05118" w:rsidRPr="002727DF" w:rsidRDefault="00F05118" w:rsidP="002E73A7">
            <w:pPr>
              <w:pBdr>
                <w:bottom w:val="thickThinLargeGap" w:sz="4" w:space="1" w:color="auto"/>
              </w:pBdr>
              <w:jc w:val="both"/>
              <w:rPr>
                <w:b/>
                <w:color w:val="000000"/>
                <w:sz w:val="18"/>
                <w:szCs w:val="18"/>
              </w:rPr>
            </w:pPr>
            <w:r w:rsidRPr="002727DF">
              <w:rPr>
                <w:b/>
                <w:color w:val="000000"/>
                <w:sz w:val="18"/>
                <w:szCs w:val="18"/>
              </w:rPr>
              <w:t>PROFILE</w:t>
            </w:r>
          </w:p>
          <w:p w:rsidR="00F05118" w:rsidRPr="002727DF" w:rsidRDefault="00F05118" w:rsidP="002E73A7">
            <w:pPr>
              <w:jc w:val="both"/>
              <w:rPr>
                <w:color w:val="000000"/>
                <w:sz w:val="12"/>
                <w:szCs w:val="10"/>
              </w:rPr>
            </w:pPr>
          </w:p>
          <w:p w:rsidR="00F05118" w:rsidRPr="007A1AE3" w:rsidRDefault="00F05118" w:rsidP="002E73A7">
            <w:pPr>
              <w:rPr>
                <w:color w:val="000000"/>
                <w:sz w:val="18"/>
                <w:szCs w:val="18"/>
              </w:rPr>
            </w:pPr>
            <w:r w:rsidRPr="007A1AE3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ighly attentive, productive, </w:t>
            </w:r>
            <w:r w:rsidRPr="007A1AE3">
              <w:rPr>
                <w:sz w:val="18"/>
                <w:szCs w:val="18"/>
              </w:rPr>
              <w:t>service-oriented</w:t>
            </w:r>
            <w:r>
              <w:rPr>
                <w:sz w:val="18"/>
                <w:szCs w:val="18"/>
              </w:rPr>
              <w:t xml:space="preserve"> and meticulous</w:t>
            </w:r>
            <w:r w:rsidRPr="007A1AE3">
              <w:rPr>
                <w:sz w:val="18"/>
                <w:szCs w:val="18"/>
              </w:rPr>
              <w:t xml:space="preserve">. Committed to significant </w:t>
            </w:r>
            <w:r>
              <w:rPr>
                <w:sz w:val="18"/>
                <w:szCs w:val="18"/>
              </w:rPr>
              <w:t>level of quality control in research studies</w:t>
            </w:r>
            <w:r w:rsidRPr="007A1AE3">
              <w:rPr>
                <w:sz w:val="18"/>
                <w:szCs w:val="18"/>
              </w:rPr>
              <w:t>. Background knowledge on substantive, procedural and case law. Adep</w:t>
            </w:r>
            <w:r>
              <w:rPr>
                <w:sz w:val="18"/>
                <w:szCs w:val="18"/>
              </w:rPr>
              <w:t xml:space="preserve">t in </w:t>
            </w:r>
            <w:r w:rsidRPr="007A1AE3">
              <w:rPr>
                <w:sz w:val="18"/>
                <w:szCs w:val="18"/>
              </w:rPr>
              <w:t>utilizing Office Technology (i.e. databases, documents, presentations and reports)</w:t>
            </w:r>
            <w:r>
              <w:rPr>
                <w:sz w:val="18"/>
                <w:szCs w:val="18"/>
              </w:rPr>
              <w:t xml:space="preserve"> for the purpose</w:t>
            </w:r>
            <w:r w:rsidR="00407023">
              <w:rPr>
                <w:sz w:val="18"/>
                <w:szCs w:val="18"/>
              </w:rPr>
              <w:t xml:space="preserve"> of assisting in the development of work product</w:t>
            </w:r>
            <w:r w:rsidRPr="007A1AE3">
              <w:rPr>
                <w:sz w:val="18"/>
                <w:szCs w:val="18"/>
              </w:rPr>
              <w:t>. Experienced in utilizing legal software for case law</w:t>
            </w:r>
            <w:r w:rsidR="009D4669">
              <w:rPr>
                <w:sz w:val="18"/>
                <w:szCs w:val="18"/>
              </w:rPr>
              <w:t xml:space="preserve"> review, research and documentation</w:t>
            </w:r>
            <w:r w:rsidRPr="007A1AE3">
              <w:rPr>
                <w:sz w:val="18"/>
                <w:szCs w:val="18"/>
              </w:rPr>
              <w:t xml:space="preserve">. Adherence </w:t>
            </w:r>
            <w:r w:rsidRPr="007A1AE3">
              <w:rPr>
                <w:color w:val="000000"/>
                <w:sz w:val="18"/>
                <w:szCs w:val="18"/>
              </w:rPr>
              <w:t>to professional</w:t>
            </w:r>
            <w:r>
              <w:rPr>
                <w:color w:val="000000"/>
                <w:sz w:val="18"/>
                <w:szCs w:val="18"/>
              </w:rPr>
              <w:t xml:space="preserve"> ethics and duties of the workplace</w:t>
            </w:r>
            <w:r w:rsidRPr="007A1AE3">
              <w:rPr>
                <w:color w:val="000000"/>
                <w:sz w:val="18"/>
                <w:szCs w:val="18"/>
              </w:rPr>
              <w:t>. Trained to re</w:t>
            </w:r>
            <w:r w:rsidR="00AC0B6E">
              <w:rPr>
                <w:color w:val="000000"/>
                <w:sz w:val="18"/>
                <w:szCs w:val="18"/>
              </w:rPr>
              <w:t>cognize and evaluate patterns in criminal behavior</w:t>
            </w:r>
            <w:r>
              <w:rPr>
                <w:color w:val="000000"/>
                <w:sz w:val="18"/>
                <w:szCs w:val="18"/>
              </w:rPr>
              <w:t xml:space="preserve">. Experienced in utilizing </w:t>
            </w:r>
            <w:r w:rsidRPr="007A1AE3">
              <w:rPr>
                <w:color w:val="000000"/>
                <w:sz w:val="18"/>
                <w:szCs w:val="18"/>
              </w:rPr>
              <w:t>multiple case reporters (official and unofficial)</w:t>
            </w:r>
            <w:r>
              <w:rPr>
                <w:color w:val="000000"/>
                <w:sz w:val="18"/>
                <w:szCs w:val="18"/>
              </w:rPr>
              <w:t xml:space="preserve"> for procedural history research. Continually maintains office for efficiency and productivity. </w:t>
            </w:r>
            <w:r w:rsidRPr="007A1AE3">
              <w:rPr>
                <w:color w:val="000000"/>
                <w:sz w:val="18"/>
                <w:szCs w:val="18"/>
              </w:rPr>
              <w:t xml:space="preserve"> </w:t>
            </w:r>
          </w:p>
          <w:p w:rsidR="00F05118" w:rsidRPr="002727DF" w:rsidRDefault="00F05118" w:rsidP="002E73A7">
            <w:pPr>
              <w:jc w:val="both"/>
              <w:rPr>
                <w:b/>
                <w:color w:val="000000"/>
                <w:sz w:val="14"/>
                <w:szCs w:val="10"/>
              </w:rPr>
            </w:pPr>
          </w:p>
          <w:p w:rsidR="00F05118" w:rsidRPr="002727DF" w:rsidRDefault="00774456" w:rsidP="002E73A7">
            <w:pPr>
              <w:pBdr>
                <w:bottom w:val="thickThinLargeGap" w:sz="4" w:space="1" w:color="auto"/>
              </w:pBd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INTERNSHIP OVERVIEW</w:t>
            </w:r>
            <w:r w:rsidR="00F05118"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:rsidR="00F05118" w:rsidRPr="002727DF" w:rsidRDefault="00F05118" w:rsidP="002E73A7">
            <w:pPr>
              <w:jc w:val="both"/>
              <w:rPr>
                <w:color w:val="000000"/>
                <w:sz w:val="10"/>
                <w:szCs w:val="10"/>
              </w:rPr>
            </w:pPr>
          </w:p>
          <w:p w:rsidR="00F05118" w:rsidRPr="002727DF" w:rsidRDefault="00F05118" w:rsidP="002E73A7">
            <w:pPr>
              <w:shd w:val="clear" w:color="auto" w:fill="262626"/>
              <w:jc w:val="both"/>
              <w:rPr>
                <w:b/>
                <w:smallCaps/>
                <w:color w:val="FFFFFF"/>
                <w:sz w:val="18"/>
                <w:szCs w:val="18"/>
              </w:rPr>
            </w:pPr>
            <w:r>
              <w:rPr>
                <w:b/>
                <w:smallCaps/>
                <w:color w:val="FFFFFF"/>
                <w:sz w:val="18"/>
                <w:szCs w:val="18"/>
              </w:rPr>
              <w:t>Research analysis</w:t>
            </w:r>
            <w:r w:rsidR="00153508">
              <w:rPr>
                <w:b/>
                <w:smallCaps/>
                <w:color w:val="FFFFFF"/>
                <w:sz w:val="18"/>
                <w:szCs w:val="18"/>
              </w:rPr>
              <w:t xml:space="preserve"> (Volunteer</w:t>
            </w:r>
            <w:r w:rsidR="00EC24F9">
              <w:rPr>
                <w:b/>
                <w:smallCaps/>
                <w:color w:val="FFFFFF"/>
                <w:sz w:val="18"/>
                <w:szCs w:val="18"/>
              </w:rPr>
              <w:t xml:space="preserve"> Internship</w:t>
            </w:r>
            <w:r w:rsidR="00153508">
              <w:rPr>
                <w:b/>
                <w:smallCaps/>
                <w:color w:val="FFFFFF"/>
                <w:sz w:val="18"/>
                <w:szCs w:val="18"/>
              </w:rPr>
              <w:t>)</w:t>
            </w:r>
          </w:p>
          <w:p w:rsidR="00F05118" w:rsidRPr="002727DF" w:rsidRDefault="00F05118" w:rsidP="002E73A7">
            <w:pPr>
              <w:jc w:val="both"/>
              <w:rPr>
                <w:color w:val="000000"/>
                <w:sz w:val="8"/>
                <w:szCs w:val="10"/>
              </w:rPr>
            </w:pPr>
          </w:p>
          <w:p w:rsidR="00F05118" w:rsidRPr="0019584A" w:rsidRDefault="00F05118" w:rsidP="00F05118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Managed file system comprised of official statistics and data on various types of abuse: </w:t>
            </w:r>
          </w:p>
          <w:p w:rsidR="00F05118" w:rsidRPr="00D07CD5" w:rsidRDefault="00F05118" w:rsidP="00F05118">
            <w:pPr>
              <w:pStyle w:val="NoSpacing"/>
              <w:numPr>
                <w:ilvl w:val="3"/>
                <w:numId w:val="2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Periodically screened </w:t>
            </w:r>
            <w:r w:rsidRPr="0019584A">
              <w:rPr>
                <w:rFonts w:ascii="Times New Roman" w:hAnsi="Times New Roman"/>
                <w:color w:val="000000"/>
                <w:sz w:val="18"/>
                <w:szCs w:val="18"/>
              </w:rPr>
              <w:t>for accuracy and completeness</w:t>
            </w:r>
          </w:p>
          <w:p w:rsidR="00F05118" w:rsidRPr="00D07CD5" w:rsidRDefault="00F05118" w:rsidP="00F05118">
            <w:pPr>
              <w:pStyle w:val="NoSpacing"/>
              <w:numPr>
                <w:ilvl w:val="3"/>
                <w:numId w:val="2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Reviewed, Revised and Reformatted files for readability</w:t>
            </w:r>
          </w:p>
          <w:p w:rsidR="00F05118" w:rsidRPr="00D07CD5" w:rsidRDefault="00F05118" w:rsidP="00F05118">
            <w:pPr>
              <w:pStyle w:val="NoSpacing"/>
              <w:numPr>
                <w:ilvl w:val="3"/>
                <w:numId w:val="2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Developed unsubstantiated findings to ensure validity </w:t>
            </w:r>
          </w:p>
          <w:p w:rsidR="00F05118" w:rsidRPr="00F246BC" w:rsidRDefault="00F05118" w:rsidP="00F05118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Conducted qualitative, quantitative and demographic research to disseminate new findings on victimization rates to the general public: 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Coded qualitative, quantitative and demographic data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Interpreted cause-and-effect relationship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Produced findings on various types of abuse 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Applied reasonable categorization to ensure cohesion in overall product</w:t>
            </w:r>
          </w:p>
          <w:p w:rsidR="00F05118" w:rsidRPr="0083448D" w:rsidRDefault="00FC0A48" w:rsidP="0083448D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Utilized 160 pre and post surveys from 80</w:t>
            </w:r>
            <w:r w:rsidR="0083448D">
              <w:rPr>
                <w:rFonts w:ascii="Times New Roman" w:hAnsi="Times New Roman"/>
                <w:bCs/>
                <w:sz w:val="18"/>
                <w:szCs w:val="18"/>
              </w:rPr>
              <w:t xml:space="preserve"> participants in the WEP: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Thirteen groups represented in research</w:t>
            </w:r>
          </w:p>
          <w:p w:rsidR="00F05118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Comprehended visually and contextually unclear text</w:t>
            </w:r>
          </w:p>
          <w:p w:rsidR="00F05118" w:rsidRPr="00557319" w:rsidRDefault="00F05118" w:rsidP="00F05118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557319">
              <w:rPr>
                <w:rFonts w:ascii="Times New Roman" w:hAnsi="Times New Roman"/>
                <w:bCs/>
                <w:sz w:val="18"/>
                <w:szCs w:val="18"/>
              </w:rPr>
              <w:t>Safeguarded compiled data to ensure file system’s sustainability</w:t>
            </w:r>
          </w:p>
          <w:p w:rsidR="00F05118" w:rsidRPr="00600910" w:rsidRDefault="00F05118" w:rsidP="002E73A7">
            <w:pPr>
              <w:pStyle w:val="NoSpacing"/>
              <w:ind w:left="1080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600910">
              <w:rPr>
                <w:rFonts w:ascii="Times New Roman" w:hAnsi="Times New Roman"/>
                <w:bCs/>
                <w:sz w:val="18"/>
                <w:szCs w:val="18"/>
              </w:rPr>
              <w:t xml:space="preserve">     </w:t>
            </w:r>
          </w:p>
          <w:p w:rsidR="00F05118" w:rsidRPr="002727DF" w:rsidRDefault="009B0C52" w:rsidP="002E73A7">
            <w:pPr>
              <w:shd w:val="clear" w:color="auto" w:fill="262626"/>
              <w:jc w:val="both"/>
              <w:rPr>
                <w:b/>
                <w:smallCaps/>
                <w:color w:val="FFFFFF"/>
                <w:sz w:val="18"/>
                <w:szCs w:val="18"/>
              </w:rPr>
            </w:pPr>
            <w:r>
              <w:rPr>
                <w:b/>
                <w:smallCaps/>
                <w:color w:val="FFFFFF"/>
                <w:sz w:val="18"/>
                <w:szCs w:val="18"/>
              </w:rPr>
              <w:t xml:space="preserve">Cooperative </w:t>
            </w:r>
            <w:r w:rsidR="00153508">
              <w:rPr>
                <w:b/>
                <w:smallCaps/>
                <w:color w:val="FFFFFF"/>
                <w:sz w:val="18"/>
                <w:szCs w:val="18"/>
              </w:rPr>
              <w:t>Education</w:t>
            </w:r>
            <w:r w:rsidR="00EC24F9">
              <w:rPr>
                <w:b/>
                <w:smallCaps/>
                <w:color w:val="FFFFFF"/>
                <w:sz w:val="18"/>
                <w:szCs w:val="18"/>
              </w:rPr>
              <w:t xml:space="preserve"> (Internship)</w:t>
            </w:r>
          </w:p>
          <w:p w:rsidR="00F05118" w:rsidRDefault="00F05118" w:rsidP="002E73A7">
            <w:pPr>
              <w:jc w:val="both"/>
              <w:rPr>
                <w:color w:val="000000"/>
                <w:sz w:val="8"/>
                <w:szCs w:val="10"/>
              </w:rPr>
            </w:pPr>
          </w:p>
          <w:p w:rsidR="00F05118" w:rsidRPr="00AE2EEE" w:rsidRDefault="00F05118" w:rsidP="002E73A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Conducted review of data on various types of abuse:</w:t>
            </w:r>
          </w:p>
          <w:p w:rsidR="00F05118" w:rsidRDefault="00F05118" w:rsidP="00F05118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Created file system for pre surveys from Groups I-VII</w:t>
            </w:r>
          </w:p>
          <w:p w:rsidR="00F05118" w:rsidRDefault="00F05118" w:rsidP="00F05118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Produced statistical findings in qualitative, quantitative and demographic research </w:t>
            </w:r>
          </w:p>
          <w:p w:rsidR="00F05118" w:rsidRDefault="00F05118" w:rsidP="00F05118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Coded all the mentioned types of data</w:t>
            </w:r>
          </w:p>
          <w:p w:rsidR="00F05118" w:rsidRDefault="00F05118" w:rsidP="00F05118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Utilized Office Technology to produce reports, documents and presentation</w:t>
            </w:r>
          </w:p>
          <w:p w:rsidR="00F05118" w:rsidRPr="002727DF" w:rsidRDefault="00F05118" w:rsidP="002E73A7">
            <w:pPr>
              <w:jc w:val="both"/>
              <w:rPr>
                <w:color w:val="000000"/>
                <w:sz w:val="10"/>
                <w:szCs w:val="10"/>
              </w:rPr>
            </w:pPr>
            <w:r w:rsidRPr="002727DF">
              <w:rPr>
                <w:sz w:val="18"/>
                <w:szCs w:val="18"/>
              </w:rPr>
              <w:t>.</w:t>
            </w:r>
          </w:p>
          <w:p w:rsidR="00F05118" w:rsidRPr="002727DF" w:rsidRDefault="00F05118" w:rsidP="002E73A7">
            <w:pPr>
              <w:shd w:val="clear" w:color="auto" w:fill="262626"/>
              <w:tabs>
                <w:tab w:val="left" w:pos="8460"/>
              </w:tabs>
              <w:ind w:right="144"/>
              <w:jc w:val="both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Community partnership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8"/>
                <w:szCs w:val="10"/>
              </w:rPr>
            </w:pPr>
          </w:p>
          <w:p w:rsidR="00F05118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Office of Neighborhood Involvement: </w:t>
            </w:r>
          </w:p>
          <w:p w:rsidR="00F05118" w:rsidRPr="001B7428" w:rsidRDefault="00F05118" w:rsidP="00F05118">
            <w:pPr>
              <w:pStyle w:val="ListParagraph"/>
              <w:numPr>
                <w:ilvl w:val="0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 w:rsidRPr="00FA1755">
              <w:rPr>
                <w:sz w:val="18"/>
                <w:szCs w:val="18"/>
              </w:rPr>
              <w:t>Southwest Neighborhoods, Inc. – Public Safe</w:t>
            </w:r>
            <w:r>
              <w:rPr>
                <w:sz w:val="18"/>
                <w:szCs w:val="18"/>
              </w:rPr>
              <w:t>ty Committee – Chairperson</w:t>
            </w:r>
            <w:r w:rsidRPr="001B7428">
              <w:rPr>
                <w:sz w:val="18"/>
                <w:szCs w:val="18"/>
              </w:rPr>
              <w:t>:</w:t>
            </w:r>
          </w:p>
          <w:p w:rsidR="00F05118" w:rsidRPr="00716F30" w:rsidRDefault="00F05118" w:rsidP="00F05118">
            <w:pPr>
              <w:pStyle w:val="ListParagraph"/>
              <w:numPr>
                <w:ilvl w:val="1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 w:rsidRPr="00716F30">
              <w:rPr>
                <w:sz w:val="18"/>
                <w:szCs w:val="18"/>
              </w:rPr>
              <w:t>Interview</w:t>
            </w:r>
            <w:r>
              <w:rPr>
                <w:sz w:val="18"/>
                <w:szCs w:val="18"/>
              </w:rPr>
              <w:t xml:space="preserve">ed </w:t>
            </w:r>
            <w:r w:rsidRPr="00716F30">
              <w:rPr>
                <w:sz w:val="18"/>
                <w:szCs w:val="18"/>
              </w:rPr>
              <w:t xml:space="preserve">on community safety development and artificial </w:t>
            </w:r>
            <w:r>
              <w:rPr>
                <w:sz w:val="18"/>
                <w:szCs w:val="18"/>
              </w:rPr>
              <w:t xml:space="preserve">disaster prevention </w:t>
            </w:r>
            <w:r w:rsidRPr="00716F30">
              <w:rPr>
                <w:sz w:val="18"/>
                <w:szCs w:val="18"/>
              </w:rPr>
              <w:t xml:space="preserve"> </w:t>
            </w:r>
          </w:p>
          <w:p w:rsidR="00F05118" w:rsidRPr="00FC7BF4" w:rsidRDefault="00F05118" w:rsidP="00F05118">
            <w:pPr>
              <w:pStyle w:val="ListParagraph"/>
              <w:numPr>
                <w:ilvl w:val="1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Presented </w:t>
            </w:r>
            <w:r w:rsidRPr="00716F30">
              <w:rPr>
                <w:sz w:val="18"/>
                <w:szCs w:val="18"/>
              </w:rPr>
              <w:t>findings on artifi</w:t>
            </w:r>
            <w:r>
              <w:rPr>
                <w:sz w:val="18"/>
                <w:szCs w:val="18"/>
              </w:rPr>
              <w:t>cial disasters</w:t>
            </w:r>
            <w:r w:rsidRPr="00716F30">
              <w:rPr>
                <w:sz w:val="18"/>
                <w:szCs w:val="18"/>
              </w:rPr>
              <w:t xml:space="preserve"> in relation to topograp</w:t>
            </w:r>
            <w:r>
              <w:rPr>
                <w:sz w:val="18"/>
                <w:szCs w:val="18"/>
              </w:rPr>
              <w:t>h</w:t>
            </w:r>
            <w:r w:rsidRPr="00716F30">
              <w:rPr>
                <w:sz w:val="18"/>
                <w:szCs w:val="18"/>
              </w:rPr>
              <w:t xml:space="preserve">y in </w:t>
            </w:r>
            <w:r w:rsidRPr="00FC7BF4">
              <w:rPr>
                <w:sz w:val="18"/>
                <w:szCs w:val="18"/>
              </w:rPr>
              <w:t xml:space="preserve">research  paper </w:t>
            </w:r>
          </w:p>
          <w:p w:rsidR="00F05118" w:rsidRPr="00FC7BF4" w:rsidRDefault="00F05118" w:rsidP="00F05118">
            <w:pPr>
              <w:pStyle w:val="ListParagraph"/>
              <w:numPr>
                <w:ilvl w:val="1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16F30">
              <w:rPr>
                <w:sz w:val="18"/>
                <w:szCs w:val="18"/>
              </w:rPr>
              <w:t>resentation on legal</w:t>
            </w:r>
            <w:r>
              <w:rPr>
                <w:sz w:val="18"/>
                <w:szCs w:val="18"/>
              </w:rPr>
              <w:t xml:space="preserve"> development in artificial </w:t>
            </w:r>
            <w:r w:rsidRPr="00FC7BF4">
              <w:rPr>
                <w:sz w:val="18"/>
                <w:szCs w:val="18"/>
              </w:rPr>
              <w:t xml:space="preserve">disaster prevention </w:t>
            </w:r>
          </w:p>
          <w:p w:rsidR="00F05118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Portland State University: </w:t>
            </w:r>
          </w:p>
          <w:p w:rsidR="00F05118" w:rsidRPr="00CE211A" w:rsidRDefault="00F05118" w:rsidP="00F05118">
            <w:pPr>
              <w:pStyle w:val="ListParagraph"/>
              <w:numPr>
                <w:ilvl w:val="0"/>
                <w:numId w:val="3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 w:rsidRPr="00CE211A">
              <w:rPr>
                <w:sz w:val="18"/>
                <w:szCs w:val="18"/>
              </w:rPr>
              <w:t>Senior Capstone – Social Justice Education - Trillium Charter School</w:t>
            </w:r>
          </w:p>
          <w:p w:rsidR="00F05118" w:rsidRPr="00D4218D" w:rsidRDefault="00F05118" w:rsidP="00F05118">
            <w:pPr>
              <w:pStyle w:val="ListParagraph"/>
              <w:numPr>
                <w:ilvl w:val="1"/>
                <w:numId w:val="4"/>
              </w:numPr>
              <w:tabs>
                <w:tab w:val="left" w:pos="8460"/>
              </w:tabs>
              <w:ind w:right="144"/>
              <w:jc w:val="both"/>
              <w:rPr>
                <w:sz w:val="18"/>
                <w:szCs w:val="18"/>
              </w:rPr>
            </w:pPr>
            <w:r w:rsidRPr="00D4218D">
              <w:rPr>
                <w:sz w:val="18"/>
                <w:szCs w:val="18"/>
              </w:rPr>
              <w:t xml:space="preserve">Interactive presentation for Grades 6-8 </w:t>
            </w:r>
          </w:p>
          <w:p w:rsidR="00F05118" w:rsidRPr="00D4218D" w:rsidRDefault="00F05118" w:rsidP="00F05118">
            <w:pPr>
              <w:pStyle w:val="ListParagraph"/>
              <w:numPr>
                <w:ilvl w:val="1"/>
                <w:numId w:val="4"/>
              </w:numPr>
              <w:tabs>
                <w:tab w:val="left" w:pos="8460"/>
              </w:tabs>
              <w:ind w:left="2160" w:right="144"/>
              <w:jc w:val="both"/>
              <w:rPr>
                <w:sz w:val="18"/>
                <w:szCs w:val="18"/>
              </w:rPr>
            </w:pPr>
            <w:r w:rsidRPr="00D4218D">
              <w:rPr>
                <w:sz w:val="18"/>
                <w:szCs w:val="18"/>
              </w:rPr>
              <w:t>Personal accounts of racial discrimination</w:t>
            </w:r>
          </w:p>
          <w:p w:rsidR="00F05118" w:rsidRPr="00FC7BF4" w:rsidRDefault="00F05118" w:rsidP="00F05118">
            <w:pPr>
              <w:pStyle w:val="ListParagraph"/>
              <w:numPr>
                <w:ilvl w:val="1"/>
                <w:numId w:val="4"/>
              </w:numPr>
              <w:tabs>
                <w:tab w:val="left" w:pos="8460"/>
              </w:tabs>
              <w:ind w:left="2160" w:right="14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D4218D">
              <w:rPr>
                <w:sz w:val="18"/>
                <w:szCs w:val="18"/>
              </w:rPr>
              <w:t>indings on Supreme Court</w:t>
            </w:r>
            <w:r>
              <w:rPr>
                <w:sz w:val="18"/>
                <w:szCs w:val="18"/>
              </w:rPr>
              <w:t xml:space="preserve">’s mistreatment of </w:t>
            </w:r>
            <w:r w:rsidRPr="00FC7BF4">
              <w:rPr>
                <w:sz w:val="18"/>
                <w:szCs w:val="18"/>
              </w:rPr>
              <w:t xml:space="preserve">Chinese  immigrants </w:t>
            </w:r>
          </w:p>
          <w:p w:rsidR="00F05118" w:rsidRPr="00D4218D" w:rsidRDefault="00F05118" w:rsidP="00F05118">
            <w:pPr>
              <w:pStyle w:val="ListParagraph"/>
              <w:numPr>
                <w:ilvl w:val="1"/>
                <w:numId w:val="4"/>
              </w:numPr>
              <w:tabs>
                <w:tab w:val="left" w:pos="8460"/>
              </w:tabs>
              <w:ind w:left="2160" w:right="144"/>
              <w:jc w:val="both"/>
              <w:rPr>
                <w:sz w:val="18"/>
                <w:szCs w:val="18"/>
              </w:rPr>
            </w:pPr>
            <w:r w:rsidRPr="00D4218D">
              <w:rPr>
                <w:sz w:val="18"/>
                <w:szCs w:val="18"/>
              </w:rPr>
              <w:t>Objectives:</w:t>
            </w:r>
            <w:r>
              <w:rPr>
                <w:sz w:val="18"/>
                <w:szCs w:val="18"/>
              </w:rPr>
              <w:t xml:space="preserve"> historical</w:t>
            </w:r>
            <w:r w:rsidRPr="00D4218D">
              <w:rPr>
                <w:sz w:val="18"/>
                <w:szCs w:val="18"/>
              </w:rPr>
              <w:t xml:space="preserve"> enrichment and awareness</w:t>
            </w:r>
            <w:r>
              <w:rPr>
                <w:sz w:val="18"/>
                <w:szCs w:val="18"/>
              </w:rPr>
              <w:t xml:space="preserve"> of social injustice</w:t>
            </w:r>
            <w:r w:rsidRPr="00D4218D">
              <w:rPr>
                <w:sz w:val="18"/>
                <w:szCs w:val="18"/>
              </w:rPr>
              <w:t xml:space="preserve"> </w:t>
            </w:r>
          </w:p>
          <w:p w:rsidR="00F05118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9"/>
                <w:szCs w:val="9"/>
              </w:rPr>
            </w:pPr>
          </w:p>
          <w:p w:rsidR="00F05118" w:rsidRPr="0068442C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9"/>
                <w:szCs w:val="9"/>
              </w:rPr>
            </w:pPr>
          </w:p>
          <w:p w:rsidR="00F05118" w:rsidRPr="002727DF" w:rsidRDefault="00F05118" w:rsidP="002E73A7">
            <w:pPr>
              <w:pBdr>
                <w:bottom w:val="thickThinLargeGap" w:sz="4" w:space="1" w:color="auto"/>
              </w:pBdr>
              <w:tabs>
                <w:tab w:val="left" w:pos="8460"/>
              </w:tabs>
              <w:ind w:right="144"/>
              <w:jc w:val="both"/>
              <w:rPr>
                <w:b/>
                <w:sz w:val="18"/>
              </w:rPr>
            </w:pPr>
            <w:r w:rsidRPr="002727DF">
              <w:rPr>
                <w:b/>
                <w:sz w:val="18"/>
              </w:rPr>
              <w:t>EMPLOYMENT HISTORY</w:t>
            </w:r>
            <w:r>
              <w:rPr>
                <w:b/>
                <w:sz w:val="18"/>
              </w:rPr>
              <w:t xml:space="preserve"> 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both"/>
              <w:rPr>
                <w:sz w:val="8"/>
                <w:szCs w:val="10"/>
              </w:rPr>
            </w:pPr>
          </w:p>
          <w:p w:rsidR="00F05118" w:rsidRPr="002727DF" w:rsidRDefault="00F05118" w:rsidP="002E73A7">
            <w:pPr>
              <w:shd w:val="clear" w:color="auto" w:fill="808080"/>
              <w:tabs>
                <w:tab w:val="left" w:pos="8460"/>
              </w:tabs>
              <w:ind w:right="144"/>
              <w:jc w:val="center"/>
              <w:rPr>
                <w:sz w:val="18"/>
              </w:rPr>
            </w:pPr>
            <w:r w:rsidRPr="002727DF">
              <w:rPr>
                <w:b/>
                <w:sz w:val="18"/>
              </w:rPr>
              <w:t>Research Analyst Assistant</w:t>
            </w:r>
            <w:r w:rsidRPr="002727DF">
              <w:rPr>
                <w:sz w:val="18"/>
              </w:rPr>
              <w:t>, Jul 2012 – Dec 2012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Clackamas County Community Corrections, Oregon City, OR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sz w:val="6"/>
                <w:szCs w:val="10"/>
              </w:rPr>
            </w:pPr>
          </w:p>
          <w:p w:rsidR="00F05118" w:rsidRPr="002727DF" w:rsidRDefault="00F05118" w:rsidP="002E73A7">
            <w:pPr>
              <w:shd w:val="clear" w:color="auto" w:fill="808080"/>
              <w:tabs>
                <w:tab w:val="left" w:pos="8460"/>
              </w:tabs>
              <w:ind w:right="144"/>
              <w:jc w:val="center"/>
              <w:rPr>
                <w:sz w:val="18"/>
              </w:rPr>
            </w:pPr>
            <w:r w:rsidRPr="002727DF">
              <w:rPr>
                <w:b/>
                <w:sz w:val="18"/>
              </w:rPr>
              <w:t>Intern</w:t>
            </w:r>
            <w:r w:rsidRPr="002727DF">
              <w:rPr>
                <w:sz w:val="18"/>
              </w:rPr>
              <w:t>, Jan 2011 – March 2011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i/>
                <w:sz w:val="18"/>
              </w:rPr>
            </w:pPr>
            <w:r w:rsidRPr="002727DF">
              <w:rPr>
                <w:i/>
                <w:sz w:val="18"/>
              </w:rPr>
              <w:t>Clackamas County Community Corrections, Oregon City, OR</w:t>
            </w: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sz w:val="6"/>
                <w:szCs w:val="10"/>
              </w:rPr>
            </w:pPr>
          </w:p>
          <w:p w:rsidR="00F05118" w:rsidRPr="002727DF" w:rsidRDefault="00F05118" w:rsidP="002E73A7">
            <w:pPr>
              <w:shd w:val="clear" w:color="auto" w:fill="808080"/>
              <w:tabs>
                <w:tab w:val="left" w:pos="8460"/>
              </w:tabs>
              <w:ind w:right="144"/>
              <w:jc w:val="center"/>
              <w:rPr>
                <w:sz w:val="18"/>
              </w:rPr>
            </w:pPr>
          </w:p>
          <w:p w:rsidR="00F05118" w:rsidRPr="002727DF" w:rsidRDefault="00F05118" w:rsidP="002E73A7">
            <w:pPr>
              <w:tabs>
                <w:tab w:val="left" w:pos="8460"/>
              </w:tabs>
              <w:ind w:right="144"/>
              <w:jc w:val="center"/>
              <w:rPr>
                <w:sz w:val="18"/>
              </w:rPr>
            </w:pPr>
          </w:p>
        </w:tc>
      </w:tr>
      <w:tr w:rsidR="00F05118" w:rsidRPr="002727DF" w:rsidTr="55EF3E2B">
        <w:trPr>
          <w:trHeight w:hRule="exact" w:val="11"/>
        </w:trPr>
        <w:tc>
          <w:tcPr>
            <w:tcW w:w="2808" w:type="dxa"/>
          </w:tcPr>
          <w:p w:rsidR="00F05118" w:rsidRPr="002727DF" w:rsidRDefault="00F05118" w:rsidP="002E73A7">
            <w:pPr>
              <w:pBdr>
                <w:bottom w:val="thickThinLargeGap" w:sz="4" w:space="1" w:color="auto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</w:t>
            </w:r>
          </w:p>
        </w:tc>
        <w:tc>
          <w:tcPr>
            <w:tcW w:w="7632" w:type="dxa"/>
          </w:tcPr>
          <w:p w:rsidR="00F05118" w:rsidRPr="002727DF" w:rsidRDefault="00F05118" w:rsidP="002E73A7">
            <w:pPr>
              <w:pBdr>
                <w:bottom w:val="thickThinLargeGap" w:sz="4" w:space="1" w:color="auto"/>
              </w:pBdr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:rsidR="00D03C76" w:rsidRDefault="00FC0A48" w:rsidP="00DC614B"/>
    <w:sectPr w:rsidR="00D03C76" w:rsidSect="00070FD1">
      <w:pgSz w:w="12240" w:h="15840"/>
      <w:pgMar w:top="432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3143A"/>
    <w:multiLevelType w:val="hybridMultilevel"/>
    <w:tmpl w:val="41A2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356F9"/>
    <w:multiLevelType w:val="hybridMultilevel"/>
    <w:tmpl w:val="CF1C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72DC1"/>
    <w:multiLevelType w:val="hybridMultilevel"/>
    <w:tmpl w:val="1A16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A19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05118"/>
    <w:rsid w:val="00004121"/>
    <w:rsid w:val="00006D22"/>
    <w:rsid w:val="000B25AA"/>
    <w:rsid w:val="00103E58"/>
    <w:rsid w:val="00117174"/>
    <w:rsid w:val="00153508"/>
    <w:rsid w:val="001555B1"/>
    <w:rsid w:val="00185233"/>
    <w:rsid w:val="00195CC5"/>
    <w:rsid w:val="001A6134"/>
    <w:rsid w:val="00211FCC"/>
    <w:rsid w:val="00257572"/>
    <w:rsid w:val="0027224B"/>
    <w:rsid w:val="00290412"/>
    <w:rsid w:val="003061D1"/>
    <w:rsid w:val="00313C43"/>
    <w:rsid w:val="00314BD9"/>
    <w:rsid w:val="00321F0F"/>
    <w:rsid w:val="00407023"/>
    <w:rsid w:val="00432492"/>
    <w:rsid w:val="004842E0"/>
    <w:rsid w:val="0051004E"/>
    <w:rsid w:val="0065410D"/>
    <w:rsid w:val="00675894"/>
    <w:rsid w:val="00692301"/>
    <w:rsid w:val="007069F5"/>
    <w:rsid w:val="00725AC0"/>
    <w:rsid w:val="00745DE3"/>
    <w:rsid w:val="0075305F"/>
    <w:rsid w:val="00774456"/>
    <w:rsid w:val="007A430D"/>
    <w:rsid w:val="007B57B0"/>
    <w:rsid w:val="007C6073"/>
    <w:rsid w:val="0083448D"/>
    <w:rsid w:val="008519FC"/>
    <w:rsid w:val="00903645"/>
    <w:rsid w:val="009B0C52"/>
    <w:rsid w:val="009D4669"/>
    <w:rsid w:val="00A3035C"/>
    <w:rsid w:val="00A42B9D"/>
    <w:rsid w:val="00A71521"/>
    <w:rsid w:val="00AC0B6E"/>
    <w:rsid w:val="00C05628"/>
    <w:rsid w:val="00C1446E"/>
    <w:rsid w:val="00C63266"/>
    <w:rsid w:val="00C6369A"/>
    <w:rsid w:val="00C67AB9"/>
    <w:rsid w:val="00C869F5"/>
    <w:rsid w:val="00DC4EDC"/>
    <w:rsid w:val="00DC614B"/>
    <w:rsid w:val="00E05BC3"/>
    <w:rsid w:val="00E647EA"/>
    <w:rsid w:val="00E72479"/>
    <w:rsid w:val="00EC24F9"/>
    <w:rsid w:val="00F05118"/>
    <w:rsid w:val="00F06F88"/>
    <w:rsid w:val="00F32471"/>
    <w:rsid w:val="00F86E23"/>
    <w:rsid w:val="00FC0A48"/>
    <w:rsid w:val="00FF3DBC"/>
    <w:rsid w:val="55EF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11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05118"/>
    <w:pPr>
      <w:ind w:left="720"/>
      <w:contextualSpacing/>
    </w:pPr>
  </w:style>
  <w:style w:type="paragraph" w:styleId="NoSpacing">
    <w:name w:val="No Spacing"/>
    <w:uiPriority w:val="1"/>
    <w:qFormat/>
    <w:rsid w:val="00F0511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FC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11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05118"/>
    <w:pPr>
      <w:ind w:left="720"/>
      <w:contextualSpacing/>
    </w:pPr>
  </w:style>
  <w:style w:type="paragraph" w:styleId="NoSpacing">
    <w:name w:val="No Spacing"/>
    <w:uiPriority w:val="1"/>
    <w:qFormat/>
    <w:rsid w:val="00F0511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Narayan</dc:creator>
  <cp:lastModifiedBy>Sunil Narayan</cp:lastModifiedBy>
  <cp:revision>20</cp:revision>
  <dcterms:created xsi:type="dcterms:W3CDTF">2013-08-09T01:25:00Z</dcterms:created>
  <dcterms:modified xsi:type="dcterms:W3CDTF">2013-10-03T07:50:00Z</dcterms:modified>
</cp:coreProperties>
</file>