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03" w:rsidRPr="00BF5316" w:rsidRDefault="00CB59FA" w:rsidP="00BF5316">
      <w:pPr>
        <w:pStyle w:val="Title"/>
        <w:pBdr>
          <w:bottom w:val="single" w:sz="4" w:space="1" w:color="auto"/>
        </w:pBdr>
        <w:tabs>
          <w:tab w:val="right" w:pos="9360"/>
        </w:tabs>
        <w:rPr>
          <w:rFonts w:ascii="Myriad Pro" w:hAnsi="Myriad Pro"/>
          <w:sz w:val="22"/>
          <w:szCs w:val="22"/>
        </w:rPr>
      </w:pPr>
      <w:r w:rsidRPr="00CB59FA">
        <w:rPr>
          <w:rFonts w:ascii="Myriad Pro" w:hAnsi="Myriad Pro"/>
        </w:rPr>
        <w:t>On RTG Design</w:t>
      </w:r>
      <w:r w:rsidR="00BF5316">
        <w:rPr>
          <w:rFonts w:ascii="Myriad Pro" w:hAnsi="Myriad Pro"/>
        </w:rPr>
        <w:t xml:space="preserve">   </w:t>
      </w:r>
      <w:r w:rsidR="00BF5316">
        <w:rPr>
          <w:rFonts w:ascii="Myriad Pro" w:hAnsi="Myriad Pro"/>
        </w:rPr>
        <w:tab/>
      </w:r>
      <w:r w:rsidR="00BF5316">
        <w:rPr>
          <w:rFonts w:ascii="Myriad Pro" w:hAnsi="Myriad Pro"/>
          <w:sz w:val="22"/>
          <w:szCs w:val="22"/>
        </w:rPr>
        <w:t>Hoppe, Sheneman 2015</w:t>
      </w:r>
    </w:p>
    <w:p w:rsidR="00CB59FA" w:rsidRPr="00CB59FA" w:rsidRDefault="00CB59FA" w:rsidP="00CB59FA"/>
    <w:p w:rsidR="00CB59FA" w:rsidRPr="00CB59FA" w:rsidRDefault="00CB59FA" w:rsidP="00CB59FA">
      <w:pPr>
        <w:pStyle w:val="Heading1"/>
      </w:pPr>
      <w:r>
        <w:t>The Issue</w:t>
      </w:r>
    </w:p>
    <w:p w:rsidR="00CB59FA" w:rsidRDefault="00CB59FA" w:rsidP="00CB59FA">
      <w:pPr>
        <w:rPr>
          <w:sz w:val="28"/>
          <w:szCs w:val="28"/>
        </w:rPr>
      </w:pPr>
      <w:r>
        <w:rPr>
          <w:sz w:val="28"/>
          <w:szCs w:val="28"/>
        </w:rPr>
        <w:t xml:space="preserve">Currently, NASA uses what’s known as the MMRTG (Multi-Mission RTG) to power deep-space missions. These are designed to fit the parameters of multiple missions, which, in a world where it costs over </w:t>
      </w:r>
      <w:r w:rsidR="00FB2FCE">
        <w:rPr>
          <w:sz w:val="28"/>
          <w:szCs w:val="28"/>
        </w:rPr>
        <w:t xml:space="preserve">8 million dollars and most of a year to manufacture a kilogram of </w:t>
      </w:r>
      <w:r w:rsidR="00FB2FCE" w:rsidRPr="00FB2FCE">
        <w:rPr>
          <w:sz w:val="28"/>
          <w:szCs w:val="28"/>
          <w:vertAlign w:val="superscript"/>
        </w:rPr>
        <w:t>238</w:t>
      </w:r>
      <w:r w:rsidR="00FB2FCE">
        <w:rPr>
          <w:sz w:val="28"/>
          <w:szCs w:val="28"/>
        </w:rPr>
        <w:t xml:space="preserve"> Pu, </w:t>
      </w:r>
      <w:r>
        <w:rPr>
          <w:sz w:val="28"/>
          <w:szCs w:val="28"/>
        </w:rPr>
        <w:t>is simply not</w:t>
      </w:r>
      <w:r w:rsidR="00FB2FCE">
        <w:rPr>
          <w:sz w:val="28"/>
          <w:szCs w:val="28"/>
        </w:rPr>
        <w:t xml:space="preserve"> a</w:t>
      </w:r>
      <w:r>
        <w:rPr>
          <w:sz w:val="28"/>
          <w:szCs w:val="28"/>
        </w:rPr>
        <w:t xml:space="preserve"> cost efficient</w:t>
      </w:r>
      <w:r w:rsidR="00FB2FCE">
        <w:rPr>
          <w:sz w:val="28"/>
          <w:szCs w:val="28"/>
        </w:rPr>
        <w:t xml:space="preserve"> endeavor</w:t>
      </w:r>
      <w:r>
        <w:rPr>
          <w:sz w:val="28"/>
          <w:szCs w:val="28"/>
        </w:rPr>
        <w:t>.</w:t>
      </w:r>
      <w:r w:rsidR="0085452D">
        <w:rPr>
          <w:sz w:val="28"/>
          <w:szCs w:val="28"/>
        </w:rPr>
        <w:t xml:space="preserve"> </w:t>
      </w:r>
      <w:r w:rsidR="00FB2FCE">
        <w:rPr>
          <w:sz w:val="28"/>
          <w:szCs w:val="28"/>
        </w:rPr>
        <w:t xml:space="preserve">Especially when all of the natural reserves of </w:t>
      </w:r>
      <w:r w:rsidR="00FB2FCE" w:rsidRPr="00FB2FCE">
        <w:rPr>
          <w:sz w:val="28"/>
          <w:szCs w:val="28"/>
          <w:vertAlign w:val="superscript"/>
        </w:rPr>
        <w:t>238</w:t>
      </w:r>
      <w:r w:rsidR="00FB2FCE">
        <w:rPr>
          <w:sz w:val="28"/>
          <w:szCs w:val="28"/>
        </w:rPr>
        <w:t xml:space="preserve"> Pu have been completely depleted by earlier RTG missions</w:t>
      </w:r>
      <w:r w:rsidR="00FB2FCE">
        <w:rPr>
          <w:rStyle w:val="FootnoteReference"/>
          <w:sz w:val="28"/>
          <w:szCs w:val="28"/>
        </w:rPr>
        <w:footnoteReference w:id="1"/>
      </w:r>
      <w:r w:rsidR="00FB2FCE">
        <w:rPr>
          <w:sz w:val="28"/>
          <w:szCs w:val="28"/>
        </w:rPr>
        <w:t>.</w:t>
      </w:r>
    </w:p>
    <w:p w:rsidR="0085452D" w:rsidRDefault="0085452D" w:rsidP="0085452D">
      <w:pPr>
        <w:pStyle w:val="Heading1"/>
      </w:pPr>
      <w:r>
        <w:t>Our Question</w:t>
      </w:r>
    </w:p>
    <w:p w:rsidR="00CB59FA" w:rsidRPr="00BF5316" w:rsidRDefault="00BF5316" w:rsidP="00CB59FA">
      <w:pPr>
        <w:rPr>
          <w:sz w:val="28"/>
          <w:szCs w:val="28"/>
        </w:rPr>
      </w:pPr>
      <w:r>
        <w:rPr>
          <w:sz w:val="28"/>
          <w:szCs w:val="28"/>
        </w:rPr>
        <w:t>How little plutonium can we use for a given power and mission length?</w:t>
      </w:r>
    </w:p>
    <w:p w:rsidR="00CB59FA" w:rsidRDefault="00CB59FA" w:rsidP="00CB59FA">
      <w:pPr>
        <w:pStyle w:val="Heading1"/>
      </w:pPr>
      <w:r>
        <w:t>The System</w:t>
      </w:r>
    </w:p>
    <w:p w:rsidR="00CB59FA" w:rsidRDefault="00CB59FA" w:rsidP="000D4778">
      <w:pPr>
        <w:jc w:val="center"/>
        <w:rPr>
          <w:rFonts w:cs="Times New Roman"/>
          <w:sz w:val="28"/>
          <w:szCs w:val="28"/>
        </w:rPr>
      </w:pPr>
      <w:r>
        <w:rPr>
          <w:noProof/>
          <w:lang w:eastAsia="en-US"/>
        </w:rPr>
        <w:drawing>
          <wp:inline distT="0" distB="0" distL="0" distR="0" wp14:anchorId="664D971E" wp14:editId="49AB3490">
            <wp:extent cx="4922305" cy="3276600"/>
            <wp:effectExtent l="0" t="0" r="0" b="0"/>
            <wp:docPr id="1" name="Picture 1" descr="http://www.animatedsoftware.com/cassini/rtg655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imatedsoftware.com/cassini/rtg655b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975" cy="3278377"/>
                    </a:xfrm>
                    <a:prstGeom prst="rect">
                      <a:avLst/>
                    </a:prstGeom>
                    <a:noFill/>
                    <a:ln>
                      <a:noFill/>
                    </a:ln>
                  </pic:spPr>
                </pic:pic>
              </a:graphicData>
            </a:graphic>
          </wp:inline>
        </w:drawing>
      </w:r>
    </w:p>
    <w:p w:rsidR="0085452D" w:rsidRDefault="00CB59FA">
      <w:pPr>
        <w:rPr>
          <w:rFonts w:cs="Times New Roman"/>
          <w:sz w:val="28"/>
          <w:szCs w:val="28"/>
        </w:rPr>
      </w:pPr>
      <w:r>
        <w:rPr>
          <w:rFonts w:cs="Times New Roman"/>
          <w:sz w:val="28"/>
          <w:szCs w:val="28"/>
        </w:rPr>
        <w:t xml:space="preserve">This is an RTG. </w:t>
      </w:r>
      <w:r w:rsidR="0085452D">
        <w:rPr>
          <w:rFonts w:cs="Times New Roman"/>
          <w:sz w:val="28"/>
          <w:szCs w:val="28"/>
        </w:rPr>
        <w:t xml:space="preserve">It generates power by conducting heat generated by radioactive decay of plutonium across thermocouples. </w:t>
      </w:r>
    </w:p>
    <w:p w:rsidR="0085452D" w:rsidRDefault="0085452D">
      <w:pPr>
        <w:rPr>
          <w:rFonts w:cs="Times New Roman"/>
          <w:sz w:val="28"/>
          <w:szCs w:val="28"/>
        </w:rPr>
      </w:pPr>
    </w:p>
    <w:p w:rsidR="00FB2FCE" w:rsidRDefault="00FB2FCE" w:rsidP="009D4C73">
      <w:pPr>
        <w:pStyle w:val="Heading1"/>
      </w:pPr>
      <w:r>
        <w:t>Our Assumptions</w:t>
      </w:r>
    </w:p>
    <w:p w:rsidR="000D4778" w:rsidRPr="000D4778" w:rsidRDefault="000D4778" w:rsidP="00FB2FCE">
      <w:pPr>
        <w:rPr>
          <w:sz w:val="28"/>
          <w:szCs w:val="28"/>
        </w:rPr>
      </w:pPr>
      <w:r w:rsidRPr="000D4778">
        <w:rPr>
          <w:sz w:val="28"/>
          <w:szCs w:val="28"/>
        </w:rPr>
        <w:t>To</w:t>
      </w:r>
      <w:r>
        <w:rPr>
          <w:sz w:val="28"/>
          <w:szCs w:val="28"/>
        </w:rPr>
        <w:t xml:space="preserve"> make our model, we had to make a few assumptions about the situation.</w:t>
      </w:r>
    </w:p>
    <w:p w:rsidR="00FB2FCE" w:rsidRPr="000D4778" w:rsidRDefault="00FB2FCE" w:rsidP="000D4778">
      <w:pPr>
        <w:pStyle w:val="ListParagraph"/>
        <w:numPr>
          <w:ilvl w:val="0"/>
          <w:numId w:val="13"/>
        </w:numPr>
        <w:rPr>
          <w:sz w:val="28"/>
          <w:szCs w:val="28"/>
        </w:rPr>
      </w:pPr>
      <w:r w:rsidRPr="000D4778">
        <w:rPr>
          <w:sz w:val="28"/>
          <w:szCs w:val="28"/>
        </w:rPr>
        <w:t>The RTG can be modeled as a cylinder of plutonium</w:t>
      </w:r>
    </w:p>
    <w:p w:rsidR="00FB2FCE" w:rsidRPr="000D4778" w:rsidRDefault="00FB2FCE" w:rsidP="000D4778">
      <w:pPr>
        <w:pStyle w:val="ListParagraph"/>
        <w:numPr>
          <w:ilvl w:val="0"/>
          <w:numId w:val="13"/>
        </w:numPr>
        <w:rPr>
          <w:sz w:val="28"/>
          <w:szCs w:val="28"/>
        </w:rPr>
      </w:pPr>
      <w:r w:rsidRPr="000D4778">
        <w:rPr>
          <w:sz w:val="28"/>
          <w:szCs w:val="28"/>
        </w:rPr>
        <w:t>The only way energy enters the system is by radioactive decay</w:t>
      </w:r>
    </w:p>
    <w:p w:rsidR="00FB2FCE" w:rsidRPr="000D4778" w:rsidRDefault="00FB2FCE" w:rsidP="000D4778">
      <w:pPr>
        <w:pStyle w:val="ListParagraph"/>
        <w:numPr>
          <w:ilvl w:val="0"/>
          <w:numId w:val="13"/>
        </w:numPr>
        <w:rPr>
          <w:sz w:val="28"/>
          <w:szCs w:val="28"/>
        </w:rPr>
      </w:pPr>
      <w:r w:rsidRPr="000D4778">
        <w:rPr>
          <w:sz w:val="28"/>
          <w:szCs w:val="28"/>
        </w:rPr>
        <w:t>The only ways energy leaves the system are by radiation or as electrical power</w:t>
      </w:r>
    </w:p>
    <w:p w:rsidR="00FB2FCE" w:rsidRPr="000D4778" w:rsidRDefault="00FB2FCE" w:rsidP="000D4778">
      <w:pPr>
        <w:pStyle w:val="ListParagraph"/>
        <w:numPr>
          <w:ilvl w:val="0"/>
          <w:numId w:val="13"/>
        </w:numPr>
        <w:rPr>
          <w:sz w:val="28"/>
          <w:szCs w:val="28"/>
        </w:rPr>
      </w:pPr>
      <w:r w:rsidRPr="000D4778">
        <w:rPr>
          <w:sz w:val="28"/>
          <w:szCs w:val="28"/>
        </w:rPr>
        <w:t>Electrical power is 6% of the radiation flow</w:t>
      </w:r>
    </w:p>
    <w:p w:rsidR="00FB2FCE" w:rsidRPr="000D4778" w:rsidRDefault="00FB2FCE" w:rsidP="000D4778">
      <w:pPr>
        <w:pStyle w:val="ListParagraph"/>
        <w:numPr>
          <w:ilvl w:val="0"/>
          <w:numId w:val="13"/>
        </w:numPr>
        <w:rPr>
          <w:sz w:val="28"/>
          <w:szCs w:val="28"/>
        </w:rPr>
      </w:pPr>
      <w:r w:rsidRPr="000D4778">
        <w:rPr>
          <w:sz w:val="28"/>
          <w:szCs w:val="28"/>
        </w:rPr>
        <w:t>The temperature of space is a constant 2 Kelvin</w:t>
      </w:r>
    </w:p>
    <w:p w:rsidR="009D4C73" w:rsidRDefault="0085452D" w:rsidP="009D4C73">
      <w:pPr>
        <w:pStyle w:val="Heading1"/>
      </w:pPr>
      <w:r>
        <w:t>Our Model</w:t>
      </w:r>
    </w:p>
    <w:p w:rsidR="009D4C73" w:rsidRPr="009D4C73" w:rsidRDefault="009D4C73" w:rsidP="009D4C73"/>
    <w:p w:rsidR="009D4C73" w:rsidRDefault="0085452D">
      <w:pPr>
        <w:rPr>
          <w:rFonts w:cs="Times New Roman"/>
          <w:sz w:val="28"/>
          <w:szCs w:val="28"/>
        </w:rPr>
      </w:pPr>
      <w:r>
        <w:rPr>
          <w:rFonts w:cs="Times New Roman"/>
          <w:sz w:val="28"/>
          <w:szCs w:val="28"/>
        </w:rPr>
        <w:t>The following is our abstraction of the system. Since all of the heat flows out of the system by radiation or electricity, and we know that about 6% of the heat is captured</w:t>
      </w:r>
      <w:r w:rsidR="00FB2FCE">
        <w:rPr>
          <w:rFonts w:cs="Times New Roman"/>
          <w:sz w:val="28"/>
          <w:szCs w:val="28"/>
        </w:rPr>
        <w:t xml:space="preserve"> as electricity</w:t>
      </w:r>
      <w:r>
        <w:rPr>
          <w:rFonts w:cs="Times New Roman"/>
          <w:sz w:val="28"/>
          <w:szCs w:val="28"/>
        </w:rPr>
        <w:t xml:space="preserve">, we’ve used a one-stock model for the hot fuel core. </w:t>
      </w:r>
    </w:p>
    <w:p w:rsidR="0085452D" w:rsidRDefault="00FB2FCE" w:rsidP="000D4778">
      <w:pPr>
        <w:jc w:val="center"/>
        <w:rPr>
          <w:rFonts w:cs="Times New Roman"/>
          <w:sz w:val="28"/>
          <w:szCs w:val="28"/>
        </w:rPr>
      </w:pPr>
      <w:r w:rsidRPr="00FB2FCE">
        <w:rPr>
          <w:rFonts w:cs="Times New Roman"/>
          <w:noProof/>
          <w:sz w:val="28"/>
          <w:szCs w:val="28"/>
          <w:lang w:eastAsia="en-US"/>
        </w:rPr>
        <w:drawing>
          <wp:inline distT="0" distB="0" distL="0" distR="0" wp14:anchorId="277B3474" wp14:editId="3285B810">
            <wp:extent cx="5113910" cy="32289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460" cy="3236268"/>
                    </a:xfrm>
                    <a:prstGeom prst="rect">
                      <a:avLst/>
                    </a:prstGeom>
                  </pic:spPr>
                </pic:pic>
              </a:graphicData>
            </a:graphic>
          </wp:inline>
        </w:drawing>
      </w:r>
    </w:p>
    <w:p w:rsidR="0085452D" w:rsidRDefault="0085452D" w:rsidP="00BF5316">
      <w:pPr>
        <w:jc w:val="center"/>
        <w:rPr>
          <w:rFonts w:cs="Times New Roman"/>
          <w:sz w:val="28"/>
          <w:szCs w:val="28"/>
        </w:rPr>
      </w:pPr>
      <w:r>
        <w:rPr>
          <w:rFonts w:cs="Times New Roman"/>
          <w:sz w:val="28"/>
          <w:szCs w:val="28"/>
        </w:rPr>
        <w:t>Our stock and flow model.</w:t>
      </w:r>
      <w:r w:rsidR="009D4C73" w:rsidRPr="009D4C73">
        <w:rPr>
          <w:rStyle w:val="FootnoteReference"/>
          <w:rFonts w:cs="Times New Roman"/>
          <w:sz w:val="28"/>
          <w:szCs w:val="28"/>
        </w:rPr>
        <w:t xml:space="preserve"> </w:t>
      </w:r>
      <w:r w:rsidR="009D4C73">
        <w:rPr>
          <w:rStyle w:val="FootnoteReference"/>
          <w:rFonts w:cs="Times New Roman"/>
          <w:sz w:val="28"/>
          <w:szCs w:val="28"/>
        </w:rPr>
        <w:footnoteReference w:id="2"/>
      </w:r>
      <w:r>
        <w:rPr>
          <w:rFonts w:cs="Times New Roman"/>
          <w:sz w:val="28"/>
          <w:szCs w:val="28"/>
        </w:rPr>
        <w:t xml:space="preserve"> </w:t>
      </w:r>
    </w:p>
    <w:p w:rsidR="0085452D" w:rsidRDefault="00D738D9" w:rsidP="00D738D9">
      <w:pPr>
        <w:pStyle w:val="Heading1"/>
      </w:pPr>
      <w:r>
        <w:lastRenderedPageBreak/>
        <w:t>Our Equations</w:t>
      </w:r>
    </w:p>
    <w:p w:rsidR="00D738D9" w:rsidRPr="007C4034" w:rsidRDefault="00757765" w:rsidP="00D738D9">
      <w:pPr>
        <w:rPr>
          <w:rFonts w:ascii="Myriad Pro" w:eastAsiaTheme="majorEastAsia" w:hAnsi="Myriad Pro" w:cstheme="majorBidi"/>
          <w:sz w:val="24"/>
          <w:szCs w:val="24"/>
        </w:rPr>
      </w:pPr>
      <m:oMathPara>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dt</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87.7 years</m:t>
              </m:r>
            </m:den>
          </m:f>
          <m:r>
            <w:rPr>
              <w:rFonts w:ascii="Cambria Math" w:hAnsi="Cambria Math"/>
              <w:sz w:val="24"/>
              <w:szCs w:val="24"/>
            </w:rPr>
            <m:t>*A kg</m:t>
          </m:r>
        </m:oMath>
      </m:oMathPara>
    </w:p>
    <w:p w:rsidR="007C4034" w:rsidRPr="007C4034" w:rsidRDefault="00757765" w:rsidP="00D738D9">
      <w:pPr>
        <w:rPr>
          <w:rFonts w:ascii="Myriad Pro" w:eastAsiaTheme="majorEastAsia" w:hAnsi="Myriad Pro" w:cstheme="majorBidi"/>
          <w:sz w:val="24"/>
          <w:szCs w:val="24"/>
        </w:rPr>
      </w:pPr>
      <m:oMathPara>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dQ</m:t>
              </m:r>
            </m:num>
            <m:den>
              <m:r>
                <w:rPr>
                  <w:rFonts w:ascii="Cambria Math" w:eastAsiaTheme="majorEastAsia" w:hAnsi="Cambria Math" w:cstheme="majorBidi"/>
                  <w:sz w:val="24"/>
                  <w:szCs w:val="24"/>
                </w:rPr>
                <m:t>dt</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dA</m:t>
              </m:r>
            </m:num>
            <m:den>
              <m:r>
                <w:rPr>
                  <w:rFonts w:ascii="Cambria Math" w:eastAsiaTheme="majorEastAsia" w:hAnsi="Cambria Math" w:cstheme="majorBidi"/>
                  <w:sz w:val="24"/>
                  <w:szCs w:val="24"/>
                </w:rPr>
                <m:t>dt</m:t>
              </m:r>
            </m:den>
          </m:f>
          <m:r>
            <w:rPr>
              <w:rFonts w:ascii="Cambria Math" w:eastAsiaTheme="majorEastAsia" w:hAnsi="Cambria Math" w:cstheme="majorBidi"/>
              <w:sz w:val="24"/>
              <w:szCs w:val="24"/>
            </w:rPr>
            <m:t>kg year</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s</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2.53*</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24</m:t>
                  </m:r>
                </m:sup>
              </m:sSup>
            </m:e>
          </m:d>
          <m:r>
            <w:rPr>
              <w:rFonts w:ascii="Cambria Math" w:eastAsiaTheme="majorEastAsia" w:hAnsi="Cambria Math" w:cstheme="majorBidi"/>
              <w:sz w:val="24"/>
              <w:szCs w:val="24"/>
            </w:rPr>
            <m:t>atoms k</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g</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8.96*</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-13</m:t>
                  </m:r>
                </m:sup>
              </m:sSup>
            </m:e>
          </m:d>
          <m:r>
            <w:rPr>
              <w:rFonts w:ascii="Cambria Math" w:eastAsiaTheme="majorEastAsia" w:hAnsi="Cambria Math" w:cstheme="majorBidi"/>
              <w:sz w:val="24"/>
              <w:szCs w:val="24"/>
            </w:rPr>
            <m:t>Joules ato</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m</m:t>
              </m:r>
            </m:e>
            <m:sup>
              <m:r>
                <w:rPr>
                  <w:rFonts w:ascii="Cambria Math" w:eastAsiaTheme="majorEastAsia" w:hAnsi="Cambria Math" w:cstheme="majorBidi"/>
                  <w:sz w:val="24"/>
                  <w:szCs w:val="24"/>
                </w:rPr>
                <m:t>-1</m:t>
              </m:r>
            </m:sup>
          </m:sSup>
        </m:oMath>
      </m:oMathPara>
    </w:p>
    <w:p w:rsidR="00BF5316" w:rsidRPr="000D4778" w:rsidRDefault="0056341F" w:rsidP="00BF5316">
      <w:pPr>
        <w:rPr>
          <w:rFonts w:ascii="Myriad Pro" w:eastAsiaTheme="majorEastAsia" w:hAnsi="Myriad Pro" w:cstheme="majorBidi"/>
          <w:sz w:val="24"/>
          <w:szCs w:val="24"/>
        </w:rPr>
      </w:pPr>
      <m:oMathPara>
        <m:oMath>
          <m:r>
            <w:rPr>
              <w:rFonts w:ascii="Cambria Math" w:eastAsiaTheme="majorEastAsia" w:hAnsi="Cambria Math" w:cstheme="majorBidi"/>
              <w:sz w:val="24"/>
              <w:szCs w:val="24"/>
            </w:rPr>
            <m:t xml:space="preserve">- 0.9*5.670 W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m</m:t>
              </m:r>
            </m:e>
            <m:sup>
              <m:r>
                <w:rPr>
                  <w:rFonts w:ascii="Cambria Math" w:eastAsiaTheme="majorEastAsia" w:hAnsi="Cambria Math" w:cstheme="majorBidi"/>
                  <w:sz w:val="24"/>
                  <w:szCs w:val="24"/>
                </w:rPr>
                <m:t>-2</m:t>
              </m:r>
            </m:sup>
          </m:s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K</m:t>
              </m:r>
            </m:e>
            <m:sup>
              <m:r>
                <w:rPr>
                  <w:rFonts w:ascii="Cambria Math" w:eastAsiaTheme="majorEastAsia" w:hAnsi="Cambria Math" w:cstheme="majorBidi"/>
                  <w:sz w:val="24"/>
                  <w:szCs w:val="24"/>
                </w:rPr>
                <m:t>-4</m:t>
              </m:r>
            </m:sup>
          </m:sSup>
          <m:r>
            <w:rPr>
              <w:rFonts w:ascii="Cambria Math" w:eastAsiaTheme="majorEastAsia" w:hAnsi="Cambria Math" w:cstheme="majorBidi"/>
              <w:sz w:val="24"/>
              <w:szCs w:val="24"/>
            </w:rPr>
            <m:t>*(3.1569*</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7</m:t>
              </m:r>
            </m:sup>
          </m:sSup>
          <m:r>
            <w:rPr>
              <w:rFonts w:ascii="Cambria Math" w:eastAsiaTheme="majorEastAsia" w:hAnsi="Cambria Math" w:cstheme="majorBidi"/>
              <w:sz w:val="24"/>
              <w:szCs w:val="24"/>
            </w:rPr>
            <m:t>)s yea</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r</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sSubSup>
            <m:sSubSupPr>
              <m:ctrlPr>
                <w:rPr>
                  <w:rFonts w:ascii="Cambria Math" w:eastAsiaTheme="majorEastAsia" w:hAnsi="Cambria Math" w:cstheme="majorBidi"/>
                  <w:i/>
                  <w:sz w:val="24"/>
                  <w:szCs w:val="24"/>
                </w:rPr>
              </m:ctrlPr>
            </m:sSubSup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RTG</m:t>
              </m:r>
            </m:sub>
            <m:sup>
              <m:r>
                <w:rPr>
                  <w:rFonts w:ascii="Cambria Math" w:eastAsiaTheme="majorEastAsia" w:hAnsi="Cambria Math" w:cstheme="majorBidi"/>
                  <w:sz w:val="24"/>
                  <w:szCs w:val="24"/>
                </w:rPr>
                <m:t>4</m:t>
              </m:r>
            </m:sup>
          </m:sSubSup>
        </m:oMath>
      </m:oMathPara>
    </w:p>
    <w:p w:rsidR="00BF5316" w:rsidRDefault="00BF5316" w:rsidP="00BF5316">
      <w:pPr>
        <w:rPr>
          <w:sz w:val="28"/>
          <w:szCs w:val="28"/>
        </w:rPr>
      </w:pPr>
    </w:p>
    <w:p w:rsidR="00BF5316" w:rsidRDefault="000D4778" w:rsidP="00BF5316">
      <w:pPr>
        <w:pStyle w:val="Heading1"/>
      </w:pPr>
      <w:r>
        <w:t>Our Simulation Results</w:t>
      </w:r>
    </w:p>
    <w:p w:rsidR="00A56E9F" w:rsidRPr="00A56E9F" w:rsidRDefault="000D4778" w:rsidP="000D4778">
      <w:pPr>
        <w:jc w:val="center"/>
      </w:pPr>
      <w:r w:rsidRPr="000D4778">
        <w:rPr>
          <w:noProof/>
          <w:lang w:eastAsia="en-US"/>
        </w:rPr>
        <mc:AlternateContent>
          <mc:Choice Requires="wps">
            <w:drawing>
              <wp:anchor distT="0" distB="0" distL="114300" distR="114300" simplePos="0" relativeHeight="251673600" behindDoc="0" locked="0" layoutInCell="1" allowOverlap="1" wp14:anchorId="516E835C" wp14:editId="17B25011">
                <wp:simplePos x="0" y="0"/>
                <wp:positionH relativeFrom="column">
                  <wp:posOffset>1352550</wp:posOffset>
                </wp:positionH>
                <wp:positionV relativeFrom="paragraph">
                  <wp:posOffset>1333500</wp:posOffset>
                </wp:positionV>
                <wp:extent cx="1927655" cy="261610"/>
                <wp:effectExtent l="0" t="0" r="0" b="0"/>
                <wp:wrapNone/>
                <wp:docPr id="29" name="TextBox 4"/>
                <wp:cNvGraphicFramePr/>
                <a:graphic xmlns:a="http://schemas.openxmlformats.org/drawingml/2006/main">
                  <a:graphicData uri="http://schemas.microsoft.com/office/word/2010/wordprocessingShape">
                    <wps:wsp>
                      <wps:cNvSpPr txBox="1"/>
                      <wps:spPr>
                        <a:xfrm>
                          <a:off x="0" y="0"/>
                          <a:ext cx="1927655" cy="261610"/>
                        </a:xfrm>
                        <a:prstGeom prst="rect">
                          <a:avLst/>
                        </a:prstGeom>
                        <a:noFill/>
                      </wps:spPr>
                      <wps:txbx>
                        <w:txbxContent>
                          <w:p w:rsidR="000D4778" w:rsidRPr="000D4778" w:rsidRDefault="000D4778" w:rsidP="000D4778">
                            <w:pPr>
                              <w:pStyle w:val="NormalWeb"/>
                              <w:spacing w:before="0" w:beforeAutospacing="0" w:after="0" w:afterAutospacing="0"/>
                              <w:jc w:val="center"/>
                              <w:rPr>
                                <w:rFonts w:ascii="Calibri" w:hAnsi="Calibri"/>
                              </w:rPr>
                            </w:pPr>
                            <w:r w:rsidRPr="000D4778">
                              <w:rPr>
                                <w:rFonts w:ascii="Calibri" w:hAnsi="Calibri" w:cstheme="minorBidi"/>
                                <w:color w:val="000000" w:themeColor="text1"/>
                                <w:kern w:val="24"/>
                                <w:sz w:val="22"/>
                                <w:szCs w:val="22"/>
                              </w:rPr>
                              <w:t>Power Threshold = 100W</w:t>
                            </w:r>
                          </w:p>
                        </w:txbxContent>
                      </wps:txbx>
                      <wps:bodyPr wrap="square" rtlCol="0">
                        <a:spAutoFit/>
                      </wps:bodyPr>
                    </wps:wsp>
                  </a:graphicData>
                </a:graphic>
              </wp:anchor>
            </w:drawing>
          </mc:Choice>
          <mc:Fallback>
            <w:pict>
              <v:shapetype w14:anchorId="516E835C" id="_x0000_t202" coordsize="21600,21600" o:spt="202" path="m,l,21600r21600,l21600,xe">
                <v:stroke joinstyle="miter"/>
                <v:path gradientshapeok="t" o:connecttype="rect"/>
              </v:shapetype>
              <v:shape id="TextBox 4" o:spid="_x0000_s1026" type="#_x0000_t202" style="position:absolute;left:0;text-align:left;margin-left:106.5pt;margin-top:105pt;width:151.8pt;height:20.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" filled="f" stroked="f">
                <v:textbox style="mso-fit-shape-to-text:t">
                  <w:txbxContent>
                    <w:p w:rsidR="000D4778" w:rsidRPr="000D4778" w:rsidRDefault="000D4778" w:rsidP="000D4778">
                      <w:pPr>
                        <w:pStyle w:val="NormalWeb"/>
                        <w:spacing w:before="0" w:beforeAutospacing="0" w:after="0" w:afterAutospacing="0"/>
                        <w:jc w:val="center"/>
                        <w:rPr>
                          <w:rFonts w:ascii="Calibri" w:hAnsi="Calibri"/>
                        </w:rPr>
                      </w:pPr>
                      <w:r w:rsidRPr="000D4778">
                        <w:rPr>
                          <w:rFonts w:ascii="Calibri" w:hAnsi="Calibri" w:cstheme="minorBidi"/>
                          <w:color w:val="000000" w:themeColor="text1"/>
                          <w:kern w:val="24"/>
                          <w:sz w:val="22"/>
                          <w:szCs w:val="22"/>
                        </w:rPr>
                        <w:t>Power Threshold = 100W</w:t>
                      </w:r>
                    </w:p>
                  </w:txbxContent>
                </v:textbox>
              </v:shape>
            </w:pict>
          </mc:Fallback>
        </mc:AlternateContent>
      </w:r>
      <w:r>
        <w:rPr>
          <w:noProof/>
          <w:lang w:eastAsia="en-US"/>
        </w:rPr>
        <w:drawing>
          <wp:inline distT="0" distB="0" distL="0" distR="0" wp14:anchorId="2CF6763B">
            <wp:extent cx="3963035" cy="2974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035" cy="2974975"/>
                    </a:xfrm>
                    <a:prstGeom prst="rect">
                      <a:avLst/>
                    </a:prstGeom>
                    <a:noFill/>
                  </pic:spPr>
                </pic:pic>
              </a:graphicData>
            </a:graphic>
          </wp:inline>
        </w:drawing>
      </w:r>
    </w:p>
    <w:p w:rsidR="00A56E9F" w:rsidRDefault="000D4778" w:rsidP="000D4778">
      <w:pPr>
        <w:rPr>
          <w:sz w:val="28"/>
          <w:szCs w:val="28"/>
        </w:rPr>
      </w:pPr>
      <w:r>
        <w:rPr>
          <w:sz w:val="28"/>
          <w:szCs w:val="28"/>
        </w:rPr>
        <w:t>The above image shows time series results of one call to our simulation function, which plots the electrical power output of the RTG over time until it reach</w:t>
      </w:r>
      <w:r w:rsidR="00992B30">
        <w:rPr>
          <w:sz w:val="28"/>
          <w:szCs w:val="28"/>
        </w:rPr>
        <w:t>es the specified threshold. This</w:t>
      </w:r>
      <w:r>
        <w:rPr>
          <w:sz w:val="28"/>
          <w:szCs w:val="28"/>
        </w:rPr>
        <w:t xml:space="preserve"> simulat</w:t>
      </w:r>
      <w:r w:rsidR="00992B30">
        <w:rPr>
          <w:sz w:val="28"/>
          <w:szCs w:val="28"/>
        </w:rPr>
        <w:t>ion is called with 4.8 kg of plutonium and a power threshold of 100W.</w:t>
      </w:r>
    </w:p>
    <w:p w:rsidR="00992B30" w:rsidRDefault="00992B30" w:rsidP="000D4778">
      <w:pPr>
        <w:rPr>
          <w:sz w:val="28"/>
          <w:szCs w:val="28"/>
        </w:rPr>
      </w:pPr>
    </w:p>
    <w:p w:rsidR="00992B30" w:rsidRDefault="00992B30" w:rsidP="000D4778">
      <w:pPr>
        <w:rPr>
          <w:sz w:val="28"/>
          <w:szCs w:val="28"/>
        </w:rPr>
      </w:pPr>
    </w:p>
    <w:p w:rsidR="00992B30" w:rsidRDefault="00992B30" w:rsidP="000D4778">
      <w:pPr>
        <w:rPr>
          <w:sz w:val="28"/>
          <w:szCs w:val="28"/>
        </w:rPr>
      </w:pPr>
    </w:p>
    <w:p w:rsidR="00992B30" w:rsidRDefault="00992B30" w:rsidP="000D4778">
      <w:pPr>
        <w:rPr>
          <w:sz w:val="28"/>
          <w:szCs w:val="28"/>
        </w:rPr>
      </w:pPr>
    </w:p>
    <w:p w:rsidR="009D4C73" w:rsidRDefault="009D4C73" w:rsidP="00992B30">
      <w:pPr>
        <w:rPr>
          <w:sz w:val="28"/>
          <w:szCs w:val="28"/>
        </w:rPr>
      </w:pPr>
    </w:p>
    <w:p w:rsidR="00992B30" w:rsidRDefault="00992B30" w:rsidP="009D4C73">
      <w:pPr>
        <w:pStyle w:val="Heading1"/>
      </w:pPr>
      <w:r>
        <w:lastRenderedPageBreak/>
        <w:t>Our Failures</w:t>
      </w:r>
      <w:r w:rsidR="00F60B30">
        <w:t>, and What We Learned</w:t>
      </w:r>
    </w:p>
    <w:p w:rsidR="00992B30" w:rsidRDefault="00992B30" w:rsidP="00992B30">
      <w:pPr>
        <w:rPr>
          <w:sz w:val="28"/>
        </w:rPr>
      </w:pPr>
      <w:r>
        <w:rPr>
          <w:sz w:val="28"/>
        </w:rPr>
        <w:t>We ran into a wide array of issues with our modeling and simulation of the physical world</w:t>
      </w:r>
      <w:r>
        <w:rPr>
          <w:rStyle w:val="FootnoteReference"/>
          <w:sz w:val="28"/>
        </w:rPr>
        <w:footnoteReference w:id="3"/>
      </w:r>
      <w:r>
        <w:rPr>
          <w:sz w:val="28"/>
        </w:rPr>
        <w:t xml:space="preserve">. At first, we ran into a wide variety of problems with Insight Maker, a particularly confounding example of </w:t>
      </w:r>
      <w:r w:rsidR="00A72B35">
        <w:rPr>
          <w:sz w:val="28"/>
        </w:rPr>
        <w:t>which can be found in the image</w:t>
      </w:r>
      <w:r>
        <w:rPr>
          <w:sz w:val="28"/>
        </w:rPr>
        <w:t xml:space="preserve"> below.</w:t>
      </w:r>
    </w:p>
    <w:p w:rsidR="00992B30" w:rsidRDefault="00992B30" w:rsidP="00992B30">
      <w:pPr>
        <w:jc w:val="center"/>
        <w:rPr>
          <w:sz w:val="28"/>
        </w:rPr>
      </w:pPr>
      <w:r w:rsidRPr="00992B30">
        <w:rPr>
          <w:noProof/>
          <w:sz w:val="28"/>
          <w:lang w:eastAsia="en-US"/>
        </w:rPr>
        <w:drawing>
          <wp:inline distT="0" distB="0" distL="0" distR="0" wp14:anchorId="412A5424" wp14:editId="0FEAB00A">
            <wp:extent cx="3286125" cy="1464568"/>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16318" t="11990" r="5570" b="26119"/>
                    <a:stretch/>
                  </pic:blipFill>
                  <pic:spPr bwMode="auto">
                    <a:xfrm>
                      <a:off x="0" y="0"/>
                      <a:ext cx="3311585" cy="1475915"/>
                    </a:xfrm>
                    <a:prstGeom prst="rect">
                      <a:avLst/>
                    </a:prstGeom>
                    <a:ln>
                      <a:noFill/>
                    </a:ln>
                    <a:extLst>
                      <a:ext uri="{53640926-AAD7-44D8-BBD7-CCE9431645EC}">
                        <a14:shadowObscured xmlns:a14="http://schemas.microsoft.com/office/drawing/2010/main"/>
                      </a:ext>
                    </a:extLst>
                  </pic:spPr>
                </pic:pic>
              </a:graphicData>
            </a:graphic>
          </wp:inline>
        </w:drawing>
      </w:r>
    </w:p>
    <w:p w:rsidR="00992B30" w:rsidRDefault="00A72B35" w:rsidP="00992B30">
      <w:pPr>
        <w:rPr>
          <w:sz w:val="28"/>
        </w:rPr>
      </w:pPr>
      <w:r>
        <w:rPr>
          <w:sz w:val="28"/>
        </w:rPr>
        <w:t>After we</w:t>
      </w:r>
      <w:r w:rsidR="00992B30">
        <w:rPr>
          <w:sz w:val="28"/>
        </w:rPr>
        <w:t xml:space="preserve"> abandoned Insight Maker</w:t>
      </w:r>
      <w:r>
        <w:rPr>
          <w:sz w:val="28"/>
        </w:rPr>
        <w:t xml:space="preserve">, we built an </w:t>
      </w:r>
      <w:r w:rsidR="00992B30">
        <w:rPr>
          <w:sz w:val="28"/>
        </w:rPr>
        <w:t xml:space="preserve">iteration of our model where the temperature of the RTG would, </w:t>
      </w:r>
      <w:r w:rsidR="00F60B30">
        <w:rPr>
          <w:sz w:val="28"/>
        </w:rPr>
        <w:t>over the course of three thousand</w:t>
      </w:r>
      <w:r w:rsidR="00992B30">
        <w:rPr>
          <w:sz w:val="28"/>
        </w:rPr>
        <w:t>ths of a second, plummet to -4 * 10</w:t>
      </w:r>
      <w:r w:rsidR="00992B30" w:rsidRPr="00992B30">
        <w:rPr>
          <w:sz w:val="28"/>
          <w:vertAlign w:val="superscript"/>
        </w:rPr>
        <w:t>90</w:t>
      </w:r>
      <w:r w:rsidR="00992B30">
        <w:rPr>
          <w:sz w:val="28"/>
          <w:vertAlign w:val="superscript"/>
        </w:rPr>
        <w:t xml:space="preserve"> </w:t>
      </w:r>
      <w:r w:rsidR="00992B30">
        <w:rPr>
          <w:sz w:val="28"/>
        </w:rPr>
        <w:t>Kelvin, and then onwards to negative infinity. Thi</w:t>
      </w:r>
      <w:r>
        <w:rPr>
          <w:sz w:val="28"/>
        </w:rPr>
        <w:t>s was a recurring issue,</w:t>
      </w:r>
      <w:r w:rsidR="00992B30">
        <w:rPr>
          <w:sz w:val="28"/>
        </w:rPr>
        <w:t xml:space="preserve"> until we resolved it with help from about three ninjas, multiple classmates and </w:t>
      </w:r>
      <w:proofErr w:type="gramStart"/>
      <w:r w:rsidR="00992B30">
        <w:rPr>
          <w:sz w:val="28"/>
        </w:rPr>
        <w:t xml:space="preserve">Mimi </w:t>
      </w:r>
      <w:proofErr w:type="gramEnd"/>
      <w:r w:rsidR="00992B30">
        <w:rPr>
          <w:rStyle w:val="FootnoteReference"/>
          <w:sz w:val="28"/>
        </w:rPr>
        <w:footnoteReference w:id="4"/>
      </w:r>
      <w:r>
        <w:rPr>
          <w:sz w:val="28"/>
        </w:rPr>
        <w:t>.</w:t>
      </w:r>
    </w:p>
    <w:p w:rsidR="00992B30" w:rsidRDefault="00992B30" w:rsidP="00992B30">
      <w:pPr>
        <w:rPr>
          <w:sz w:val="28"/>
        </w:rPr>
      </w:pPr>
      <w:r>
        <w:rPr>
          <w:sz w:val="28"/>
        </w:rPr>
        <w:t>Once our simulation was behaving somewhat norm</w:t>
      </w:r>
      <w:r w:rsidR="00A72B35">
        <w:rPr>
          <w:sz w:val="28"/>
        </w:rPr>
        <w:t>ally, we faced the daunting problem</w:t>
      </w:r>
      <w:r>
        <w:rPr>
          <w:sz w:val="28"/>
        </w:rPr>
        <w:t xml:space="preserve"> of ode45 deciding that our equations were too stiff</w:t>
      </w:r>
      <w:r w:rsidR="00F60B30">
        <w:rPr>
          <w:rStyle w:val="FootnoteReference"/>
          <w:sz w:val="28"/>
        </w:rPr>
        <w:footnoteReference w:id="5"/>
      </w:r>
      <w:r>
        <w:rPr>
          <w:sz w:val="28"/>
        </w:rPr>
        <w:t>. This was another major setback, but then we abandoned it for ode23s, whi</w:t>
      </w:r>
      <w:r w:rsidR="00A72B35">
        <w:rPr>
          <w:sz w:val="28"/>
        </w:rPr>
        <w:t>ch is designed to handle exactly</w:t>
      </w:r>
      <w:r>
        <w:rPr>
          <w:sz w:val="28"/>
        </w:rPr>
        <w:t xml:space="preserve"> </w:t>
      </w:r>
      <w:r w:rsidR="00F60B30">
        <w:rPr>
          <w:sz w:val="28"/>
        </w:rPr>
        <w:t>whatever stiffness actually is</w:t>
      </w:r>
      <w:r>
        <w:rPr>
          <w:sz w:val="28"/>
        </w:rPr>
        <w:t>.</w:t>
      </w:r>
    </w:p>
    <w:p w:rsidR="00F60B30" w:rsidRDefault="00F60B30" w:rsidP="00992B30">
      <w:pPr>
        <w:rPr>
          <w:sz w:val="28"/>
        </w:rPr>
      </w:pPr>
      <w:r>
        <w:rPr>
          <w:sz w:val="28"/>
        </w:rPr>
        <w:t>At this point, we were fac</w:t>
      </w:r>
      <w:r w:rsidR="00A72B35">
        <w:rPr>
          <w:sz w:val="28"/>
        </w:rPr>
        <w:t>ed with the even more formidable</w:t>
      </w:r>
      <w:r>
        <w:rPr>
          <w:sz w:val="28"/>
        </w:rPr>
        <w:t xml:space="preserve"> prospect of making an ode23s end case dependent on the results of a flow, </w:t>
      </w:r>
      <w:r>
        <w:rPr>
          <w:i/>
          <w:sz w:val="28"/>
        </w:rPr>
        <w:t>not a stock</w:t>
      </w:r>
      <w:r>
        <w:rPr>
          <w:sz w:val="28"/>
        </w:rPr>
        <w:t xml:space="preserve">.  We eventually made it work by abusing a convoluted output function and making some conservative estimates.  </w:t>
      </w:r>
    </w:p>
    <w:p w:rsidR="00A72B35" w:rsidRDefault="00F60B30" w:rsidP="00992B30">
      <w:pPr>
        <w:rPr>
          <w:sz w:val="28"/>
        </w:rPr>
      </w:pPr>
      <w:r>
        <w:rPr>
          <w:sz w:val="28"/>
        </w:rPr>
        <w:t>Once we had surpassed that obstacle, we faced a completely bewildering error:</w:t>
      </w:r>
    </w:p>
    <w:p w:rsidR="00A72B35" w:rsidRDefault="00A72B35" w:rsidP="00A72B35">
      <w:pPr>
        <w:jc w:val="right"/>
        <w:rPr>
          <w:sz w:val="28"/>
        </w:rPr>
      </w:pPr>
      <w:r w:rsidRPr="00F60B30">
        <w:rPr>
          <w:noProof/>
          <w:sz w:val="28"/>
          <w:lang w:eastAsia="en-US"/>
        </w:rPr>
        <w:drawing>
          <wp:anchor distT="0" distB="0" distL="114300" distR="114300" simplePos="0" relativeHeight="251674624" behindDoc="0" locked="0" layoutInCell="1" allowOverlap="1" wp14:anchorId="0B6EFB86" wp14:editId="3BB3F967">
            <wp:simplePos x="0" y="0"/>
            <wp:positionH relativeFrom="margin">
              <wp:align>center</wp:align>
            </wp:positionH>
            <wp:positionV relativeFrom="paragraph">
              <wp:posOffset>8890</wp:posOffset>
            </wp:positionV>
            <wp:extent cx="1533525" cy="638175"/>
            <wp:effectExtent l="0" t="0" r="9525" b="952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3">
                      <a:extLst>
                        <a:ext uri="{28A0092B-C50C-407E-A947-70E740481C1C}">
                          <a14:useLocalDpi xmlns:a14="http://schemas.microsoft.com/office/drawing/2010/main" val="0"/>
                        </a:ext>
                      </a:extLst>
                    </a:blip>
                    <a:srcRect l="2424" t="26703" r="62093" b="33522"/>
                    <a:stretch/>
                  </pic:blipFill>
                  <pic:spPr bwMode="auto">
                    <a:xfrm>
                      <a:off x="0" y="0"/>
                      <a:ext cx="1533525" cy="638175"/>
                    </a:xfrm>
                    <a:prstGeom prst="rect">
                      <a:avLst/>
                    </a:prstGeom>
                    <a:ln>
                      <a:noFill/>
                    </a:ln>
                    <a:extLst>
                      <a:ext uri="{53640926-AAD7-44D8-BBD7-CCE9431645EC}">
                        <a14:shadowObscured xmlns:a14="http://schemas.microsoft.com/office/drawing/2010/main"/>
                      </a:ext>
                    </a:extLst>
                  </pic:spPr>
                </pic:pic>
              </a:graphicData>
            </a:graphic>
          </wp:anchor>
        </w:drawing>
      </w:r>
    </w:p>
    <w:p w:rsidR="00A72B35" w:rsidRDefault="00A72B35" w:rsidP="00A72B35">
      <w:pPr>
        <w:jc w:val="right"/>
        <w:rPr>
          <w:sz w:val="28"/>
        </w:rPr>
      </w:pPr>
      <w:r>
        <w:rPr>
          <w:sz w:val="28"/>
        </w:rPr>
        <w:t>So, there’s that.</w:t>
      </w:r>
    </w:p>
    <w:p w:rsidR="00CB677D" w:rsidRDefault="00F60B30" w:rsidP="00CB677D">
      <w:pPr>
        <w:rPr>
          <w:sz w:val="28"/>
        </w:rPr>
      </w:pPr>
      <w:r>
        <w:rPr>
          <w:sz w:val="28"/>
        </w:rPr>
        <w:br w:type="column"/>
      </w:r>
      <w:r>
        <w:rPr>
          <w:sz w:val="28"/>
        </w:rPr>
        <w:lastRenderedPageBreak/>
        <w:t>It was at this point that we realized that our simulation needed to be a function of mass and threshold power, but that our design recommendation would require a function of power and mission duration that would return a mass. 40,000 simulations later, we had a lookup table and a dedicated function to do exactly that: find simulation results that matched the input arguments</w:t>
      </w:r>
      <w:r w:rsidR="00CB677D">
        <w:rPr>
          <w:sz w:val="28"/>
        </w:rPr>
        <w:t xml:space="preserve">. Fortunately, it made a </w:t>
      </w:r>
      <w:r w:rsidR="00CB677D">
        <w:rPr>
          <w:i/>
          <w:sz w:val="28"/>
        </w:rPr>
        <w:t>really</w:t>
      </w:r>
      <w:r w:rsidR="00CB677D">
        <w:rPr>
          <w:sz w:val="28"/>
        </w:rPr>
        <w:t xml:space="preserve"> cool graph.</w:t>
      </w:r>
    </w:p>
    <w:p w:rsidR="00CB677D" w:rsidRPr="00CB677D" w:rsidRDefault="00CB677D" w:rsidP="00CB677D">
      <w:pPr>
        <w:rPr>
          <w:sz w:val="28"/>
        </w:rPr>
      </w:pPr>
      <w:r>
        <w:rPr>
          <w:sz w:val="28"/>
        </w:rPr>
        <w:t>We learned a few key concepts from this entire process. First, Insight Maker is a tool that isn’t very useful for more complicated applications; it’s simply too finicky</w:t>
      </w:r>
      <w:r>
        <w:rPr>
          <w:rStyle w:val="FootnoteReference"/>
          <w:sz w:val="28"/>
        </w:rPr>
        <w:footnoteReference w:id="6"/>
      </w:r>
      <w:r>
        <w:rPr>
          <w:sz w:val="28"/>
        </w:rPr>
        <w:t>. In addition, we learned (the hard way) that certain ODE solvers work much better than others for certain applications. In the future, it</w:t>
      </w:r>
      <w:r w:rsidR="00A72B35">
        <w:rPr>
          <w:sz w:val="28"/>
        </w:rPr>
        <w:t xml:space="preserve"> will likely be helpful to try many of them, before trying more difficult options. We</w:t>
      </w:r>
      <w:r>
        <w:rPr>
          <w:sz w:val="28"/>
        </w:rPr>
        <w:t xml:space="preserve"> learned a LOT about how to use ODE solvers, and how to abuse them. Another useful skill we learned from thi</w:t>
      </w:r>
      <w:r w:rsidR="00A72B35">
        <w:rPr>
          <w:sz w:val="28"/>
        </w:rPr>
        <w:t>s project is pair programming, which is surprising</w:t>
      </w:r>
      <w:r>
        <w:rPr>
          <w:sz w:val="28"/>
        </w:rPr>
        <w:t xml:space="preserve">ly robust in the face of debilitating bugs. All of these are going to be </w:t>
      </w:r>
      <w:r w:rsidR="003415D0">
        <w:rPr>
          <w:sz w:val="28"/>
        </w:rPr>
        <w:t xml:space="preserve">very useful as we move into our next project. </w:t>
      </w:r>
    </w:p>
    <w:p w:rsidR="009D4C73" w:rsidRDefault="00992B30" w:rsidP="009D4C73">
      <w:pPr>
        <w:pStyle w:val="Heading1"/>
      </w:pPr>
      <w:r>
        <w:t>Our Design Recommendation</w:t>
      </w:r>
    </w:p>
    <w:p w:rsidR="00A62C86" w:rsidRPr="009D4C73" w:rsidRDefault="003415D0" w:rsidP="00992B30">
      <w:pPr>
        <w:rPr>
          <w:sz w:val="28"/>
          <w:szCs w:val="28"/>
        </w:rPr>
      </w:pPr>
      <w:r>
        <w:rPr>
          <w:sz w:val="28"/>
          <w:szCs w:val="28"/>
        </w:rPr>
        <w:t xml:space="preserve">As an example of the ramifications that our model could have, we compared the actual plutonium payload of the New Horizons probe to the required payload predicted by our model. New Horizons, which required 200W of power over its 10 year mission, was launched with 8.6 kilograms of </w:t>
      </w:r>
      <w:r w:rsidRPr="003415D0">
        <w:rPr>
          <w:sz w:val="28"/>
          <w:szCs w:val="28"/>
          <w:vertAlign w:val="superscript"/>
        </w:rPr>
        <w:t>238</w:t>
      </w:r>
      <w:r>
        <w:rPr>
          <w:sz w:val="28"/>
          <w:szCs w:val="28"/>
        </w:rPr>
        <w:t xml:space="preserve"> Pu. In contrast, our model predicts that an RTG need only contain 7 kilograms of </w:t>
      </w:r>
      <w:r w:rsidRPr="003415D0">
        <w:rPr>
          <w:sz w:val="28"/>
          <w:szCs w:val="28"/>
          <w:vertAlign w:val="superscript"/>
        </w:rPr>
        <w:t>238</w:t>
      </w:r>
      <w:r>
        <w:rPr>
          <w:sz w:val="28"/>
          <w:szCs w:val="28"/>
        </w:rPr>
        <w:t xml:space="preserve"> Pu to put out 200W of power after 10 years. This translates to a savings of </w:t>
      </w:r>
      <w:r w:rsidR="00A62C86">
        <w:rPr>
          <w:sz w:val="28"/>
          <w:szCs w:val="28"/>
        </w:rPr>
        <w:t>1.6 kilos of plutonium, which is worth about 12.8 million dollars. Next time, NASA should definitely consult us first</w:t>
      </w:r>
      <w:r w:rsidR="00A72B35">
        <w:rPr>
          <w:rStyle w:val="FootnoteReference"/>
          <w:sz w:val="28"/>
          <w:szCs w:val="28"/>
        </w:rPr>
        <w:footnoteReference w:id="7"/>
      </w:r>
      <w:r w:rsidR="00A62C86">
        <w:rPr>
          <w:sz w:val="28"/>
          <w:szCs w:val="28"/>
        </w:rPr>
        <w:t>.</w:t>
      </w:r>
    </w:p>
    <w:sectPr w:rsidR="00A62C86" w:rsidRPr="009D4C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765" w:rsidRDefault="00757765">
      <w:pPr>
        <w:spacing w:after="0" w:line="240" w:lineRule="auto"/>
      </w:pPr>
      <w:r>
        <w:separator/>
      </w:r>
    </w:p>
  </w:endnote>
  <w:endnote w:type="continuationSeparator" w:id="0">
    <w:p w:rsidR="00757765" w:rsidRDefault="0075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765" w:rsidRDefault="00757765">
      <w:pPr>
        <w:spacing w:after="0" w:line="240" w:lineRule="auto"/>
      </w:pPr>
      <w:r>
        <w:separator/>
      </w:r>
    </w:p>
  </w:footnote>
  <w:footnote w:type="continuationSeparator" w:id="0">
    <w:p w:rsidR="00757765" w:rsidRDefault="00757765">
      <w:pPr>
        <w:spacing w:after="0" w:line="240" w:lineRule="auto"/>
      </w:pPr>
      <w:r>
        <w:continuationSeparator/>
      </w:r>
    </w:p>
  </w:footnote>
  <w:footnote w:id="1">
    <w:p w:rsidR="00FB2FCE" w:rsidRPr="000D4778" w:rsidRDefault="00FB2FCE">
      <w:pPr>
        <w:pStyle w:val="FootnoteText"/>
        <w:rPr>
          <w:sz w:val="22"/>
        </w:rPr>
      </w:pPr>
      <w:r w:rsidRPr="000D4778">
        <w:rPr>
          <w:rStyle w:val="FootnoteReference"/>
          <w:sz w:val="22"/>
        </w:rPr>
        <w:footnoteRef/>
      </w:r>
      <w:r w:rsidRPr="000D4778">
        <w:rPr>
          <w:sz w:val="22"/>
        </w:rPr>
        <w:t xml:space="preserve"> The Cassini-Huygens mission alone used approximately 23.4 kg of </w:t>
      </w:r>
      <w:r w:rsidRPr="000D4778">
        <w:rPr>
          <w:sz w:val="22"/>
          <w:vertAlign w:val="superscript"/>
        </w:rPr>
        <w:t>238</w:t>
      </w:r>
      <w:r w:rsidRPr="000D4778">
        <w:rPr>
          <w:sz w:val="22"/>
        </w:rPr>
        <w:t xml:space="preserve"> Pu.</w:t>
      </w:r>
    </w:p>
  </w:footnote>
  <w:footnote w:id="2">
    <w:p w:rsidR="009D4C73" w:rsidRDefault="009D4C73" w:rsidP="009D4C73">
      <w:pPr>
        <w:pStyle w:val="FootnoteText"/>
      </w:pPr>
      <w:r w:rsidRPr="00FB2FCE">
        <w:rPr>
          <w:rStyle w:val="FootnoteReference"/>
          <w:sz w:val="22"/>
        </w:rPr>
        <w:footnoteRef/>
      </w:r>
      <w:r>
        <w:t xml:space="preserve"> </w:t>
      </w:r>
      <w:r w:rsidRPr="00FB2FCE">
        <w:rPr>
          <w:rFonts w:cs="Times New Roman"/>
          <w:sz w:val="22"/>
          <w:szCs w:val="18"/>
        </w:rPr>
        <w:t xml:space="preserve">NB: electricity flow is not shown (it broke Insight Maker). </w:t>
      </w:r>
      <w:r w:rsidR="00FB2FCE" w:rsidRPr="00FB2FCE">
        <w:rPr>
          <w:rFonts w:cs="Times New Roman"/>
          <w:sz w:val="22"/>
          <w:szCs w:val="18"/>
        </w:rPr>
        <w:t xml:space="preserve">Our MATLAB model handled this </w:t>
      </w:r>
      <w:r w:rsidR="00FB2FCE" w:rsidRPr="00FB2FCE">
        <w:rPr>
          <w:rFonts w:cs="Times New Roman"/>
          <w:i/>
          <w:sz w:val="22"/>
          <w:szCs w:val="18"/>
        </w:rPr>
        <w:t>slightly</w:t>
      </w:r>
      <w:r w:rsidR="00FB2FCE" w:rsidRPr="00FB2FCE">
        <w:rPr>
          <w:rFonts w:cs="Times New Roman"/>
          <w:sz w:val="22"/>
          <w:szCs w:val="18"/>
        </w:rPr>
        <w:t xml:space="preserve"> more gracefully</w:t>
      </w:r>
    </w:p>
  </w:footnote>
  <w:footnote w:id="3">
    <w:p w:rsidR="00992B30" w:rsidRDefault="00992B30">
      <w:pPr>
        <w:pStyle w:val="FootnoteText"/>
      </w:pPr>
      <w:r w:rsidRPr="00992B30">
        <w:rPr>
          <w:rStyle w:val="FootnoteReference"/>
          <w:sz w:val="22"/>
        </w:rPr>
        <w:footnoteRef/>
      </w:r>
      <w:r w:rsidRPr="00992B30">
        <w:rPr>
          <w:sz w:val="22"/>
        </w:rPr>
        <w:t xml:space="preserve"> See what we did there?</w:t>
      </w:r>
    </w:p>
  </w:footnote>
  <w:footnote w:id="4">
    <w:p w:rsidR="00992B30" w:rsidRDefault="00992B30">
      <w:pPr>
        <w:pStyle w:val="FootnoteText"/>
      </w:pPr>
      <w:r w:rsidRPr="00992B30">
        <w:rPr>
          <w:rStyle w:val="FootnoteReference"/>
          <w:sz w:val="22"/>
        </w:rPr>
        <w:footnoteRef/>
      </w:r>
      <w:r w:rsidRPr="00992B30">
        <w:rPr>
          <w:sz w:val="22"/>
        </w:rPr>
        <w:t xml:space="preserve"> Credit where credit is due.</w:t>
      </w:r>
    </w:p>
  </w:footnote>
  <w:footnote w:id="5">
    <w:p w:rsidR="00F60B30" w:rsidRDefault="00F60B30">
      <w:pPr>
        <w:pStyle w:val="FootnoteText"/>
      </w:pPr>
      <w:r w:rsidRPr="00F60B30">
        <w:rPr>
          <w:rStyle w:val="FootnoteReference"/>
          <w:sz w:val="22"/>
        </w:rPr>
        <w:footnoteRef/>
      </w:r>
      <w:r w:rsidRPr="00F60B30">
        <w:rPr>
          <w:sz w:val="22"/>
        </w:rPr>
        <w:t xml:space="preserve"> https://en.wikipedia.org/wiki/Stiff_equation</w:t>
      </w:r>
    </w:p>
  </w:footnote>
  <w:footnote w:id="6">
    <w:p w:rsidR="00CB677D" w:rsidRDefault="00CB677D">
      <w:pPr>
        <w:pStyle w:val="FootnoteText"/>
      </w:pPr>
      <w:r w:rsidRPr="00CB677D">
        <w:rPr>
          <w:rStyle w:val="FootnoteReference"/>
          <w:sz w:val="22"/>
        </w:rPr>
        <w:footnoteRef/>
      </w:r>
      <w:r w:rsidRPr="00CB677D">
        <w:rPr>
          <w:sz w:val="22"/>
        </w:rPr>
        <w:t xml:space="preserve"> At least for flow-dependent flows</w:t>
      </w:r>
      <w:r w:rsidR="00A72B35">
        <w:rPr>
          <w:sz w:val="22"/>
        </w:rPr>
        <w:t>.</w:t>
      </w:r>
    </w:p>
  </w:footnote>
  <w:footnote w:id="7">
    <w:p w:rsidR="00A72B35" w:rsidRDefault="00A72B35">
      <w:pPr>
        <w:pStyle w:val="FootnoteText"/>
      </w:pPr>
      <w:r w:rsidRPr="00DD0553">
        <w:rPr>
          <w:rStyle w:val="FootnoteReference"/>
          <w:sz w:val="22"/>
        </w:rPr>
        <w:footnoteRef/>
      </w:r>
      <w:r w:rsidRPr="00DD0553">
        <w:rPr>
          <w:sz w:val="22"/>
        </w:rPr>
        <w:t xml:space="preserve"> </w:t>
      </w:r>
      <w:r w:rsidR="00DD0553">
        <w:rPr>
          <w:sz w:val="22"/>
        </w:rPr>
        <w:t>We’ll let them know that their RTGs are actually cylinders of plutonium floating in space.</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A20AC"/>
    <w:multiLevelType w:val="hybridMultilevel"/>
    <w:tmpl w:val="FB6A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A52F2"/>
    <w:multiLevelType w:val="multilevel"/>
    <w:tmpl w:val="7ED2DDCA"/>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FA"/>
    <w:rsid w:val="000D4778"/>
    <w:rsid w:val="003415D0"/>
    <w:rsid w:val="00453515"/>
    <w:rsid w:val="00496D03"/>
    <w:rsid w:val="0056341F"/>
    <w:rsid w:val="00757765"/>
    <w:rsid w:val="007C4034"/>
    <w:rsid w:val="0085452D"/>
    <w:rsid w:val="00992B30"/>
    <w:rsid w:val="009D4C73"/>
    <w:rsid w:val="00A56E9F"/>
    <w:rsid w:val="00A62C86"/>
    <w:rsid w:val="00A72B35"/>
    <w:rsid w:val="00BE5D16"/>
    <w:rsid w:val="00BF5316"/>
    <w:rsid w:val="00CB59FA"/>
    <w:rsid w:val="00CB677D"/>
    <w:rsid w:val="00D738D9"/>
    <w:rsid w:val="00DD0553"/>
    <w:rsid w:val="00E16DB8"/>
    <w:rsid w:val="00F60B30"/>
    <w:rsid w:val="00FB2F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1DD02-6F1F-4817-AE35-A9068264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59FA"/>
    <w:pPr>
      <w:keepNext/>
      <w:keepLines/>
      <w:numPr>
        <w:numId w:val="12"/>
      </w:numPr>
      <w:spacing w:before="240" w:after="0"/>
      <w:outlineLvl w:val="0"/>
    </w:pPr>
    <w:rPr>
      <w:rFonts w:ascii="Myriad Pro" w:eastAsiaTheme="majorEastAsia" w:hAnsi="Myriad Pro" w:cstheme="majorBidi"/>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FA"/>
    <w:rPr>
      <w:rFonts w:ascii="Myriad Pro" w:eastAsiaTheme="majorEastAsia" w:hAnsi="Myriad Pro" w:cstheme="majorBidi"/>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FootnoteText">
    <w:name w:val="footnote text"/>
    <w:basedOn w:val="Normal"/>
    <w:link w:val="FootnoteTextChar"/>
    <w:uiPriority w:val="99"/>
    <w:semiHidden/>
    <w:unhideWhenUsed/>
    <w:rsid w:val="009D4C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C73"/>
    <w:rPr>
      <w:sz w:val="20"/>
      <w:szCs w:val="20"/>
    </w:rPr>
  </w:style>
  <w:style w:type="character" w:styleId="FootnoteReference">
    <w:name w:val="footnote reference"/>
    <w:basedOn w:val="DefaultParagraphFont"/>
    <w:uiPriority w:val="99"/>
    <w:semiHidden/>
    <w:unhideWhenUsed/>
    <w:rsid w:val="009D4C73"/>
    <w:rPr>
      <w:vertAlign w:val="superscript"/>
    </w:rPr>
  </w:style>
  <w:style w:type="character" w:styleId="PlaceholderText">
    <w:name w:val="Placeholder Text"/>
    <w:basedOn w:val="DefaultParagraphFont"/>
    <w:uiPriority w:val="99"/>
    <w:semiHidden/>
    <w:rsid w:val="00D738D9"/>
    <w:rPr>
      <w:color w:val="808080"/>
    </w:rPr>
  </w:style>
  <w:style w:type="paragraph" w:styleId="NormalWeb">
    <w:name w:val="Normal (Web)"/>
    <w:basedOn w:val="Normal"/>
    <w:uiPriority w:val="99"/>
    <w:semiHidden/>
    <w:unhideWhenUsed/>
    <w:rsid w:val="000D4778"/>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864121">
      <w:bodyDiv w:val="1"/>
      <w:marLeft w:val="0"/>
      <w:marRight w:val="0"/>
      <w:marTop w:val="0"/>
      <w:marBottom w:val="0"/>
      <w:divBdr>
        <w:top w:val="none" w:sz="0" w:space="0" w:color="auto"/>
        <w:left w:val="none" w:sz="0" w:space="0" w:color="auto"/>
        <w:bottom w:val="none" w:sz="0" w:space="0" w:color="auto"/>
        <w:right w:val="none" w:sz="0" w:space="0" w:color="auto"/>
      </w:divBdr>
    </w:div>
    <w:div w:id="2087720430">
      <w:bodyDiv w:val="1"/>
      <w:marLeft w:val="0"/>
      <w:marRight w:val="0"/>
      <w:marTop w:val="0"/>
      <w:marBottom w:val="0"/>
      <w:divBdr>
        <w:top w:val="none" w:sz="0" w:space="0" w:color="auto"/>
        <w:left w:val="none" w:sz="0" w:space="0" w:color="auto"/>
        <w:bottom w:val="none" w:sz="0" w:space="0" w:color="auto"/>
        <w:right w:val="none" w:sz="0" w:space="0" w:color="auto"/>
      </w:divBdr>
      <w:divsChild>
        <w:div w:id="1480413715">
          <w:marLeft w:val="144"/>
          <w:marRight w:val="0"/>
          <w:marTop w:val="240"/>
          <w:marBottom w:val="40"/>
          <w:divBdr>
            <w:top w:val="none" w:sz="0" w:space="0" w:color="auto"/>
            <w:left w:val="none" w:sz="0" w:space="0" w:color="auto"/>
            <w:bottom w:val="none" w:sz="0" w:space="0" w:color="auto"/>
            <w:right w:val="none" w:sz="0" w:space="0" w:color="auto"/>
          </w:divBdr>
        </w:div>
        <w:div w:id="1605384397">
          <w:marLeft w:val="144"/>
          <w:marRight w:val="0"/>
          <w:marTop w:val="240"/>
          <w:marBottom w:val="40"/>
          <w:divBdr>
            <w:top w:val="none" w:sz="0" w:space="0" w:color="auto"/>
            <w:left w:val="none" w:sz="0" w:space="0" w:color="auto"/>
            <w:bottom w:val="none" w:sz="0" w:space="0" w:color="auto"/>
            <w:right w:val="none" w:sz="0" w:space="0" w:color="auto"/>
          </w:divBdr>
        </w:div>
        <w:div w:id="1404913920">
          <w:marLeft w:val="144"/>
          <w:marRight w:val="0"/>
          <w:marTop w:val="240"/>
          <w:marBottom w:val="40"/>
          <w:divBdr>
            <w:top w:val="none" w:sz="0" w:space="0" w:color="auto"/>
            <w:left w:val="none" w:sz="0" w:space="0" w:color="auto"/>
            <w:bottom w:val="none" w:sz="0" w:space="0" w:color="auto"/>
            <w:right w:val="none" w:sz="0" w:space="0" w:color="auto"/>
          </w:divBdr>
        </w:div>
        <w:div w:id="872377686">
          <w:marLeft w:val="144"/>
          <w:marRight w:val="0"/>
          <w:marTop w:val="240"/>
          <w:marBottom w:val="40"/>
          <w:divBdr>
            <w:top w:val="none" w:sz="0" w:space="0" w:color="auto"/>
            <w:left w:val="none" w:sz="0" w:space="0" w:color="auto"/>
            <w:bottom w:val="none" w:sz="0" w:space="0" w:color="auto"/>
            <w:right w:val="none" w:sz="0" w:space="0" w:color="auto"/>
          </w:divBdr>
        </w:div>
        <w:div w:id="15992849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pp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8911928-E536-4B16-8E60-EF091187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3358</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Hoppe</dc:creator>
  <cp:keywords/>
  <dc:description/>
  <cp:lastModifiedBy>Taylor Sheneman</cp:lastModifiedBy>
  <cp:revision>5</cp:revision>
  <dcterms:created xsi:type="dcterms:W3CDTF">2015-10-28T05:55:00Z</dcterms:created>
  <dcterms:modified xsi:type="dcterms:W3CDTF">2015-11-04T05:24:00Z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