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footer1.xml" ContentType="application/vnd.openxmlformats-officedocument.wordprocessingml.footer+xml"/>
  <Override PartName="/customXml/itemProps1.xml" ContentType="application/vnd.openxmlformats-officedocument.customXml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OFFICIAL</w:t>
      </w:r>
    </w:p>
    <w:p>
      <w:pPr>
        <w:pStyle w:val="Title"/>
        <w:jc w:val="center"/>
      </w:pPr>
      <w:r>
        <w:t>EFIQ Connectathon 2026</w:t>
        <w:br/>
        <w:t>Track 2 External Service Access Investigation</w:t>
      </w:r>
    </w:p>
    <w:p>
      <w:pPr>
        <w:jc w:val="center"/>
      </w:pPr>
      <w:r>
        <w:rPr>
          <w:color w:val="44546A"/>
          <w:sz w:val="28"/>
        </w:rPr>
        <w:t>Hosting, network accessibility and Queensland Health participant device readiness</w:t>
      </w:r>
    </w:p>
    <w:p>
      <w:pPr>
        <w:jc w:val="center"/>
      </w:pPr>
      <w:r>
        <w:br/>
        <w:t>Prepared 22 September 2026</w:t>
        <w:br/>
        <w:t>Decision-support report and verification plan</w:t>
      </w:r>
    </w:p>
    <w:tbl>
      <w:tblPr>
        <w:tblW w:type="auto" w:w="0"/>
        <w:jc w:val="center"/>
        <w:tblLook w:firstColumn="1" w:firstRow="1" w:lastColumn="0" w:lastRow="0" w:noHBand="0" w:noVBand="1" w:val="04A0"/>
      </w:tblPr>
      <w:tblGrid>
        <w:gridCol w:w="9936"/>
      </w:tblGrid>
      <w:tr>
        <w:tc>
          <w:tcPr>
            <w:tcW w:type="dxa" w:w="9936"/>
            <w:shd w:fill="FFF2CC"/>
            <w:tcMar>
              <w:top w:w="160" w:type="dxa"/>
              <w:start w:w="180" w:type="dxa"/>
              <w:bottom w:w="160" w:type="dxa"/>
              <w:end w:w="180" w:type="dxa"/>
            </w:tcMar>
          </w:tcPr>
          <w:p>
            <w:r>
              <w:rPr>
                <w:b/>
                <w:color w:val="1F4E79"/>
                <w:sz w:val="22"/>
              </w:rPr>
              <w:t>Status: CONDITIONAL GO</w:t>
              <w:br/>
            </w:r>
            <w:r>
              <w:t>The scenario is technically feasible, but it is not yet proven for the 2026 venue and Queensland Health managed laptops. Proceed with publicly reachable, HTTPS-only hosted services and a browser-first participant path, subject to an on-site pre-flight test and written confirmation of network and endpoint constraints.</w:t>
            </w:r>
          </w:p>
        </w:tc>
      </w:tr>
    </w:tbl>
    <w:p/>
    <w:p>
      <w:r>
        <w:br w:type="page"/>
      </w:r>
    </w:p>
    <w:p>
      <w:pPr>
        <w:pStyle w:val="Heading1"/>
      </w:pPr>
      <w:r>
        <w:t>Executive summary</w:t>
      </w:r>
    </w:p>
    <w:p>
      <w:r>
        <w:t>Track 2 intends to use externally hosted example services from Queensland Health laptops. The strongest delivery model is a centrally hosted, non-production environment exposed through public DNS and trusted HTTPS on TCP 443. Participants should be able to complete the core activities in a standard browser. Postman, command-line tools and local development environments should be treated as optional enhancements rather than prerequisites.</w:t>
      </w:r>
    </w:p>
    <w:p>
      <w:r>
        <w:t>The available evidence shows that the 2025 Queensland Health Connectathon successfully advertised both secured and open external FHIR server URLs and instructed attendees to bring laptops, software and remote-access tools. This is encouraging precedent, but it does not prove that the 2026 venue network or current managed-laptop controls will permit all required endpoints, request methods or tools.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9"/>
            <w:tcMar>
              <w:top w:w="100" w:type="dxa"/>
              <w:start w:w="120" w:type="dxa"/>
              <w:bottom w:w="100" w:type="dxa"/>
              <w:end w:w="120" w:type="dxa"/>
            </w:tcMar>
            <w:vAlign w:val="center"/>
          </w:tcPr>
          <w:p>
            <w:r>
              <w:rPr>
                <w:b/>
                <w:color w:val="FFFFFF"/>
                <w:sz w:val="18"/>
              </w:rPr>
              <w:t>Area</w:t>
            </w:r>
          </w:p>
        </w:tc>
        <w:tc>
          <w:tcPr>
            <w:tcW w:type="dxa" w:w="3312"/>
            <w:shd w:fill="1F4E79"/>
            <w:tcMar>
              <w:top w:w="100" w:type="dxa"/>
              <w:start w:w="120" w:type="dxa"/>
              <w:bottom w:w="100" w:type="dxa"/>
              <w:end w:w="120" w:type="dxa"/>
            </w:tcMar>
            <w:vAlign w:val="center"/>
          </w:tcPr>
          <w:p>
            <w:r>
              <w:rPr>
                <w:b/>
                <w:color w:val="FFFFFF"/>
                <w:sz w:val="18"/>
              </w:rPr>
              <w:t>Current assessment</w:t>
            </w:r>
          </w:p>
        </w:tc>
        <w:tc>
          <w:tcPr>
            <w:tcW w:type="dxa" w:w="3312"/>
            <w:shd w:fill="1F4E79"/>
            <w:tcMar>
              <w:top w:w="100" w:type="dxa"/>
              <w:start w:w="120" w:type="dxa"/>
              <w:bottom w:w="100" w:type="dxa"/>
              <w:end w:w="120" w:type="dxa"/>
            </w:tcMar>
            <w:vAlign w:val="center"/>
          </w:tcPr>
          <w:p>
            <w:r>
              <w:rPr>
                <w:b/>
                <w:color w:val="FFFFFF"/>
                <w:sz w:val="18"/>
              </w:rPr>
              <w:t>Decision condition</w:t>
            </w:r>
          </w:p>
        </w:tc>
      </w:tr>
      <w:tr>
        <w:tc>
          <w:tcPr>
            <w:tcW w:type="dxa" w:w="2016"/>
            <w:tcMar>
              <w:top w:w="100" w:type="dxa"/>
              <w:start w:w="120" w:type="dxa"/>
              <w:bottom w:w="100" w:type="dxa"/>
              <w:end w:w="120" w:type="dxa"/>
            </w:tcMar>
            <w:vAlign w:val="center"/>
          </w:tcPr>
          <w:p>
            <w:r>
              <w:rPr>
                <w:sz w:val="17"/>
              </w:rPr>
              <w:t>Hosting</w:t>
            </w:r>
          </w:p>
        </w:tc>
        <w:tc>
          <w:tcPr>
            <w:tcW w:type="dxa" w:w="2592"/>
            <w:tcMar>
              <w:top w:w="100" w:type="dxa"/>
              <w:start w:w="120" w:type="dxa"/>
              <w:bottom w:w="100" w:type="dxa"/>
              <w:end w:w="120" w:type="dxa"/>
            </w:tcMar>
            <w:vAlign w:val="center"/>
          </w:tcPr>
          <w:p>
            <w:r>
              <w:rPr>
                <w:sz w:val="17"/>
              </w:rPr>
              <w:t>Feasible</w:t>
            </w:r>
          </w:p>
        </w:tc>
        <w:tc>
          <w:tcPr>
            <w:tcW w:type="dxa" w:w="4464"/>
            <w:tcMar>
              <w:top w:w="100" w:type="dxa"/>
              <w:start w:w="120" w:type="dxa"/>
              <w:bottom w:w="100" w:type="dxa"/>
              <w:end w:w="120" w:type="dxa"/>
            </w:tcMar>
            <w:vAlign w:val="center"/>
          </w:tcPr>
          <w:p>
            <w:r>
              <w:rPr>
                <w:sz w:val="17"/>
              </w:rPr>
              <w:t>Deploy reproducibly; use synthetic data; provide health checks, logs and rollback.</w:t>
            </w:r>
          </w:p>
        </w:tc>
      </w:tr>
      <w:tr>
        <w:tc>
          <w:tcPr>
            <w:tcW w:type="dxa" w:w="2016"/>
            <w:tcMar>
              <w:top w:w="100" w:type="dxa"/>
              <w:start w:w="120" w:type="dxa"/>
              <w:bottom w:w="100" w:type="dxa"/>
              <w:end w:w="120" w:type="dxa"/>
            </w:tcMar>
            <w:vAlign w:val="center"/>
            <w:shd w:fill="EAF2F8"/>
          </w:tcPr>
          <w:p>
            <w:r>
              <w:rPr>
                <w:sz w:val="17"/>
              </w:rPr>
              <w:t>Venue/network</w:t>
            </w:r>
          </w:p>
        </w:tc>
        <w:tc>
          <w:tcPr>
            <w:tcW w:type="dxa" w:w="2592"/>
            <w:tcMar>
              <w:top w:w="100" w:type="dxa"/>
              <w:start w:w="120" w:type="dxa"/>
              <w:bottom w:w="100" w:type="dxa"/>
              <w:end w:w="120" w:type="dxa"/>
            </w:tcMar>
            <w:vAlign w:val="center"/>
            <w:shd w:fill="EAF2F8"/>
          </w:tcPr>
          <w:p>
            <w:r>
              <w:rPr>
                <w:sz w:val="17"/>
              </w:rPr>
              <w:t>Unverified critical dependency</w:t>
            </w:r>
          </w:p>
        </w:tc>
        <w:tc>
          <w:tcPr>
            <w:tcW w:type="dxa" w:w="4464"/>
            <w:tcMar>
              <w:top w:w="100" w:type="dxa"/>
              <w:start w:w="120" w:type="dxa"/>
              <w:bottom w:w="100" w:type="dxa"/>
              <w:end w:w="120" w:type="dxa"/>
            </w:tcMar>
            <w:vAlign w:val="center"/>
            <w:shd w:fill="EAF2F8"/>
          </w:tcPr>
          <w:p>
            <w:r>
              <w:rPr>
                <w:sz w:val="17"/>
              </w:rPr>
              <w:t>Test from the actual participant network using a representative QH laptop.</w:t>
            </w:r>
          </w:p>
        </w:tc>
      </w:tr>
      <w:tr>
        <w:tc>
          <w:tcPr>
            <w:tcW w:type="dxa" w:w="2016"/>
            <w:tcMar>
              <w:top w:w="100" w:type="dxa"/>
              <w:start w:w="120" w:type="dxa"/>
              <w:bottom w:w="100" w:type="dxa"/>
              <w:end w:w="120" w:type="dxa"/>
            </w:tcMar>
            <w:vAlign w:val="center"/>
          </w:tcPr>
          <w:p>
            <w:r>
              <w:rPr>
                <w:sz w:val="17"/>
              </w:rPr>
              <w:t>Participant devices</w:t>
            </w:r>
          </w:p>
        </w:tc>
        <w:tc>
          <w:tcPr>
            <w:tcW w:type="dxa" w:w="2592"/>
            <w:tcMar>
              <w:top w:w="100" w:type="dxa"/>
              <w:start w:w="120" w:type="dxa"/>
              <w:bottom w:w="100" w:type="dxa"/>
              <w:end w:w="120" w:type="dxa"/>
            </w:tcMar>
            <w:vAlign w:val="center"/>
          </w:tcPr>
          <w:p>
            <w:r>
              <w:rPr>
                <w:sz w:val="17"/>
              </w:rPr>
              <w:t>Browser likely safest; developer tooling unknown</w:t>
            </w:r>
          </w:p>
        </w:tc>
        <w:tc>
          <w:tcPr>
            <w:tcW w:type="dxa" w:w="4464"/>
            <w:tcMar>
              <w:top w:w="100" w:type="dxa"/>
              <w:start w:w="120" w:type="dxa"/>
              <w:bottom w:w="100" w:type="dxa"/>
              <w:end w:w="120" w:type="dxa"/>
            </w:tcMar>
            <w:vAlign w:val="center"/>
          </w:tcPr>
          <w:p>
            <w:r>
              <w:rPr>
                <w:sz w:val="17"/>
              </w:rPr>
              <w:t>Core workflow must require no installation or administrator rights.</w:t>
            </w:r>
          </w:p>
        </w:tc>
      </w:tr>
      <w:tr>
        <w:tc>
          <w:tcPr>
            <w:tcW w:type="dxa" w:w="2016"/>
            <w:tcMar>
              <w:top w:w="100" w:type="dxa"/>
              <w:start w:w="120" w:type="dxa"/>
              <w:bottom w:w="100" w:type="dxa"/>
              <w:end w:w="120" w:type="dxa"/>
            </w:tcMar>
            <w:vAlign w:val="center"/>
            <w:shd w:fill="EAF2F8"/>
          </w:tcPr>
          <w:p>
            <w:r>
              <w:rPr>
                <w:sz w:val="17"/>
              </w:rPr>
              <w:t>Security/governance</w:t>
            </w:r>
          </w:p>
        </w:tc>
        <w:tc>
          <w:tcPr>
            <w:tcW w:type="dxa" w:w="2592"/>
            <w:tcMar>
              <w:top w:w="100" w:type="dxa"/>
              <w:start w:w="120" w:type="dxa"/>
              <w:bottom w:w="100" w:type="dxa"/>
              <w:end w:w="120" w:type="dxa"/>
            </w:tcMar>
            <w:vAlign w:val="center"/>
            <w:shd w:fill="EAF2F8"/>
          </w:tcPr>
          <w:p>
            <w:r>
              <w:rPr>
                <w:sz w:val="17"/>
              </w:rPr>
              <w:t>Non-production only</w:t>
            </w:r>
          </w:p>
        </w:tc>
        <w:tc>
          <w:tcPr>
            <w:tcW w:type="dxa" w:w="4464"/>
            <w:tcMar>
              <w:top w:w="100" w:type="dxa"/>
              <w:start w:w="120" w:type="dxa"/>
              <w:bottom w:w="100" w:type="dxa"/>
              <w:end w:w="120" w:type="dxa"/>
            </w:tcMar>
            <w:vAlign w:val="center"/>
            <w:shd w:fill="EAF2F8"/>
          </w:tcPr>
          <w:p>
            <w:r>
              <w:rPr>
                <w:sz w:val="17"/>
              </w:rPr>
              <w:t>No real patient data; minimise accounts; document retention and shutdown.</w:t>
            </w:r>
          </w:p>
        </w:tc>
      </w:tr>
      <w:tr>
        <w:tc>
          <w:tcPr>
            <w:tcW w:type="dxa" w:w="2016"/>
            <w:tcMar>
              <w:top w:w="100" w:type="dxa"/>
              <w:start w:w="120" w:type="dxa"/>
              <w:bottom w:w="100" w:type="dxa"/>
              <w:end w:w="120" w:type="dxa"/>
            </w:tcMar>
            <w:vAlign w:val="center"/>
          </w:tcPr>
          <w:p>
            <w:r>
              <w:rPr>
                <w:sz w:val="17"/>
              </w:rPr>
              <w:t>Resilience</w:t>
            </w:r>
          </w:p>
        </w:tc>
        <w:tc>
          <w:tcPr>
            <w:tcW w:type="dxa" w:w="2592"/>
            <w:tcMar>
              <w:top w:w="100" w:type="dxa"/>
              <w:start w:w="120" w:type="dxa"/>
              <w:bottom w:w="100" w:type="dxa"/>
              <w:end w:w="120" w:type="dxa"/>
            </w:tcMar>
            <w:vAlign w:val="center"/>
          </w:tcPr>
          <w:p>
            <w:r>
              <w:rPr>
                <w:sz w:val="17"/>
              </w:rPr>
              <w:t>Needs deliberate preparation</w:t>
            </w:r>
          </w:p>
        </w:tc>
        <w:tc>
          <w:tcPr>
            <w:tcW w:type="dxa" w:w="4464"/>
            <w:tcMar>
              <w:top w:w="100" w:type="dxa"/>
              <w:start w:w="120" w:type="dxa"/>
              <w:bottom w:w="100" w:type="dxa"/>
              <w:end w:w="120" w:type="dxa"/>
            </w:tcMar>
            <w:vAlign w:val="center"/>
          </w:tcPr>
          <w:p>
            <w:r>
              <w:rPr>
                <w:sz w:val="17"/>
              </w:rPr>
              <w:t>Load test, monitor dependencies and provide a fallback endpoint or degraded mode.</w:t>
            </w:r>
          </w:p>
        </w:tc>
      </w:tr>
    </w:tbl>
    <w:p/>
    <w:p>
      <w:pPr>
        <w:pStyle w:val="Heading1"/>
      </w:pPr>
      <w:r>
        <w:t>1. Scope and evidence base</w:t>
      </w:r>
    </w:p>
    <w:p>
      <w:r>
        <w:t>This report addresses: (1) hosting the example services; (2) ensuring they are reachable from the network used by participants; and (3) ensuring Queensland Health laptop operating systems, browsers and approved software permit the required interactions.</w:t>
      </w:r>
    </w:p>
    <w:p>
      <w:pPr>
        <w:pStyle w:val="ListBullet"/>
      </w:pPr>
      <w:r>
        <w:t>Track 2 meeting material identifies network access, laptop restrictions, cloud hosting and reliable backend connectivity as immediate technical blockers.</w:t>
      </w:r>
    </w:p>
    <w:p>
      <w:pPr>
        <w:pStyle w:val="ListBullet"/>
      </w:pPr>
      <w:r>
        <w:t>The proposed experience is a hosted tutorial-style demonstrator with HL7v2 submission, transformation, validation, logging and FHIR consumption.</w:t>
      </w:r>
    </w:p>
    <w:p>
      <w:pPr>
        <w:pStyle w:val="ListBullet"/>
      </w:pPr>
      <w:r>
        <w:t>The anticipated audience is mixed, so the core learning path cannot assume developer privileges or locally installed infrastructure.</w:t>
      </w:r>
    </w:p>
    <w:p>
      <w:pPr>
        <w:pStyle w:val="ListBullet"/>
      </w:pPr>
      <w:r>
        <w:t>Public Queensland Health policy material establishes risk-based ICT governance and mandatory controls, but the detailed device and external-access settings applicable to the participants are not publicly determinable.</w:t>
      </w:r>
    </w:p>
    <w:p>
      <w:pPr>
        <w:pStyle w:val="ListBullet"/>
      </w:pPr>
      <w:r>
        <w:t>The 2025 event provides practical precedent for external open and secured FHIR endpoints, but not assurance for 2026.</w:t>
      </w:r>
    </w:p>
    <w:p>
      <w:pPr>
        <w:pStyle w:val="Heading1"/>
      </w:pPr>
      <w:r>
        <w:t>2. Recommended target architecture</w:t>
      </w:r>
    </w:p>
    <w:tbl>
      <w:tblPr>
        <w:tblW w:type="auto" w:w="0"/>
        <w:jc w:val="center"/>
        <w:tblLook w:firstColumn="1" w:firstRow="1" w:lastColumn="0" w:lastRow="0" w:noHBand="0" w:noVBand="1" w:val="04A0"/>
      </w:tblPr>
      <w:tblGrid>
        <w:gridCol w:w="9936"/>
      </w:tblGrid>
      <w:tr>
        <w:tc>
          <w:tcPr>
            <w:tcW w:type="dxa" w:w="9936"/>
            <w:shd w:fill="EAF2F8"/>
            <w:tcMar>
              <w:top w:w="160" w:type="dxa"/>
              <w:start w:w="180" w:type="dxa"/>
              <w:bottom w:w="160" w:type="dxa"/>
              <w:end w:w="180" w:type="dxa"/>
            </w:tcMar>
          </w:tcPr>
          <w:p>
            <w:r>
              <w:rPr>
                <w:b/>
                <w:color w:val="1F4E79"/>
                <w:sz w:val="22"/>
              </w:rPr>
              <w:t>Design principle</w:t>
              <w:br/>
            </w:r>
            <w:r>
              <w:t>Centralise complexity. Participants interact over HTTPS; organisers operate the container platform, databases, terminology dependencies, observability and recovery controls.</w:t>
            </w:r>
          </w:p>
        </w:tc>
      </w:tr>
    </w:tbl>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9"/>
            <w:tcMar>
              <w:top w:w="100" w:type="dxa"/>
              <w:start w:w="120" w:type="dxa"/>
              <w:bottom w:w="100" w:type="dxa"/>
              <w:end w:w="120" w:type="dxa"/>
            </w:tcMar>
            <w:vAlign w:val="center"/>
          </w:tcPr>
          <w:p>
            <w:r>
              <w:rPr>
                <w:b/>
                <w:color w:val="FFFFFF"/>
                <w:sz w:val="18"/>
              </w:rPr>
              <w:t>Layer</w:t>
            </w:r>
          </w:p>
        </w:tc>
        <w:tc>
          <w:tcPr>
            <w:tcW w:type="dxa" w:w="3312"/>
            <w:shd w:fill="1F4E79"/>
            <w:tcMar>
              <w:top w:w="100" w:type="dxa"/>
              <w:start w:w="120" w:type="dxa"/>
              <w:bottom w:w="100" w:type="dxa"/>
              <w:end w:w="120" w:type="dxa"/>
            </w:tcMar>
            <w:vAlign w:val="center"/>
          </w:tcPr>
          <w:p>
            <w:r>
              <w:rPr>
                <w:b/>
                <w:color w:val="FFFFFF"/>
                <w:sz w:val="18"/>
              </w:rPr>
              <w:t>Recommended design</w:t>
            </w:r>
          </w:p>
        </w:tc>
        <w:tc>
          <w:tcPr>
            <w:tcW w:type="dxa" w:w="3312"/>
            <w:shd w:fill="1F4E79"/>
            <w:tcMar>
              <w:top w:w="100" w:type="dxa"/>
              <w:start w:w="120" w:type="dxa"/>
              <w:bottom w:w="100" w:type="dxa"/>
              <w:end w:w="120" w:type="dxa"/>
            </w:tcMar>
            <w:vAlign w:val="center"/>
          </w:tcPr>
          <w:p>
            <w:r>
              <w:rPr>
                <w:b/>
                <w:color w:val="FFFFFF"/>
                <w:sz w:val="18"/>
              </w:rPr>
              <w:t>Rationale</w:t>
            </w:r>
          </w:p>
        </w:tc>
      </w:tr>
      <w:tr>
        <w:tc>
          <w:tcPr>
            <w:tcW w:type="dxa" w:w="1656"/>
            <w:tcMar>
              <w:top w:w="100" w:type="dxa"/>
              <w:start w:w="120" w:type="dxa"/>
              <w:bottom w:w="100" w:type="dxa"/>
              <w:end w:w="120" w:type="dxa"/>
            </w:tcMar>
            <w:vAlign w:val="center"/>
          </w:tcPr>
          <w:p>
            <w:r>
              <w:rPr>
                <w:sz w:val="17"/>
              </w:rPr>
              <w:t>Participant</w:t>
            </w:r>
          </w:p>
        </w:tc>
        <w:tc>
          <w:tcPr>
            <w:tcW w:type="dxa" w:w="3816"/>
            <w:tcMar>
              <w:top w:w="100" w:type="dxa"/>
              <w:start w:w="120" w:type="dxa"/>
              <w:bottom w:w="100" w:type="dxa"/>
              <w:end w:w="120" w:type="dxa"/>
            </w:tcMar>
            <w:vAlign w:val="center"/>
          </w:tcPr>
          <w:p>
            <w:r>
              <w:rPr>
                <w:sz w:val="17"/>
              </w:rPr>
              <w:t>Supported browser; optional Postman/curl/IDE</w:t>
            </w:r>
          </w:p>
        </w:tc>
        <w:tc>
          <w:tcPr>
            <w:tcW w:type="dxa" w:w="3600"/>
            <w:tcMar>
              <w:top w:w="100" w:type="dxa"/>
              <w:start w:w="120" w:type="dxa"/>
              <w:bottom w:w="100" w:type="dxa"/>
              <w:end w:w="120" w:type="dxa"/>
            </w:tcMar>
            <w:vAlign w:val="center"/>
          </w:tcPr>
          <w:p>
            <w:r>
              <w:rPr>
                <w:sz w:val="17"/>
              </w:rPr>
              <w:t>Avoid installation and administrator-right dependencies.</w:t>
            </w:r>
          </w:p>
        </w:tc>
      </w:tr>
      <w:tr>
        <w:tc>
          <w:tcPr>
            <w:tcW w:type="dxa" w:w="1656"/>
            <w:tcMar>
              <w:top w:w="100" w:type="dxa"/>
              <w:start w:w="120" w:type="dxa"/>
              <w:bottom w:w="100" w:type="dxa"/>
              <w:end w:w="120" w:type="dxa"/>
            </w:tcMar>
            <w:vAlign w:val="center"/>
            <w:shd w:fill="EAF2F8"/>
          </w:tcPr>
          <w:p>
            <w:r>
              <w:rPr>
                <w:sz w:val="17"/>
              </w:rPr>
              <w:t>Edge</w:t>
            </w:r>
          </w:p>
        </w:tc>
        <w:tc>
          <w:tcPr>
            <w:tcW w:type="dxa" w:w="3816"/>
            <w:tcMar>
              <w:top w:w="100" w:type="dxa"/>
              <w:start w:w="120" w:type="dxa"/>
              <w:bottom w:w="100" w:type="dxa"/>
              <w:end w:w="120" w:type="dxa"/>
            </w:tcMar>
            <w:vAlign w:val="center"/>
            <w:shd w:fill="EAF2F8"/>
          </w:tcPr>
          <w:p>
            <w:r>
              <w:rPr>
                <w:sz w:val="17"/>
              </w:rPr>
              <w:t>Public DNS, CA-issued TLS, HTTPS 443, reverse proxy/WAF</w:t>
            </w:r>
          </w:p>
        </w:tc>
        <w:tc>
          <w:tcPr>
            <w:tcW w:type="dxa" w:w="3600"/>
            <w:tcMar>
              <w:top w:w="100" w:type="dxa"/>
              <w:start w:w="120" w:type="dxa"/>
              <w:bottom w:w="100" w:type="dxa"/>
              <w:end w:w="120" w:type="dxa"/>
            </w:tcMar>
            <w:vAlign w:val="center"/>
            <w:shd w:fill="EAF2F8"/>
          </w:tcPr>
          <w:p>
            <w:r>
              <w:rPr>
                <w:sz w:val="17"/>
              </w:rPr>
              <w:t>Maximises compatibility with managed networks and enables traffic controls.</w:t>
            </w:r>
          </w:p>
        </w:tc>
      </w:tr>
      <w:tr>
        <w:tc>
          <w:tcPr>
            <w:tcW w:type="dxa" w:w="1656"/>
            <w:tcMar>
              <w:top w:w="100" w:type="dxa"/>
              <w:start w:w="120" w:type="dxa"/>
              <w:bottom w:w="100" w:type="dxa"/>
              <w:end w:w="120" w:type="dxa"/>
            </w:tcMar>
            <w:vAlign w:val="center"/>
          </w:tcPr>
          <w:p>
            <w:r>
              <w:rPr>
                <w:sz w:val="17"/>
              </w:rPr>
              <w:t>Experience</w:t>
            </w:r>
          </w:p>
        </w:tc>
        <w:tc>
          <w:tcPr>
            <w:tcW w:type="dxa" w:w="3816"/>
            <w:tcMar>
              <w:top w:w="100" w:type="dxa"/>
              <w:start w:w="120" w:type="dxa"/>
              <w:bottom w:w="100" w:type="dxa"/>
              <w:end w:w="120" w:type="dxa"/>
            </w:tcMar>
            <w:vAlign w:val="center"/>
          </w:tcPr>
          <w:p>
            <w:r>
              <w:rPr>
                <w:sz w:val="17"/>
              </w:rPr>
              <w:t>Web launcher, guided exercises, API console, status page</w:t>
            </w:r>
          </w:p>
        </w:tc>
        <w:tc>
          <w:tcPr>
            <w:tcW w:type="dxa" w:w="3600"/>
            <w:tcMar>
              <w:top w:w="100" w:type="dxa"/>
              <w:start w:w="120" w:type="dxa"/>
              <w:bottom w:w="100" w:type="dxa"/>
              <w:end w:w="120" w:type="dxa"/>
            </w:tcMar>
            <w:vAlign w:val="center"/>
          </w:tcPr>
          <w:p>
            <w:r>
              <w:rPr>
                <w:sz w:val="17"/>
              </w:rPr>
              <w:t>Allows clinical and non-developer participation.</w:t>
            </w:r>
          </w:p>
        </w:tc>
      </w:tr>
      <w:tr>
        <w:tc>
          <w:tcPr>
            <w:tcW w:type="dxa" w:w="1656"/>
            <w:tcMar>
              <w:top w:w="100" w:type="dxa"/>
              <w:start w:w="120" w:type="dxa"/>
              <w:bottom w:w="100" w:type="dxa"/>
              <w:end w:w="120" w:type="dxa"/>
            </w:tcMar>
            <w:vAlign w:val="center"/>
            <w:shd w:fill="EAF2F8"/>
          </w:tcPr>
          <w:p>
            <w:r>
              <w:rPr>
                <w:sz w:val="17"/>
              </w:rPr>
              <w:t>Services</w:t>
            </w:r>
          </w:p>
        </w:tc>
        <w:tc>
          <w:tcPr>
            <w:tcW w:type="dxa" w:w="3816"/>
            <w:tcMar>
              <w:top w:w="100" w:type="dxa"/>
              <w:start w:w="120" w:type="dxa"/>
              <w:bottom w:w="100" w:type="dxa"/>
              <w:end w:w="120" w:type="dxa"/>
            </w:tcMar>
            <w:vAlign w:val="center"/>
            <w:shd w:fill="EAF2F8"/>
          </w:tcPr>
          <w:p>
            <w:r>
              <w:rPr>
                <w:sz w:val="17"/>
              </w:rPr>
              <w:t>HL7v2 receiver, transformer/validator, FHIR server, provider/service API</w:t>
            </w:r>
          </w:p>
        </w:tc>
        <w:tc>
          <w:tcPr>
            <w:tcW w:type="dxa" w:w="3600"/>
            <w:tcMar>
              <w:top w:w="100" w:type="dxa"/>
              <w:start w:w="120" w:type="dxa"/>
              <w:bottom w:w="100" w:type="dxa"/>
              <w:end w:w="120" w:type="dxa"/>
            </w:tcMar>
            <w:vAlign w:val="center"/>
            <w:shd w:fill="EAF2F8"/>
          </w:tcPr>
          <w:p>
            <w:r>
              <w:rPr>
                <w:sz w:val="17"/>
              </w:rPr>
              <w:t>Matches the proposed Track 2 workflow while remaining modular.</w:t>
            </w:r>
          </w:p>
        </w:tc>
      </w:tr>
      <w:tr>
        <w:tc>
          <w:tcPr>
            <w:tcW w:type="dxa" w:w="1656"/>
            <w:tcMar>
              <w:top w:w="100" w:type="dxa"/>
              <w:start w:w="120" w:type="dxa"/>
              <w:bottom w:w="100" w:type="dxa"/>
              <w:end w:w="120" w:type="dxa"/>
            </w:tcMar>
            <w:vAlign w:val="center"/>
          </w:tcPr>
          <w:p>
            <w:r>
              <w:rPr>
                <w:sz w:val="17"/>
              </w:rPr>
              <w:t>Data</w:t>
            </w:r>
          </w:p>
        </w:tc>
        <w:tc>
          <w:tcPr>
            <w:tcW w:type="dxa" w:w="3816"/>
            <w:tcMar>
              <w:top w:w="100" w:type="dxa"/>
              <w:start w:w="120" w:type="dxa"/>
              <w:bottom w:w="100" w:type="dxa"/>
              <w:end w:w="120" w:type="dxa"/>
            </w:tcMar>
            <w:vAlign w:val="center"/>
          </w:tcPr>
          <w:p>
            <w:r>
              <w:rPr>
                <w:sz w:val="17"/>
              </w:rPr>
              <w:t>Synthetic test data only; scheduled reset</w:t>
            </w:r>
          </w:p>
        </w:tc>
        <w:tc>
          <w:tcPr>
            <w:tcW w:type="dxa" w:w="3600"/>
            <w:tcMar>
              <w:top w:w="100" w:type="dxa"/>
              <w:start w:w="120" w:type="dxa"/>
              <w:bottom w:w="100" w:type="dxa"/>
              <w:end w:w="120" w:type="dxa"/>
            </w:tcMar>
            <w:vAlign w:val="center"/>
          </w:tcPr>
          <w:p>
            <w:r>
              <w:rPr>
                <w:sz w:val="17"/>
              </w:rPr>
              <w:t>Avoids handling real health information and preserves repeatability.</w:t>
            </w:r>
          </w:p>
        </w:tc>
      </w:tr>
      <w:tr>
        <w:tc>
          <w:tcPr>
            <w:tcW w:type="dxa" w:w="1656"/>
            <w:tcMar>
              <w:top w:w="100" w:type="dxa"/>
              <w:start w:w="120" w:type="dxa"/>
              <w:bottom w:w="100" w:type="dxa"/>
              <w:end w:w="120" w:type="dxa"/>
            </w:tcMar>
            <w:vAlign w:val="center"/>
            <w:shd w:fill="EAF2F8"/>
          </w:tcPr>
          <w:p>
            <w:r>
              <w:rPr>
                <w:sz w:val="17"/>
              </w:rPr>
              <w:t>Operations</w:t>
            </w:r>
          </w:p>
        </w:tc>
        <w:tc>
          <w:tcPr>
            <w:tcW w:type="dxa" w:w="3816"/>
            <w:tcMar>
              <w:top w:w="100" w:type="dxa"/>
              <w:start w:w="120" w:type="dxa"/>
              <w:bottom w:w="100" w:type="dxa"/>
              <w:end w:w="120" w:type="dxa"/>
            </w:tcMar>
            <w:vAlign w:val="center"/>
            <w:shd w:fill="EAF2F8"/>
          </w:tcPr>
          <w:p>
            <w:r>
              <w:rPr>
                <w:sz w:val="17"/>
              </w:rPr>
              <w:t>Central logs, metrics, health probes, request correlation IDs</w:t>
            </w:r>
          </w:p>
        </w:tc>
        <w:tc>
          <w:tcPr>
            <w:tcW w:type="dxa" w:w="3600"/>
            <w:tcMar>
              <w:top w:w="100" w:type="dxa"/>
              <w:start w:w="120" w:type="dxa"/>
              <w:bottom w:w="100" w:type="dxa"/>
              <w:end w:w="120" w:type="dxa"/>
            </w:tcMar>
            <w:vAlign w:val="center"/>
            <w:shd w:fill="EAF2F8"/>
          </w:tcPr>
          <w:p>
            <w:r>
              <w:rPr>
                <w:sz w:val="17"/>
              </w:rPr>
              <w:t>Supports rapid diagnosis during the event.</w:t>
            </w:r>
          </w:p>
        </w:tc>
      </w:tr>
      <w:tr>
        <w:tc>
          <w:tcPr>
            <w:tcW w:type="dxa" w:w="1656"/>
            <w:tcMar>
              <w:top w:w="100" w:type="dxa"/>
              <w:start w:w="120" w:type="dxa"/>
              <w:bottom w:w="100" w:type="dxa"/>
              <w:end w:w="120" w:type="dxa"/>
            </w:tcMar>
            <w:vAlign w:val="center"/>
          </w:tcPr>
          <w:p>
            <w:r>
              <w:rPr>
                <w:sz w:val="17"/>
              </w:rPr>
              <w:t>Fallback</w:t>
            </w:r>
          </w:p>
        </w:tc>
        <w:tc>
          <w:tcPr>
            <w:tcW w:type="dxa" w:w="3816"/>
            <w:tcMar>
              <w:top w:w="100" w:type="dxa"/>
              <w:start w:w="120" w:type="dxa"/>
              <w:bottom w:w="100" w:type="dxa"/>
              <w:end w:w="120" w:type="dxa"/>
            </w:tcMar>
            <w:vAlign w:val="center"/>
          </w:tcPr>
          <w:p>
            <w:r>
              <w:rPr>
                <w:sz w:val="17"/>
              </w:rPr>
              <w:t>Second endpoint or static/degraded demonstrator</w:t>
            </w:r>
          </w:p>
        </w:tc>
        <w:tc>
          <w:tcPr>
            <w:tcW w:type="dxa" w:w="3600"/>
            <w:tcMar>
              <w:top w:w="100" w:type="dxa"/>
              <w:start w:w="120" w:type="dxa"/>
              <w:bottom w:w="100" w:type="dxa"/>
              <w:end w:w="120" w:type="dxa"/>
            </w:tcMar>
            <w:vAlign w:val="center"/>
          </w:tcPr>
          <w:p>
            <w:r>
              <w:rPr>
                <w:sz w:val="17"/>
              </w:rPr>
              <w:t>Prevents a single backend or dependency failure stopping the track.</w:t>
            </w:r>
          </w:p>
        </w:tc>
      </w:tr>
    </w:tbl>
    <w:p/>
    <w:p>
      <w:pPr>
        <w:pStyle w:val="Heading1"/>
      </w:pPr>
      <w:r>
        <w:t>3. Hosting options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1F4E79"/>
            <w:tcMar>
              <w:top w:w="100" w:type="dxa"/>
              <w:start w:w="120" w:type="dxa"/>
              <w:bottom w:w="100" w:type="dxa"/>
              <w:end w:w="120" w:type="dxa"/>
            </w:tcMar>
            <w:vAlign w:val="center"/>
          </w:tcPr>
          <w:p>
            <w:r>
              <w:rPr>
                <w:b/>
                <w:color w:val="FFFFFF"/>
                <w:sz w:val="18"/>
              </w:rPr>
              <w:t>Option</w:t>
            </w:r>
          </w:p>
        </w:tc>
        <w:tc>
          <w:tcPr>
            <w:tcW w:type="dxa" w:w="2484"/>
            <w:shd w:fill="1F4E79"/>
            <w:tcMar>
              <w:top w:w="100" w:type="dxa"/>
              <w:start w:w="120" w:type="dxa"/>
              <w:bottom w:w="100" w:type="dxa"/>
              <w:end w:w="120" w:type="dxa"/>
            </w:tcMar>
            <w:vAlign w:val="center"/>
          </w:tcPr>
          <w:p>
            <w:r>
              <w:rPr>
                <w:b/>
                <w:color w:val="FFFFFF"/>
                <w:sz w:val="18"/>
              </w:rPr>
              <w:t>Advantages</w:t>
            </w:r>
          </w:p>
        </w:tc>
        <w:tc>
          <w:tcPr>
            <w:tcW w:type="dxa" w:w="2484"/>
            <w:shd w:fill="1F4E79"/>
            <w:tcMar>
              <w:top w:w="100" w:type="dxa"/>
              <w:start w:w="120" w:type="dxa"/>
              <w:bottom w:w="100" w:type="dxa"/>
              <w:end w:w="120" w:type="dxa"/>
            </w:tcMar>
            <w:vAlign w:val="center"/>
          </w:tcPr>
          <w:p>
            <w:r>
              <w:rPr>
                <w:b/>
                <w:color w:val="FFFFFF"/>
                <w:sz w:val="18"/>
              </w:rPr>
              <w:t>Risks / constraints</w:t>
            </w:r>
          </w:p>
        </w:tc>
        <w:tc>
          <w:tcPr>
            <w:tcW w:type="dxa" w:w="2484"/>
            <w:shd w:fill="1F4E79"/>
            <w:tcMar>
              <w:top w:w="100" w:type="dxa"/>
              <w:start w:w="120" w:type="dxa"/>
              <w:bottom w:w="100" w:type="dxa"/>
              <w:end w:w="120" w:type="dxa"/>
            </w:tcMar>
            <w:vAlign w:val="center"/>
          </w:tcPr>
          <w:p>
            <w:r>
              <w:rPr>
                <w:b/>
                <w:color w:val="FFFFFF"/>
                <w:sz w:val="18"/>
              </w:rPr>
              <w:t>Recommendation</w:t>
            </w:r>
          </w:p>
        </w:tc>
      </w:tr>
      <w:tr>
        <w:tc>
          <w:tcPr>
            <w:tcW w:type="dxa" w:w="1944"/>
            <w:tcMar>
              <w:top w:w="100" w:type="dxa"/>
              <w:start w:w="120" w:type="dxa"/>
              <w:bottom w:w="100" w:type="dxa"/>
              <w:end w:w="120" w:type="dxa"/>
            </w:tcMar>
            <w:vAlign w:val="center"/>
          </w:tcPr>
          <w:p>
            <w:r>
              <w:rPr>
                <w:sz w:val="17"/>
              </w:rPr>
              <w:t>Existing FHIRLab/shared cloud</w:t>
            </w:r>
          </w:p>
        </w:tc>
        <w:tc>
          <w:tcPr>
            <w:tcW w:type="dxa" w:w="2304"/>
            <w:tcMar>
              <w:top w:w="100" w:type="dxa"/>
              <w:start w:w="120" w:type="dxa"/>
              <w:bottom w:w="100" w:type="dxa"/>
              <w:end w:w="120" w:type="dxa"/>
            </w:tcMar>
            <w:vAlign w:val="center"/>
          </w:tcPr>
          <w:p>
            <w:r>
              <w:rPr>
                <w:sz w:val="17"/>
              </w:rPr>
              <w:t>Existing operational patterns and reusable container recipes</w:t>
            </w:r>
          </w:p>
        </w:tc>
        <w:tc>
          <w:tcPr>
            <w:tcW w:type="dxa" w:w="3168"/>
            <w:tcMar>
              <w:top w:w="100" w:type="dxa"/>
              <w:start w:w="120" w:type="dxa"/>
              <w:bottom w:w="100" w:type="dxa"/>
              <w:end w:w="120" w:type="dxa"/>
            </w:tcMar>
            <w:vAlign w:val="center"/>
          </w:tcPr>
          <w:p>
            <w:r>
              <w:rPr>
                <w:sz w:val="17"/>
              </w:rPr>
              <w:t>Shared dependencies, service cost and availability need confirmation</w:t>
            </w:r>
          </w:p>
        </w:tc>
        <w:tc>
          <w:tcPr>
            <w:tcW w:type="dxa" w:w="1728"/>
            <w:tcMar>
              <w:top w:w="100" w:type="dxa"/>
              <w:start w:w="120" w:type="dxa"/>
              <w:bottom w:w="100" w:type="dxa"/>
              <w:end w:w="120" w:type="dxa"/>
            </w:tcMar>
            <w:vAlign w:val="center"/>
          </w:tcPr>
          <w:p>
            <w:r>
              <w:rPr>
                <w:sz w:val="17"/>
              </w:rPr>
              <w:t>Preferred if capacity and governance owners approve.</w:t>
            </w:r>
          </w:p>
        </w:tc>
      </w:tr>
      <w:tr>
        <w:tc>
          <w:tcPr>
            <w:tcW w:type="dxa" w:w="1944"/>
            <w:tcMar>
              <w:top w:w="100" w:type="dxa"/>
              <w:start w:w="120" w:type="dxa"/>
              <w:bottom w:w="100" w:type="dxa"/>
              <w:end w:w="120" w:type="dxa"/>
            </w:tcMar>
            <w:vAlign w:val="center"/>
            <w:shd w:fill="EAF2F8"/>
          </w:tcPr>
          <w:p>
            <w:r>
              <w:rPr>
                <w:sz w:val="17"/>
              </w:rPr>
              <w:t>Dedicated public cloud environment</w:t>
            </w:r>
          </w:p>
        </w:tc>
        <w:tc>
          <w:tcPr>
            <w:tcW w:type="dxa" w:w="2304"/>
            <w:tcMar>
              <w:top w:w="100" w:type="dxa"/>
              <w:start w:w="120" w:type="dxa"/>
              <w:bottom w:w="100" w:type="dxa"/>
              <w:end w:w="120" w:type="dxa"/>
            </w:tcMar>
            <w:vAlign w:val="center"/>
            <w:shd w:fill="EAF2F8"/>
          </w:tcPr>
          <w:p>
            <w:r>
              <w:rPr>
                <w:sz w:val="17"/>
              </w:rPr>
              <w:t>Isolation, reproducibility and clearer event ownership</w:t>
            </w:r>
          </w:p>
        </w:tc>
        <w:tc>
          <w:tcPr>
            <w:tcW w:type="dxa" w:w="3168"/>
            <w:tcMar>
              <w:top w:w="100" w:type="dxa"/>
              <w:start w:w="120" w:type="dxa"/>
              <w:bottom w:w="100" w:type="dxa"/>
              <w:end w:w="120" w:type="dxa"/>
            </w:tcMar>
            <w:vAlign w:val="center"/>
            <w:shd w:fill="EAF2F8"/>
          </w:tcPr>
          <w:p>
            <w:r>
              <w:rPr>
                <w:sz w:val="17"/>
              </w:rPr>
              <w:t>Setup, cost, DNS/certificate and operational burden</w:t>
            </w:r>
          </w:p>
        </w:tc>
        <w:tc>
          <w:tcPr>
            <w:tcW w:type="dxa" w:w="1728"/>
            <w:tcMar>
              <w:top w:w="100" w:type="dxa"/>
              <w:start w:w="120" w:type="dxa"/>
              <w:bottom w:w="100" w:type="dxa"/>
              <w:end w:w="120" w:type="dxa"/>
            </w:tcMar>
            <w:vAlign w:val="center"/>
            <w:shd w:fill="EAF2F8"/>
          </w:tcPr>
          <w:p>
            <w:r>
              <w:rPr>
                <w:sz w:val="17"/>
              </w:rPr>
              <w:t>Strong alternative; keep architecture minimal.</w:t>
            </w:r>
          </w:p>
        </w:tc>
      </w:tr>
      <w:tr>
        <w:tc>
          <w:tcPr>
            <w:tcW w:type="dxa" w:w="1944"/>
            <w:tcMar>
              <w:top w:w="100" w:type="dxa"/>
              <w:start w:w="120" w:type="dxa"/>
              <w:bottom w:w="100" w:type="dxa"/>
              <w:end w:w="120" w:type="dxa"/>
            </w:tcMar>
            <w:vAlign w:val="center"/>
          </w:tcPr>
          <w:p>
            <w:r>
              <w:rPr>
                <w:sz w:val="17"/>
              </w:rPr>
              <w:t>Queensland Health internal hosting</w:t>
            </w:r>
          </w:p>
        </w:tc>
        <w:tc>
          <w:tcPr>
            <w:tcW w:type="dxa" w:w="2304"/>
            <w:tcMar>
              <w:top w:w="100" w:type="dxa"/>
              <w:start w:w="120" w:type="dxa"/>
              <w:bottom w:w="100" w:type="dxa"/>
              <w:end w:w="120" w:type="dxa"/>
            </w:tcMar>
            <w:vAlign w:val="center"/>
          </w:tcPr>
          <w:p>
            <w:r>
              <w:rPr>
                <w:sz w:val="17"/>
              </w:rPr>
              <w:t>Potentially aligns with internal network controls</w:t>
            </w:r>
          </w:p>
        </w:tc>
        <w:tc>
          <w:tcPr>
            <w:tcW w:type="dxa" w:w="3168"/>
            <w:tcMar>
              <w:top w:w="100" w:type="dxa"/>
              <w:start w:w="120" w:type="dxa"/>
              <w:bottom w:w="100" w:type="dxa"/>
              <w:end w:w="120" w:type="dxa"/>
            </w:tcMar>
            <w:vAlign w:val="center"/>
          </w:tcPr>
          <w:p>
            <w:r>
              <w:rPr>
                <w:sz w:val="17"/>
              </w:rPr>
              <w:t>Governance, lead time, access and operational dependencies</w:t>
            </w:r>
          </w:p>
        </w:tc>
        <w:tc>
          <w:tcPr>
            <w:tcW w:type="dxa" w:w="1728"/>
            <w:tcMar>
              <w:top w:w="100" w:type="dxa"/>
              <w:start w:w="120" w:type="dxa"/>
              <w:bottom w:w="100" w:type="dxa"/>
              <w:end w:w="120" w:type="dxa"/>
            </w:tcMar>
            <w:vAlign w:val="center"/>
          </w:tcPr>
          <w:p>
            <w:r>
              <w:rPr>
                <w:sz w:val="17"/>
              </w:rPr>
              <w:t>Use only if already available and sponsored.</w:t>
            </w:r>
          </w:p>
        </w:tc>
      </w:tr>
      <w:tr>
        <w:tc>
          <w:tcPr>
            <w:tcW w:type="dxa" w:w="1944"/>
            <w:tcMar>
              <w:top w:w="100" w:type="dxa"/>
              <w:start w:w="120" w:type="dxa"/>
              <w:bottom w:w="100" w:type="dxa"/>
              <w:end w:w="120" w:type="dxa"/>
            </w:tcMar>
            <w:vAlign w:val="center"/>
            <w:shd w:fill="EAF2F8"/>
          </w:tcPr>
          <w:p>
            <w:r>
              <w:rPr>
                <w:sz w:val="17"/>
              </w:rPr>
              <w:t>Participant-local containers</w:t>
            </w:r>
          </w:p>
        </w:tc>
        <w:tc>
          <w:tcPr>
            <w:tcW w:type="dxa" w:w="2304"/>
            <w:tcMar>
              <w:top w:w="100" w:type="dxa"/>
              <w:start w:w="120" w:type="dxa"/>
              <w:bottom w:w="100" w:type="dxa"/>
              <w:end w:w="120" w:type="dxa"/>
            </w:tcMar>
            <w:vAlign w:val="center"/>
            <w:shd w:fill="EAF2F8"/>
          </w:tcPr>
          <w:p>
            <w:r>
              <w:rPr>
                <w:sz w:val="17"/>
              </w:rPr>
              <w:t>Offline-capable and developer-controlled</w:t>
            </w:r>
          </w:p>
        </w:tc>
        <w:tc>
          <w:tcPr>
            <w:tcW w:type="dxa" w:w="3168"/>
            <w:tcMar>
              <w:top w:w="100" w:type="dxa"/>
              <w:start w:w="120" w:type="dxa"/>
              <w:bottom w:w="100" w:type="dxa"/>
              <w:end w:w="120" w:type="dxa"/>
            </w:tcMar>
            <w:vAlign w:val="center"/>
            <w:shd w:fill="EAF2F8"/>
          </w:tcPr>
          <w:p>
            <w:r>
              <w:rPr>
                <w:sz w:val="17"/>
              </w:rPr>
              <w:t>Likely blocked by permissions, Docker/WSL availability and mixed audience</w:t>
            </w:r>
          </w:p>
        </w:tc>
        <w:tc>
          <w:tcPr>
            <w:tcW w:type="dxa" w:w="1728"/>
            <w:tcMar>
              <w:top w:w="100" w:type="dxa"/>
              <w:start w:w="120" w:type="dxa"/>
              <w:bottom w:w="100" w:type="dxa"/>
              <w:end w:w="120" w:type="dxa"/>
            </w:tcMar>
            <w:vAlign w:val="center"/>
            <w:shd w:fill="EAF2F8"/>
          </w:tcPr>
          <w:p>
            <w:r>
              <w:rPr>
                <w:sz w:val="17"/>
              </w:rPr>
              <w:t>Not suitable as the primary path.</w:t>
            </w:r>
          </w:p>
        </w:tc>
      </w:tr>
      <w:tr>
        <w:tc>
          <w:tcPr>
            <w:tcW w:type="dxa" w:w="1944"/>
            <w:tcMar>
              <w:top w:w="100" w:type="dxa"/>
              <w:start w:w="120" w:type="dxa"/>
              <w:bottom w:w="100" w:type="dxa"/>
              <w:end w:w="120" w:type="dxa"/>
            </w:tcMar>
            <w:vAlign w:val="center"/>
          </w:tcPr>
          <w:p>
            <w:r>
              <w:rPr>
                <w:sz w:val="17"/>
              </w:rPr>
              <w:t>Single laptop/server in room</w:t>
            </w:r>
          </w:p>
        </w:tc>
        <w:tc>
          <w:tcPr>
            <w:tcW w:type="dxa" w:w="2304"/>
            <w:tcMar>
              <w:top w:w="100" w:type="dxa"/>
              <w:start w:w="120" w:type="dxa"/>
              <w:bottom w:w="100" w:type="dxa"/>
              <w:end w:w="120" w:type="dxa"/>
            </w:tcMar>
            <w:vAlign w:val="center"/>
          </w:tcPr>
          <w:p>
            <w:r>
              <w:rPr>
                <w:sz w:val="17"/>
              </w:rPr>
              <w:t>Simple contingency for a small group</w:t>
            </w:r>
          </w:p>
        </w:tc>
        <w:tc>
          <w:tcPr>
            <w:tcW w:type="dxa" w:w="3168"/>
            <w:tcMar>
              <w:top w:w="100" w:type="dxa"/>
              <w:start w:w="120" w:type="dxa"/>
              <w:bottom w:w="100" w:type="dxa"/>
              <w:end w:w="120" w:type="dxa"/>
            </w:tcMar>
            <w:vAlign w:val="center"/>
          </w:tcPr>
          <w:p>
            <w:r>
              <w:rPr>
                <w:sz w:val="17"/>
              </w:rPr>
              <w:t>Wi-Fi routing, firewall, discovery and single-point failure</w:t>
            </w:r>
          </w:p>
        </w:tc>
        <w:tc>
          <w:tcPr>
            <w:tcW w:type="dxa" w:w="1728"/>
            <w:tcMar>
              <w:top w:w="100" w:type="dxa"/>
              <w:start w:w="120" w:type="dxa"/>
              <w:bottom w:w="100" w:type="dxa"/>
              <w:end w:w="120" w:type="dxa"/>
            </w:tcMar>
            <w:vAlign w:val="center"/>
          </w:tcPr>
          <w:p>
            <w:r>
              <w:rPr>
                <w:sz w:val="17"/>
              </w:rPr>
              <w:t>Emergency fallback only, pre-tested on venue network.</w:t>
            </w:r>
          </w:p>
        </w:tc>
      </w:tr>
    </w:tbl>
    <w:p/>
    <w:p>
      <w:pPr>
        <w:pStyle w:val="Heading1"/>
      </w:pPr>
      <w:r>
        <w:t>4. Network accessibility</w:t>
      </w:r>
    </w:p>
    <w:p>
      <w:r>
        <w:t>The make-or-break test is not generic internet access. It is whether a representative Queensland Health laptop, connected to the exact event network, can resolve the names, trust the certificates, perform the required HTTP methods and receive expected responses without proxy, filtering, TLS inspection, authentication or cross-origin failures.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9"/>
            <w:tcMar>
              <w:top w:w="100" w:type="dxa"/>
              <w:start w:w="120" w:type="dxa"/>
              <w:bottom w:w="100" w:type="dxa"/>
              <w:end w:w="120" w:type="dxa"/>
            </w:tcMar>
            <w:vAlign w:val="center"/>
          </w:tcPr>
          <w:p>
            <w:r>
              <w:rPr>
                <w:b/>
                <w:color w:val="FFFFFF"/>
                <w:sz w:val="18"/>
              </w:rPr>
              <w:t>Test</w:t>
            </w:r>
          </w:p>
        </w:tc>
        <w:tc>
          <w:tcPr>
            <w:tcW w:type="dxa" w:w="3312"/>
            <w:shd w:fill="1F4E79"/>
            <w:tcMar>
              <w:top w:w="100" w:type="dxa"/>
              <w:start w:w="120" w:type="dxa"/>
              <w:bottom w:w="100" w:type="dxa"/>
              <w:end w:w="120" w:type="dxa"/>
            </w:tcMar>
            <w:vAlign w:val="center"/>
          </w:tcPr>
          <w:p>
            <w:r>
              <w:rPr>
                <w:b/>
                <w:color w:val="FFFFFF"/>
                <w:sz w:val="18"/>
              </w:rPr>
              <w:t>Method</w:t>
            </w:r>
          </w:p>
        </w:tc>
        <w:tc>
          <w:tcPr>
            <w:tcW w:type="dxa" w:w="3312"/>
            <w:shd w:fill="1F4E79"/>
            <w:tcMar>
              <w:top w:w="100" w:type="dxa"/>
              <w:start w:w="120" w:type="dxa"/>
              <w:bottom w:w="100" w:type="dxa"/>
              <w:end w:w="120" w:type="dxa"/>
            </w:tcMar>
            <w:vAlign w:val="center"/>
          </w:tcPr>
          <w:p>
            <w:r>
              <w:rPr>
                <w:b/>
                <w:color w:val="FFFFFF"/>
                <w:sz w:val="18"/>
              </w:rPr>
              <w:t>Pass criterion</w:t>
            </w:r>
          </w:p>
        </w:tc>
      </w:tr>
      <w:tr>
        <w:tc>
          <w:tcPr>
            <w:tcW w:type="dxa" w:w="1800"/>
            <w:tcMar>
              <w:top w:w="100" w:type="dxa"/>
              <w:start w:w="120" w:type="dxa"/>
              <w:bottom w:w="100" w:type="dxa"/>
              <w:end w:w="120" w:type="dxa"/>
            </w:tcMar>
            <w:vAlign w:val="center"/>
          </w:tcPr>
          <w:p>
            <w:r>
              <w:rPr>
                <w:sz w:val="17"/>
              </w:rPr>
              <w:t>DNS</w:t>
            </w:r>
          </w:p>
        </w:tc>
        <w:tc>
          <w:tcPr>
            <w:tcW w:type="dxa" w:w="3888"/>
            <w:tcMar>
              <w:top w:w="100" w:type="dxa"/>
              <w:start w:w="120" w:type="dxa"/>
              <w:bottom w:w="100" w:type="dxa"/>
              <w:end w:w="120" w:type="dxa"/>
            </w:tcMar>
            <w:vAlign w:val="center"/>
          </w:tcPr>
          <w:p>
            <w:r>
              <w:rPr>
                <w:sz w:val="17"/>
              </w:rPr>
              <w:t>Resolve every production and fallback hostname</w:t>
            </w:r>
          </w:p>
        </w:tc>
        <w:tc>
          <w:tcPr>
            <w:tcW w:type="dxa" w:w="3240"/>
            <w:tcMar>
              <w:top w:w="100" w:type="dxa"/>
              <w:start w:w="120" w:type="dxa"/>
              <w:bottom w:w="100" w:type="dxa"/>
              <w:end w:w="120" w:type="dxa"/>
            </w:tcMar>
            <w:vAlign w:val="center"/>
          </w:tcPr>
          <w:p>
            <w:r>
              <w:rPr>
                <w:sz w:val="17"/>
              </w:rPr>
              <w:t>Consistent public resolution from the event network.</w:t>
            </w:r>
          </w:p>
        </w:tc>
      </w:tr>
      <w:tr>
        <w:tc>
          <w:tcPr>
            <w:tcW w:type="dxa" w:w="1800"/>
            <w:tcMar>
              <w:top w:w="100" w:type="dxa"/>
              <w:start w:w="120" w:type="dxa"/>
              <w:bottom w:w="100" w:type="dxa"/>
              <w:end w:w="120" w:type="dxa"/>
            </w:tcMar>
            <w:vAlign w:val="center"/>
            <w:shd w:fill="EAF2F8"/>
          </w:tcPr>
          <w:p>
            <w:r>
              <w:rPr>
                <w:sz w:val="17"/>
              </w:rPr>
              <w:t>TLS</w:t>
            </w:r>
          </w:p>
        </w:tc>
        <w:tc>
          <w:tcPr>
            <w:tcW w:type="dxa" w:w="3888"/>
            <w:tcMar>
              <w:top w:w="100" w:type="dxa"/>
              <w:start w:w="120" w:type="dxa"/>
              <w:bottom w:w="100" w:type="dxa"/>
              <w:end w:w="120" w:type="dxa"/>
            </w:tcMar>
            <w:vAlign w:val="center"/>
            <w:shd w:fill="EAF2F8"/>
          </w:tcPr>
          <w:p>
            <w:r>
              <w:rPr>
                <w:sz w:val="17"/>
              </w:rPr>
              <w:t>Open endpoints in supported browser; inspect certificate chain</w:t>
            </w:r>
          </w:p>
        </w:tc>
        <w:tc>
          <w:tcPr>
            <w:tcW w:type="dxa" w:w="3240"/>
            <w:tcMar>
              <w:top w:w="100" w:type="dxa"/>
              <w:start w:w="120" w:type="dxa"/>
              <w:bottom w:w="100" w:type="dxa"/>
              <w:end w:w="120" w:type="dxa"/>
            </w:tcMar>
            <w:vAlign w:val="center"/>
            <w:shd w:fill="EAF2F8"/>
          </w:tcPr>
          <w:p>
            <w:r>
              <w:rPr>
                <w:sz w:val="17"/>
              </w:rPr>
              <w:t>No warning, interception failure or untrusted issuer.</w:t>
            </w:r>
          </w:p>
        </w:tc>
      </w:tr>
      <w:tr>
        <w:tc>
          <w:tcPr>
            <w:tcW w:type="dxa" w:w="1800"/>
            <w:tcMar>
              <w:top w:w="100" w:type="dxa"/>
              <w:start w:w="120" w:type="dxa"/>
              <w:bottom w:w="100" w:type="dxa"/>
              <w:end w:w="120" w:type="dxa"/>
            </w:tcMar>
            <w:vAlign w:val="center"/>
          </w:tcPr>
          <w:p>
            <w:r>
              <w:rPr>
                <w:sz w:val="17"/>
              </w:rPr>
              <w:t>HTTP read</w:t>
            </w:r>
          </w:p>
        </w:tc>
        <w:tc>
          <w:tcPr>
            <w:tcW w:type="dxa" w:w="3888"/>
            <w:tcMar>
              <w:top w:w="100" w:type="dxa"/>
              <w:start w:w="120" w:type="dxa"/>
              <w:bottom w:w="100" w:type="dxa"/>
              <w:end w:w="120" w:type="dxa"/>
            </w:tcMar>
            <w:vAlign w:val="center"/>
          </w:tcPr>
          <w:p>
            <w:r>
              <w:rPr>
                <w:sz w:val="17"/>
              </w:rPr>
              <w:t>GET capability statement/status resource</w:t>
            </w:r>
          </w:p>
        </w:tc>
        <w:tc>
          <w:tcPr>
            <w:tcW w:type="dxa" w:w="3240"/>
            <w:tcMar>
              <w:top w:w="100" w:type="dxa"/>
              <w:start w:w="120" w:type="dxa"/>
              <w:bottom w:w="100" w:type="dxa"/>
              <w:end w:w="120" w:type="dxa"/>
            </w:tcMar>
            <w:vAlign w:val="center"/>
          </w:tcPr>
          <w:p>
            <w:r>
              <w:rPr>
                <w:sz w:val="17"/>
              </w:rPr>
              <w:t>Expected 200 response and content.</w:t>
            </w:r>
          </w:p>
        </w:tc>
      </w:tr>
      <w:tr>
        <w:tc>
          <w:tcPr>
            <w:tcW w:type="dxa" w:w="1800"/>
            <w:tcMar>
              <w:top w:w="100" w:type="dxa"/>
              <w:start w:w="120" w:type="dxa"/>
              <w:bottom w:w="100" w:type="dxa"/>
              <w:end w:w="120" w:type="dxa"/>
            </w:tcMar>
            <w:vAlign w:val="center"/>
            <w:shd w:fill="EAF2F8"/>
          </w:tcPr>
          <w:p>
            <w:r>
              <w:rPr>
                <w:sz w:val="17"/>
              </w:rPr>
              <w:t>HTTP write</w:t>
            </w:r>
          </w:p>
        </w:tc>
        <w:tc>
          <w:tcPr>
            <w:tcW w:type="dxa" w:w="3888"/>
            <w:tcMar>
              <w:top w:w="100" w:type="dxa"/>
              <w:start w:w="120" w:type="dxa"/>
              <w:bottom w:w="100" w:type="dxa"/>
              <w:end w:w="120" w:type="dxa"/>
            </w:tcMar>
            <w:vAlign w:val="center"/>
            <w:shd w:fill="EAF2F8"/>
          </w:tcPr>
          <w:p>
            <w:r>
              <w:rPr>
                <w:sz w:val="17"/>
              </w:rPr>
              <w:t>POST/PUT synthetic resource or message</w:t>
            </w:r>
          </w:p>
        </w:tc>
        <w:tc>
          <w:tcPr>
            <w:tcW w:type="dxa" w:w="3240"/>
            <w:tcMar>
              <w:top w:w="100" w:type="dxa"/>
              <w:start w:w="120" w:type="dxa"/>
              <w:bottom w:w="100" w:type="dxa"/>
              <w:end w:w="120" w:type="dxa"/>
            </w:tcMar>
            <w:vAlign w:val="center"/>
            <w:shd w:fill="EAF2F8"/>
          </w:tcPr>
          <w:p>
            <w:r>
              <w:rPr>
                <w:sz w:val="17"/>
              </w:rPr>
              <w:t>Expected success or deliberate FHIR validation response, not network/proxy failure.</w:t>
            </w:r>
          </w:p>
        </w:tc>
      </w:tr>
      <w:tr>
        <w:tc>
          <w:tcPr>
            <w:tcW w:type="dxa" w:w="1800"/>
            <w:tcMar>
              <w:top w:w="100" w:type="dxa"/>
              <w:start w:w="120" w:type="dxa"/>
              <w:bottom w:w="100" w:type="dxa"/>
              <w:end w:w="120" w:type="dxa"/>
            </w:tcMar>
            <w:vAlign w:val="center"/>
          </w:tcPr>
          <w:p>
            <w:r>
              <w:rPr>
                <w:sz w:val="17"/>
              </w:rPr>
              <w:t>Browser CORS</w:t>
            </w:r>
          </w:p>
        </w:tc>
        <w:tc>
          <w:tcPr>
            <w:tcW w:type="dxa" w:w="3888"/>
            <w:tcMar>
              <w:top w:w="100" w:type="dxa"/>
              <w:start w:w="120" w:type="dxa"/>
              <w:bottom w:w="100" w:type="dxa"/>
              <w:end w:w="120" w:type="dxa"/>
            </w:tcMar>
            <w:vAlign w:val="center"/>
          </w:tcPr>
          <w:p>
            <w:r>
              <w:rPr>
                <w:sz w:val="17"/>
              </w:rPr>
              <w:t>Run the actual browser client against APIs</w:t>
            </w:r>
          </w:p>
        </w:tc>
        <w:tc>
          <w:tcPr>
            <w:tcW w:type="dxa" w:w="3240"/>
            <w:tcMar>
              <w:top w:w="100" w:type="dxa"/>
              <w:start w:w="120" w:type="dxa"/>
              <w:bottom w:w="100" w:type="dxa"/>
              <w:end w:w="120" w:type="dxa"/>
            </w:tcMar>
            <w:vAlign w:val="center"/>
          </w:tcPr>
          <w:p>
            <w:r>
              <w:rPr>
                <w:sz w:val="17"/>
              </w:rPr>
              <w:t>Pre-flight and API calls succeed for approved origins.</w:t>
            </w:r>
          </w:p>
        </w:tc>
      </w:tr>
      <w:tr>
        <w:tc>
          <w:tcPr>
            <w:tcW w:type="dxa" w:w="1800"/>
            <w:tcMar>
              <w:top w:w="100" w:type="dxa"/>
              <w:start w:w="120" w:type="dxa"/>
              <w:bottom w:w="100" w:type="dxa"/>
              <w:end w:w="120" w:type="dxa"/>
            </w:tcMar>
            <w:vAlign w:val="center"/>
            <w:shd w:fill="EAF2F8"/>
          </w:tcPr>
          <w:p>
            <w:r>
              <w:rPr>
                <w:sz w:val="17"/>
              </w:rPr>
              <w:t>Authentication</w:t>
            </w:r>
          </w:p>
        </w:tc>
        <w:tc>
          <w:tcPr>
            <w:tcW w:type="dxa" w:w="3888"/>
            <w:tcMar>
              <w:top w:w="100" w:type="dxa"/>
              <w:start w:w="120" w:type="dxa"/>
              <w:bottom w:w="100" w:type="dxa"/>
              <w:end w:w="120" w:type="dxa"/>
            </w:tcMar>
            <w:vAlign w:val="center"/>
            <w:shd w:fill="EAF2F8"/>
          </w:tcPr>
          <w:p>
            <w:r>
              <w:rPr>
                <w:sz w:val="17"/>
              </w:rPr>
              <w:t>Complete the chosen login/token flow</w:t>
            </w:r>
          </w:p>
        </w:tc>
        <w:tc>
          <w:tcPr>
            <w:tcW w:type="dxa" w:w="3240"/>
            <w:tcMar>
              <w:top w:w="100" w:type="dxa"/>
              <w:start w:w="120" w:type="dxa"/>
              <w:bottom w:w="100" w:type="dxa"/>
              <w:end w:w="120" w:type="dxa"/>
            </w:tcMar>
            <w:vAlign w:val="center"/>
            <w:shd w:fill="EAF2F8"/>
          </w:tcPr>
          <w:p>
            <w:r>
              <w:rPr>
                <w:sz w:val="17"/>
              </w:rPr>
              <w:t>No blocked redirects, third-party cookies or inaccessible identity endpoint.</w:t>
            </w:r>
          </w:p>
        </w:tc>
      </w:tr>
      <w:tr>
        <w:tc>
          <w:tcPr>
            <w:tcW w:type="dxa" w:w="1800"/>
            <w:tcMar>
              <w:top w:w="100" w:type="dxa"/>
              <w:start w:w="120" w:type="dxa"/>
              <w:bottom w:w="100" w:type="dxa"/>
              <w:end w:w="120" w:type="dxa"/>
            </w:tcMar>
            <w:vAlign w:val="center"/>
          </w:tcPr>
          <w:p>
            <w:r>
              <w:rPr>
                <w:sz w:val="17"/>
              </w:rPr>
              <w:t>Streaming, if used</w:t>
            </w:r>
          </w:p>
        </w:tc>
        <w:tc>
          <w:tcPr>
            <w:tcW w:type="dxa" w:w="3888"/>
            <w:tcMar>
              <w:top w:w="100" w:type="dxa"/>
              <w:start w:w="120" w:type="dxa"/>
              <w:bottom w:w="100" w:type="dxa"/>
              <w:end w:w="120" w:type="dxa"/>
            </w:tcMar>
            <w:vAlign w:val="center"/>
          </w:tcPr>
          <w:p>
            <w:r>
              <w:rPr>
                <w:sz w:val="17"/>
              </w:rPr>
              <w:t>Exercise WebSocket/SSE logging view</w:t>
            </w:r>
          </w:p>
        </w:tc>
        <w:tc>
          <w:tcPr>
            <w:tcW w:type="dxa" w:w="3240"/>
            <w:tcMar>
              <w:top w:w="100" w:type="dxa"/>
              <w:start w:w="120" w:type="dxa"/>
              <w:bottom w:w="100" w:type="dxa"/>
              <w:end w:w="120" w:type="dxa"/>
            </w:tcMar>
            <w:vAlign w:val="center"/>
          </w:tcPr>
          <w:p>
            <w:r>
              <w:rPr>
                <w:sz w:val="17"/>
              </w:rPr>
              <w:t>Connection remains stable; otherwise use polling.</w:t>
            </w:r>
          </w:p>
        </w:tc>
      </w:tr>
      <w:tr>
        <w:tc>
          <w:tcPr>
            <w:tcW w:type="dxa" w:w="1800"/>
            <w:tcMar>
              <w:top w:w="100" w:type="dxa"/>
              <w:start w:w="120" w:type="dxa"/>
              <w:bottom w:w="100" w:type="dxa"/>
              <w:end w:w="120" w:type="dxa"/>
            </w:tcMar>
            <w:vAlign w:val="center"/>
            <w:shd w:fill="EAF2F8"/>
          </w:tcPr>
          <w:p>
            <w:r>
              <w:rPr>
                <w:sz w:val="17"/>
              </w:rPr>
              <w:t>Downloads</w:t>
            </w:r>
          </w:p>
        </w:tc>
        <w:tc>
          <w:tcPr>
            <w:tcW w:type="dxa" w:w="3888"/>
            <w:tcMar>
              <w:top w:w="100" w:type="dxa"/>
              <w:start w:w="120" w:type="dxa"/>
              <w:bottom w:w="100" w:type="dxa"/>
              <w:end w:w="120" w:type="dxa"/>
            </w:tcMar>
            <w:vAlign w:val="center"/>
            <w:shd w:fill="EAF2F8"/>
          </w:tcPr>
          <w:p>
            <w:r>
              <w:rPr>
                <w:sz w:val="17"/>
              </w:rPr>
              <w:t>Retrieve exercise files and example payloads</w:t>
            </w:r>
          </w:p>
        </w:tc>
        <w:tc>
          <w:tcPr>
            <w:tcW w:type="dxa" w:w="3240"/>
            <w:tcMar>
              <w:top w:w="100" w:type="dxa"/>
              <w:start w:w="120" w:type="dxa"/>
              <w:bottom w:w="100" w:type="dxa"/>
              <w:end w:w="120" w:type="dxa"/>
            </w:tcMar>
            <w:vAlign w:val="center"/>
            <w:shd w:fill="EAF2F8"/>
          </w:tcPr>
          <w:p>
            <w:r>
              <w:rPr>
                <w:sz w:val="17"/>
              </w:rPr>
              <w:t>Files are not blocked or quarantined beyond usable limits.</w:t>
            </w:r>
          </w:p>
        </w:tc>
      </w:tr>
      <w:tr>
        <w:tc>
          <w:tcPr>
            <w:tcW w:type="dxa" w:w="1800"/>
            <w:tcMar>
              <w:top w:w="100" w:type="dxa"/>
              <w:start w:w="120" w:type="dxa"/>
              <w:bottom w:w="100" w:type="dxa"/>
              <w:end w:w="120" w:type="dxa"/>
            </w:tcMar>
            <w:vAlign w:val="center"/>
          </w:tcPr>
          <w:p>
            <w:r>
              <w:rPr>
                <w:sz w:val="17"/>
              </w:rPr>
              <w:t>Performance</w:t>
            </w:r>
          </w:p>
        </w:tc>
        <w:tc>
          <w:tcPr>
            <w:tcW w:type="dxa" w:w="3888"/>
            <w:tcMar>
              <w:top w:w="100" w:type="dxa"/>
              <w:start w:w="120" w:type="dxa"/>
              <w:bottom w:w="100" w:type="dxa"/>
              <w:end w:w="120" w:type="dxa"/>
            </w:tcMar>
            <w:vAlign w:val="center"/>
          </w:tcPr>
          <w:p>
            <w:r>
              <w:rPr>
                <w:sz w:val="17"/>
              </w:rPr>
              <w:t>Run expected concurrent scripted workload</w:t>
            </w:r>
          </w:p>
        </w:tc>
        <w:tc>
          <w:tcPr>
            <w:tcW w:type="dxa" w:w="3240"/>
            <w:tcMar>
              <w:top w:w="100" w:type="dxa"/>
              <w:start w:w="120" w:type="dxa"/>
              <w:bottom w:w="100" w:type="dxa"/>
              <w:end w:w="120" w:type="dxa"/>
            </w:tcMar>
            <w:vAlign w:val="center"/>
          </w:tcPr>
          <w:p>
            <w:r>
              <w:rPr>
                <w:sz w:val="17"/>
              </w:rPr>
              <w:t>Response times and error rates remain within the workshop acceptance threshold defined before testing.</w:t>
            </w:r>
          </w:p>
        </w:tc>
      </w:tr>
    </w:tbl>
    <w:p/>
    <w:p>
      <w:pPr>
        <w:pStyle w:val="Heading1"/>
      </w:pPr>
      <w:r>
        <w:t>5. Participant software and operating-system readiness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9"/>
            <w:tcMar>
              <w:top w:w="100" w:type="dxa"/>
              <w:start w:w="120" w:type="dxa"/>
              <w:bottom w:w="100" w:type="dxa"/>
              <w:end w:w="120" w:type="dxa"/>
            </w:tcMar>
            <w:vAlign w:val="center"/>
          </w:tcPr>
          <w:p>
            <w:r>
              <w:rPr>
                <w:b/>
                <w:color w:val="FFFFFF"/>
                <w:sz w:val="18"/>
              </w:rPr>
              <w:t>Capability tier</w:t>
            </w:r>
          </w:p>
        </w:tc>
        <w:tc>
          <w:tcPr>
            <w:tcW w:type="dxa" w:w="3312"/>
            <w:shd w:fill="1F4E79"/>
            <w:tcMar>
              <w:top w:w="100" w:type="dxa"/>
              <w:start w:w="120" w:type="dxa"/>
              <w:bottom w:w="100" w:type="dxa"/>
              <w:end w:w="120" w:type="dxa"/>
            </w:tcMar>
            <w:vAlign w:val="center"/>
          </w:tcPr>
          <w:p>
            <w:r>
              <w:rPr>
                <w:b/>
                <w:color w:val="FFFFFF"/>
                <w:sz w:val="18"/>
              </w:rPr>
              <w:t>Required software</w:t>
            </w:r>
          </w:p>
        </w:tc>
        <w:tc>
          <w:tcPr>
            <w:tcW w:type="dxa" w:w="3312"/>
            <w:shd w:fill="1F4E79"/>
            <w:tcMar>
              <w:top w:w="100" w:type="dxa"/>
              <w:start w:w="120" w:type="dxa"/>
              <w:bottom w:w="100" w:type="dxa"/>
              <w:end w:w="120" w:type="dxa"/>
            </w:tcMar>
            <w:vAlign w:val="center"/>
          </w:tcPr>
          <w:p>
            <w:r>
              <w:rPr>
                <w:b/>
                <w:color w:val="FFFFFF"/>
                <w:sz w:val="18"/>
              </w:rPr>
              <w:t>Activities</w:t>
            </w:r>
          </w:p>
        </w:tc>
      </w:tr>
      <w:tr>
        <w:tc>
          <w:tcPr>
            <w:tcW w:type="dxa" w:w="1944"/>
            <w:tcMar>
              <w:top w:w="100" w:type="dxa"/>
              <w:start w:w="120" w:type="dxa"/>
              <w:bottom w:w="100" w:type="dxa"/>
              <w:end w:w="120" w:type="dxa"/>
            </w:tcMar>
            <w:vAlign w:val="center"/>
          </w:tcPr>
          <w:p>
            <w:r>
              <w:rPr>
                <w:sz w:val="17"/>
              </w:rPr>
              <w:t>Tier A: all participants</w:t>
            </w:r>
          </w:p>
        </w:tc>
        <w:tc>
          <w:tcPr>
            <w:tcW w:type="dxa" w:w="3384"/>
            <w:tcMar>
              <w:top w:w="100" w:type="dxa"/>
              <w:start w:w="120" w:type="dxa"/>
              <w:bottom w:w="100" w:type="dxa"/>
              <w:end w:w="120" w:type="dxa"/>
            </w:tcMar>
            <w:vAlign w:val="center"/>
          </w:tcPr>
          <w:p>
            <w:r>
              <w:rPr>
                <w:sz w:val="17"/>
              </w:rPr>
              <w:t>Supported browser only</w:t>
            </w:r>
          </w:p>
        </w:tc>
        <w:tc>
          <w:tcPr>
            <w:tcW w:type="dxa" w:w="3600"/>
            <w:tcMar>
              <w:top w:w="100" w:type="dxa"/>
              <w:start w:w="120" w:type="dxa"/>
              <w:bottom w:w="100" w:type="dxa"/>
              <w:end w:w="120" w:type="dxa"/>
            </w:tcMar>
            <w:vAlign w:val="center"/>
          </w:tcPr>
          <w:p>
            <w:r>
              <w:rPr>
                <w:sz w:val="17"/>
              </w:rPr>
              <w:t>Use guided UI, submit synthetic examples, view transformations, query curated resources and inspect results.</w:t>
            </w:r>
          </w:p>
        </w:tc>
      </w:tr>
      <w:tr>
        <w:tc>
          <w:tcPr>
            <w:tcW w:type="dxa" w:w="1944"/>
            <w:tcMar>
              <w:top w:w="100" w:type="dxa"/>
              <w:start w:w="120" w:type="dxa"/>
              <w:bottom w:w="100" w:type="dxa"/>
              <w:end w:w="120" w:type="dxa"/>
            </w:tcMar>
            <w:vAlign w:val="center"/>
            <w:shd w:fill="EAF2F8"/>
          </w:tcPr>
          <w:p>
            <w:r>
              <w:rPr>
                <w:sz w:val="17"/>
              </w:rPr>
              <w:t>Tier B: technical users</w:t>
            </w:r>
          </w:p>
        </w:tc>
        <w:tc>
          <w:tcPr>
            <w:tcW w:type="dxa" w:w="3384"/>
            <w:tcMar>
              <w:top w:w="100" w:type="dxa"/>
              <w:start w:w="120" w:type="dxa"/>
              <w:bottom w:w="100" w:type="dxa"/>
              <w:end w:w="120" w:type="dxa"/>
            </w:tcMar>
            <w:vAlign w:val="center"/>
            <w:shd w:fill="EAF2F8"/>
          </w:tcPr>
          <w:p>
            <w:r>
              <w:rPr>
                <w:sz w:val="17"/>
              </w:rPr>
              <w:t>Browser plus approved Postman or equivalent</w:t>
            </w:r>
          </w:p>
        </w:tc>
        <w:tc>
          <w:tcPr>
            <w:tcW w:type="dxa" w:w="3600"/>
            <w:tcMar>
              <w:top w:w="100" w:type="dxa"/>
              <w:start w:w="120" w:type="dxa"/>
              <w:bottom w:w="100" w:type="dxa"/>
              <w:end w:w="120" w:type="dxa"/>
            </w:tcMar>
            <w:vAlign w:val="center"/>
            <w:shd w:fill="EAF2F8"/>
          </w:tcPr>
          <w:p>
            <w:r>
              <w:rPr>
                <w:sz w:val="17"/>
              </w:rPr>
              <w:t>Direct REST requests, modify payloads, inspect headers and validation responses.</w:t>
            </w:r>
          </w:p>
        </w:tc>
      </w:tr>
      <w:tr>
        <w:tc>
          <w:tcPr>
            <w:tcW w:type="dxa" w:w="1944"/>
            <w:tcMar>
              <w:top w:w="100" w:type="dxa"/>
              <w:start w:w="120" w:type="dxa"/>
              <w:bottom w:w="100" w:type="dxa"/>
              <w:end w:w="120" w:type="dxa"/>
            </w:tcMar>
            <w:vAlign w:val="center"/>
          </w:tcPr>
          <w:p>
            <w:r>
              <w:rPr>
                <w:sz w:val="17"/>
              </w:rPr>
              <w:t>Tier C: small developer group</w:t>
            </w:r>
          </w:p>
        </w:tc>
        <w:tc>
          <w:tcPr>
            <w:tcW w:type="dxa" w:w="3384"/>
            <w:tcMar>
              <w:top w:w="100" w:type="dxa"/>
              <w:start w:w="120" w:type="dxa"/>
              <w:bottom w:w="100" w:type="dxa"/>
              <w:end w:w="120" w:type="dxa"/>
            </w:tcMar>
            <w:vAlign w:val="center"/>
          </w:tcPr>
          <w:p>
            <w:r>
              <w:rPr>
                <w:sz w:val="17"/>
              </w:rPr>
              <w:t>Approved IDE, Git and runtime/toolchain as confirmed</w:t>
            </w:r>
          </w:p>
        </w:tc>
        <w:tc>
          <w:tcPr>
            <w:tcW w:type="dxa" w:w="3600"/>
            <w:tcMar>
              <w:top w:w="100" w:type="dxa"/>
              <w:start w:w="120" w:type="dxa"/>
              <w:bottom w:w="100" w:type="dxa"/>
              <w:end w:w="120" w:type="dxa"/>
            </w:tcMar>
            <w:vAlign w:val="center"/>
          </w:tcPr>
          <w:p>
            <w:r>
              <w:rPr>
                <w:sz w:val="17"/>
              </w:rPr>
              <w:t>Build or modify clients and services; organisers must coordinate these participants before the event.</w:t>
            </w:r>
          </w:p>
        </w:tc>
      </w:tr>
      <w:tr>
        <w:tc>
          <w:tcPr>
            <w:tcW w:type="dxa" w:w="1944"/>
            <w:tcMar>
              <w:top w:w="100" w:type="dxa"/>
              <w:start w:w="120" w:type="dxa"/>
              <w:bottom w:w="100" w:type="dxa"/>
              <w:end w:w="120" w:type="dxa"/>
            </w:tcMar>
            <w:vAlign w:val="center"/>
            <w:shd w:fill="EAF2F8"/>
          </w:tcPr>
          <w:p>
            <w:r>
              <w:rPr>
                <w:sz w:val="17"/>
              </w:rPr>
              <w:t>Organiser tier</w:t>
            </w:r>
          </w:p>
        </w:tc>
        <w:tc>
          <w:tcPr>
            <w:tcW w:type="dxa" w:w="3384"/>
            <w:tcMar>
              <w:top w:w="100" w:type="dxa"/>
              <w:start w:w="120" w:type="dxa"/>
              <w:bottom w:w="100" w:type="dxa"/>
              <w:end w:w="120" w:type="dxa"/>
            </w:tcMar>
            <w:vAlign w:val="center"/>
            <w:shd w:fill="EAF2F8"/>
          </w:tcPr>
          <w:p>
            <w:r>
              <w:rPr>
                <w:sz w:val="17"/>
              </w:rPr>
              <w:t>Managed cloud/admin access on organiser devices</w:t>
            </w:r>
          </w:p>
        </w:tc>
        <w:tc>
          <w:tcPr>
            <w:tcW w:type="dxa" w:w="3600"/>
            <w:tcMar>
              <w:top w:w="100" w:type="dxa"/>
              <w:start w:w="120" w:type="dxa"/>
              <w:bottom w:w="100" w:type="dxa"/>
              <w:end w:w="120" w:type="dxa"/>
            </w:tcMar>
            <w:vAlign w:val="center"/>
            <w:shd w:fill="EAF2F8"/>
          </w:tcPr>
          <w:p>
            <w:r>
              <w:rPr>
                <w:sz w:val="17"/>
              </w:rPr>
              <w:t>Deployment, monitoring, resets and incident response. Do not depend on QH participant devices for operations.</w:t>
            </w:r>
          </w:p>
        </w:tc>
      </w:tr>
    </w:tbl>
    <w:p/>
    <w:p>
      <w:pPr>
        <w:pStyle w:val="ListBullet"/>
      </w:pPr>
      <w:r>
        <w:t>Do not require Docker Desktop, WSL, Hyper-V, local databases, inbound ports, local administrator rights or unsigned executables for the core path.</w:t>
      </w:r>
    </w:p>
    <w:p>
      <w:pPr>
        <w:pStyle w:val="ListBullet"/>
      </w:pPr>
      <w:r>
        <w:t>Provide browser-based alternatives for API exploration and payload editing.</w:t>
      </w:r>
    </w:p>
    <w:p>
      <w:pPr>
        <w:pStyle w:val="ListBullet"/>
      </w:pPr>
      <w:r>
        <w:t>Publish a short compatibility list for browser versions and optional tools after representative-device testing.</w:t>
      </w:r>
    </w:p>
    <w:p>
      <w:pPr>
        <w:pStyle w:val="ListBullet"/>
      </w:pPr>
      <w:r>
        <w:t>Prepare copy-and-paste examples, downloadable synthetic payloads and a no-install troubleshooting path.</w:t>
      </w:r>
    </w:p>
    <w:p>
      <w:pPr>
        <w:pStyle w:val="Heading1"/>
      </w:pPr>
      <w:r>
        <w:t>6. Security, privacy and governance controls</w:t>
      </w:r>
    </w:p>
    <w:p>
      <w:pPr>
        <w:pStyle w:val="ListBullet"/>
      </w:pPr>
      <w:r>
        <w:t>Use synthetic or explicitly de-identified workshop data only. Display this rule in the UI and participant instructions.</w:t>
      </w:r>
    </w:p>
    <w:p>
      <w:pPr>
        <w:pStyle w:val="ListBullet"/>
      </w:pPr>
      <w:r>
        <w:t>Classify the environment as non-production and separate it from operational Queensland Health systems.</w:t>
      </w:r>
    </w:p>
    <w:p>
      <w:pPr>
        <w:pStyle w:val="ListBullet"/>
      </w:pPr>
      <w:r>
        <w:t>Expose only necessary endpoints; keep databases and administrative interfaces private.</w:t>
      </w:r>
    </w:p>
    <w:p>
      <w:pPr>
        <w:pStyle w:val="ListBullet"/>
      </w:pPr>
      <w:r>
        <w:t>Use trusted HTTPS, least-privilege accounts, short-lived event credentials where authentication is required, and remove credentials after the event.</w:t>
      </w:r>
    </w:p>
    <w:p>
      <w:pPr>
        <w:pStyle w:val="ListBullet"/>
      </w:pPr>
      <w:r>
        <w:t>Define data reset, log retention and environment shutdown dates before launch.</w:t>
      </w:r>
    </w:p>
    <w:p>
      <w:pPr>
        <w:pStyle w:val="ListBullet"/>
      </w:pPr>
      <w:r>
        <w:t>Do not assume a publicly reachable service is approved merely because it is technically accessible. Record the QH event/network owner and the service-risk owner.</w:t>
      </w:r>
    </w:p>
    <w:p>
      <w:pPr>
        <w:pStyle w:val="Heading1"/>
      </w:pPr>
      <w:r>
        <w:t>7. Authentication decision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9"/>
            <w:tcMar>
              <w:top w:w="100" w:type="dxa"/>
              <w:start w:w="120" w:type="dxa"/>
              <w:bottom w:w="100" w:type="dxa"/>
              <w:end w:w="120" w:type="dxa"/>
            </w:tcMar>
            <w:vAlign w:val="center"/>
          </w:tcPr>
          <w:p>
            <w:r>
              <w:rPr>
                <w:b/>
                <w:color w:val="FFFFFF"/>
                <w:sz w:val="18"/>
              </w:rPr>
              <w:t>Pattern</w:t>
            </w:r>
          </w:p>
        </w:tc>
        <w:tc>
          <w:tcPr>
            <w:tcW w:type="dxa" w:w="3312"/>
            <w:shd w:fill="1F4E79"/>
            <w:tcMar>
              <w:top w:w="100" w:type="dxa"/>
              <w:start w:w="120" w:type="dxa"/>
              <w:bottom w:w="100" w:type="dxa"/>
              <w:end w:w="120" w:type="dxa"/>
            </w:tcMar>
            <w:vAlign w:val="center"/>
          </w:tcPr>
          <w:p>
            <w:r>
              <w:rPr>
                <w:b/>
                <w:color w:val="FFFFFF"/>
                <w:sz w:val="18"/>
              </w:rPr>
              <w:t>When to use</w:t>
            </w:r>
          </w:p>
        </w:tc>
        <w:tc>
          <w:tcPr>
            <w:tcW w:type="dxa" w:w="3312"/>
            <w:shd w:fill="1F4E79"/>
            <w:tcMar>
              <w:top w:w="100" w:type="dxa"/>
              <w:start w:w="120" w:type="dxa"/>
              <w:bottom w:w="100" w:type="dxa"/>
              <w:end w:w="120" w:type="dxa"/>
            </w:tcMar>
            <w:vAlign w:val="center"/>
          </w:tcPr>
          <w:p>
            <w:r>
              <w:rPr>
                <w:b/>
                <w:color w:val="FFFFFF"/>
                <w:sz w:val="18"/>
              </w:rPr>
              <w:t>Trade-off</w:t>
            </w:r>
          </w:p>
        </w:tc>
      </w:tr>
      <w:tr>
        <w:tc>
          <w:tcPr>
            <w:tcW w:type="dxa" w:w="2232"/>
            <w:tcMar>
              <w:top w:w="100" w:type="dxa"/>
              <w:start w:w="120" w:type="dxa"/>
              <w:bottom w:w="100" w:type="dxa"/>
              <w:end w:w="120" w:type="dxa"/>
            </w:tcMar>
            <w:vAlign w:val="center"/>
          </w:tcPr>
          <w:p>
            <w:r>
              <w:rPr>
                <w:sz w:val="17"/>
              </w:rPr>
              <w:t>Anonymous synthetic sandbox</w:t>
            </w:r>
          </w:p>
        </w:tc>
        <w:tc>
          <w:tcPr>
            <w:tcW w:type="dxa" w:w="3240"/>
            <w:tcMar>
              <w:top w:w="100" w:type="dxa"/>
              <w:start w:w="120" w:type="dxa"/>
              <w:bottom w:w="100" w:type="dxa"/>
              <w:end w:w="120" w:type="dxa"/>
            </w:tcMar>
            <w:vAlign w:val="center"/>
          </w:tcPr>
          <w:p>
            <w:r>
              <w:rPr>
                <w:sz w:val="17"/>
              </w:rPr>
              <w:t>Exercises need no user identity and contain no sensitive data</w:t>
            </w:r>
          </w:p>
        </w:tc>
        <w:tc>
          <w:tcPr>
            <w:tcW w:type="dxa" w:w="3456"/>
            <w:tcMar>
              <w:top w:w="100" w:type="dxa"/>
              <w:start w:w="120" w:type="dxa"/>
              <w:bottom w:w="100" w:type="dxa"/>
              <w:end w:w="120" w:type="dxa"/>
            </w:tcMar>
            <w:vAlign w:val="center"/>
          </w:tcPr>
          <w:p>
            <w:r>
              <w:rPr>
                <w:sz w:val="17"/>
              </w:rPr>
              <w:t>Lowest friction; requires rate limits, reset and abuse controls.</w:t>
            </w:r>
          </w:p>
        </w:tc>
      </w:tr>
      <w:tr>
        <w:tc>
          <w:tcPr>
            <w:tcW w:type="dxa" w:w="2232"/>
            <w:tcMar>
              <w:top w:w="100" w:type="dxa"/>
              <w:start w:w="120" w:type="dxa"/>
              <w:bottom w:w="100" w:type="dxa"/>
              <w:end w:w="120" w:type="dxa"/>
            </w:tcMar>
            <w:vAlign w:val="center"/>
            <w:shd w:fill="EAF2F8"/>
          </w:tcPr>
          <w:p>
            <w:r>
              <w:rPr>
                <w:sz w:val="17"/>
              </w:rPr>
              <w:t>Shared event credentials</w:t>
            </w:r>
          </w:p>
        </w:tc>
        <w:tc>
          <w:tcPr>
            <w:tcW w:type="dxa" w:w="3240"/>
            <w:tcMar>
              <w:top w:w="100" w:type="dxa"/>
              <w:start w:w="120" w:type="dxa"/>
              <w:bottom w:w="100" w:type="dxa"/>
              <w:end w:w="120" w:type="dxa"/>
            </w:tcMar>
            <w:vAlign w:val="center"/>
            <w:shd w:fill="EAF2F8"/>
          </w:tcPr>
          <w:p>
            <w:r>
              <w:rPr>
                <w:sz w:val="17"/>
              </w:rPr>
              <w:t>Simple access separation is needed</w:t>
            </w:r>
          </w:p>
        </w:tc>
        <w:tc>
          <w:tcPr>
            <w:tcW w:type="dxa" w:w="3456"/>
            <w:tcMar>
              <w:top w:w="100" w:type="dxa"/>
              <w:start w:w="120" w:type="dxa"/>
              <w:bottom w:w="100" w:type="dxa"/>
              <w:end w:w="120" w:type="dxa"/>
            </w:tcMar>
            <w:vAlign w:val="center"/>
            <w:shd w:fill="EAF2F8"/>
          </w:tcPr>
          <w:p>
            <w:r>
              <w:rPr>
                <w:sz w:val="17"/>
              </w:rPr>
              <w:t>Operationally easy but weak attribution and credential leakage risk.</w:t>
            </w:r>
          </w:p>
        </w:tc>
      </w:tr>
      <w:tr>
        <w:tc>
          <w:tcPr>
            <w:tcW w:type="dxa" w:w="2232"/>
            <w:tcMar>
              <w:top w:w="100" w:type="dxa"/>
              <w:start w:w="120" w:type="dxa"/>
              <w:bottom w:w="100" w:type="dxa"/>
              <w:end w:w="120" w:type="dxa"/>
            </w:tcMar>
            <w:vAlign w:val="center"/>
          </w:tcPr>
          <w:p>
            <w:r>
              <w:rPr>
                <w:sz w:val="17"/>
              </w:rPr>
              <w:t>Pre-provisioned individual accounts</w:t>
            </w:r>
          </w:p>
        </w:tc>
        <w:tc>
          <w:tcPr>
            <w:tcW w:type="dxa" w:w="3240"/>
            <w:tcMar>
              <w:top w:w="100" w:type="dxa"/>
              <w:start w:w="120" w:type="dxa"/>
              <w:bottom w:w="100" w:type="dxa"/>
              <w:end w:w="120" w:type="dxa"/>
            </w:tcMar>
            <w:vAlign w:val="center"/>
          </w:tcPr>
          <w:p>
            <w:r>
              <w:rPr>
                <w:sz w:val="17"/>
              </w:rPr>
              <w:t>Identity-dependent exercises or auditability are required</w:t>
            </w:r>
          </w:p>
        </w:tc>
        <w:tc>
          <w:tcPr>
            <w:tcW w:type="dxa" w:w="3456"/>
            <w:tcMar>
              <w:top w:w="100" w:type="dxa"/>
              <w:start w:w="120" w:type="dxa"/>
              <w:bottom w:w="100" w:type="dxa"/>
              <w:end w:w="120" w:type="dxa"/>
            </w:tcMar>
            <w:vAlign w:val="center"/>
          </w:tcPr>
          <w:p>
            <w:r>
              <w:rPr>
                <w:sz w:val="17"/>
              </w:rPr>
              <w:t>More support overhead; test account recovery and MFA at venue.</w:t>
            </w:r>
          </w:p>
        </w:tc>
      </w:tr>
      <w:tr>
        <w:tc>
          <w:tcPr>
            <w:tcW w:type="dxa" w:w="2232"/>
            <w:tcMar>
              <w:top w:w="100" w:type="dxa"/>
              <w:start w:w="120" w:type="dxa"/>
              <w:bottom w:w="100" w:type="dxa"/>
              <w:end w:w="120" w:type="dxa"/>
            </w:tcMar>
            <w:vAlign w:val="center"/>
            <w:shd w:fill="EAF2F8"/>
          </w:tcPr>
          <w:p>
            <w:r>
              <w:rPr>
                <w:sz w:val="17"/>
              </w:rPr>
              <w:t>Federated QH identity</w:t>
            </w:r>
          </w:p>
        </w:tc>
        <w:tc>
          <w:tcPr>
            <w:tcW w:type="dxa" w:w="3240"/>
            <w:tcMar>
              <w:top w:w="100" w:type="dxa"/>
              <w:start w:w="120" w:type="dxa"/>
              <w:bottom w:w="100" w:type="dxa"/>
              <w:end w:w="120" w:type="dxa"/>
            </w:tcMar>
            <w:vAlign w:val="center"/>
            <w:shd w:fill="EAF2F8"/>
          </w:tcPr>
          <w:p>
            <w:r>
              <w:rPr>
                <w:sz w:val="17"/>
              </w:rPr>
              <w:t>Only if formally supported and tested</w:t>
            </w:r>
          </w:p>
        </w:tc>
        <w:tc>
          <w:tcPr>
            <w:tcW w:type="dxa" w:w="3456"/>
            <w:tcMar>
              <w:top w:w="100" w:type="dxa"/>
              <w:start w:w="120" w:type="dxa"/>
              <w:bottom w:w="100" w:type="dxa"/>
              <w:end w:w="120" w:type="dxa"/>
            </w:tcMar>
            <w:vAlign w:val="center"/>
            <w:shd w:fill="EAF2F8"/>
          </w:tcPr>
          <w:p>
            <w:r>
              <w:rPr>
                <w:sz w:val="17"/>
              </w:rPr>
              <w:t>Best organisational fit, highest integration and approval risk for a short event.</w:t>
            </w:r>
          </w:p>
        </w:tc>
      </w:tr>
    </w:tbl>
    <w:p/>
    <w:p>
      <w:pPr>
        <w:pStyle w:val="Heading1"/>
      </w:pPr>
      <w:r>
        <w:t>8. Reliability and operational readiness</w:t>
      </w:r>
    </w:p>
    <w:p>
      <w:pPr>
        <w:pStyle w:val="ListBullet"/>
      </w:pPr>
      <w:r>
        <w:t>Freeze deployable versions before the event and redeploy the complete environment from source-controlled configuration.</w:t>
      </w:r>
    </w:p>
    <w:p>
      <w:pPr>
        <w:pStyle w:val="ListBullet"/>
      </w:pPr>
      <w:r>
        <w:t>Use automated smoke tests for DNS, TLS, read, write, validation and terminology dependencies.</w:t>
      </w:r>
    </w:p>
    <w:p>
      <w:pPr>
        <w:pStyle w:val="ListBullet"/>
      </w:pPr>
      <w:r>
        <w:t>Monitor externally from the same path participants use, not only from inside the cloud environment.</w:t>
      </w:r>
    </w:p>
    <w:p>
      <w:pPr>
        <w:pStyle w:val="ListBullet"/>
      </w:pPr>
      <w:r>
        <w:t>Pre-warm caches and terminology content used by exercises.</w:t>
      </w:r>
    </w:p>
    <w:p>
      <w:pPr>
        <w:pStyle w:val="ListBullet"/>
      </w:pPr>
      <w:r>
        <w:t>Provide a visible service-status page and a one-page incident runbook with owners and fallback actions.</w:t>
      </w:r>
    </w:p>
    <w:p>
      <w:pPr>
        <w:pStyle w:val="ListBullet"/>
      </w:pPr>
      <w:r>
        <w:t>Keep a clean reset snapshot or scripted reseed so workshop state can be restored between sessions.</w:t>
      </w:r>
    </w:p>
    <w:p>
      <w:pPr>
        <w:pStyle w:val="ListBullet"/>
      </w:pPr>
      <w:r>
        <w:t>Avoid dependence on public reference terminology services where timeout or availability is outside the track team’s control; test every transitive dependency.</w:t>
      </w:r>
    </w:p>
    <w:p>
      <w:pPr>
        <w:pStyle w:val="Heading1"/>
      </w:pPr>
      <w:r>
        <w:t>9. Pre-flight verification plan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1F4E79"/>
            <w:tcMar>
              <w:top w:w="100" w:type="dxa"/>
              <w:start w:w="120" w:type="dxa"/>
              <w:bottom w:w="100" w:type="dxa"/>
              <w:end w:w="120" w:type="dxa"/>
            </w:tcMar>
            <w:vAlign w:val="center"/>
          </w:tcPr>
          <w:p>
            <w:r>
              <w:rPr>
                <w:b/>
                <w:color w:val="FFFFFF"/>
                <w:sz w:val="18"/>
              </w:rPr>
              <w:t>When</w:t>
            </w:r>
          </w:p>
        </w:tc>
        <w:tc>
          <w:tcPr>
            <w:tcW w:type="dxa" w:w="2484"/>
            <w:shd w:fill="1F4E79"/>
            <w:tcMar>
              <w:top w:w="100" w:type="dxa"/>
              <w:start w:w="120" w:type="dxa"/>
              <w:bottom w:w="100" w:type="dxa"/>
              <w:end w:w="120" w:type="dxa"/>
            </w:tcMar>
            <w:vAlign w:val="center"/>
          </w:tcPr>
          <w:p>
            <w:r>
              <w:rPr>
                <w:b/>
                <w:color w:val="FFFFFF"/>
                <w:sz w:val="18"/>
              </w:rPr>
              <w:t>Activity</w:t>
            </w:r>
          </w:p>
        </w:tc>
        <w:tc>
          <w:tcPr>
            <w:tcW w:type="dxa" w:w="2484"/>
            <w:shd w:fill="1F4E79"/>
            <w:tcMar>
              <w:top w:w="100" w:type="dxa"/>
              <w:start w:w="120" w:type="dxa"/>
              <w:bottom w:w="100" w:type="dxa"/>
              <w:end w:w="120" w:type="dxa"/>
            </w:tcMar>
            <w:vAlign w:val="center"/>
          </w:tcPr>
          <w:p>
            <w:r>
              <w:rPr>
                <w:b/>
                <w:color w:val="FFFFFF"/>
                <w:sz w:val="18"/>
              </w:rPr>
              <w:t>Owner role</w:t>
            </w:r>
          </w:p>
        </w:tc>
        <w:tc>
          <w:tcPr>
            <w:tcW w:type="dxa" w:w="2484"/>
            <w:shd w:fill="1F4E79"/>
            <w:tcMar>
              <w:top w:w="100" w:type="dxa"/>
              <w:start w:w="120" w:type="dxa"/>
              <w:bottom w:w="100" w:type="dxa"/>
              <w:end w:w="120" w:type="dxa"/>
            </w:tcMar>
            <w:vAlign w:val="center"/>
          </w:tcPr>
          <w:p>
            <w:r>
              <w:rPr>
                <w:b/>
                <w:color w:val="FFFFFF"/>
                <w:sz w:val="18"/>
              </w:rPr>
              <w:t>Evidence</w:t>
            </w:r>
          </w:p>
        </w:tc>
      </w:tr>
      <w:tr>
        <w:tc>
          <w:tcPr>
            <w:tcW w:type="dxa" w:w="1800"/>
            <w:tcMar>
              <w:top w:w="100" w:type="dxa"/>
              <w:start w:w="120" w:type="dxa"/>
              <w:bottom w:w="100" w:type="dxa"/>
              <w:end w:w="120" w:type="dxa"/>
            </w:tcMar>
            <w:vAlign w:val="center"/>
          </w:tcPr>
          <w:p>
            <w:r>
              <w:rPr>
                <w:sz w:val="17"/>
              </w:rPr>
              <w:t>As soon as endpoint names exist</w:t>
            </w:r>
          </w:p>
        </w:tc>
        <w:tc>
          <w:tcPr>
            <w:tcW w:type="dxa" w:w="3672"/>
            <w:tcMar>
              <w:top w:w="100" w:type="dxa"/>
              <w:start w:w="120" w:type="dxa"/>
              <w:bottom w:w="100" w:type="dxa"/>
              <w:end w:w="120" w:type="dxa"/>
            </w:tcMar>
            <w:vAlign w:val="center"/>
          </w:tcPr>
          <w:p>
            <w:r>
              <w:rPr>
                <w:sz w:val="17"/>
              </w:rPr>
              <w:t>Submit domains, IP ranges and purpose for QH/network review if required</w:t>
            </w:r>
          </w:p>
        </w:tc>
        <w:tc>
          <w:tcPr>
            <w:tcW w:type="dxa" w:w="1944"/>
            <w:tcMar>
              <w:top w:w="100" w:type="dxa"/>
              <w:start w:w="120" w:type="dxa"/>
              <w:bottom w:w="100" w:type="dxa"/>
              <w:end w:w="120" w:type="dxa"/>
            </w:tcMar>
            <w:vAlign w:val="center"/>
          </w:tcPr>
          <w:p>
            <w:r>
              <w:rPr>
                <w:sz w:val="17"/>
              </w:rPr>
              <w:t>Track technical lead + QH ICT contact</w:t>
            </w:r>
          </w:p>
        </w:tc>
        <w:tc>
          <w:tcPr>
            <w:tcW w:type="dxa" w:w="1944"/>
            <w:tcMar>
              <w:top w:w="100" w:type="dxa"/>
              <w:start w:w="120" w:type="dxa"/>
              <w:bottom w:w="100" w:type="dxa"/>
              <w:end w:w="120" w:type="dxa"/>
            </w:tcMar>
            <w:vAlign w:val="center"/>
          </w:tcPr>
          <w:p>
            <w:r>
              <w:rPr>
                <w:sz w:val="17"/>
              </w:rPr>
              <w:t>Written disposition and ticket/reference.</w:t>
            </w:r>
          </w:p>
        </w:tc>
      </w:tr>
      <w:tr>
        <w:tc>
          <w:tcPr>
            <w:tcW w:type="dxa" w:w="1800"/>
            <w:tcMar>
              <w:top w:w="100" w:type="dxa"/>
              <w:start w:w="120" w:type="dxa"/>
              <w:bottom w:w="100" w:type="dxa"/>
              <w:end w:w="120" w:type="dxa"/>
            </w:tcMar>
            <w:vAlign w:val="center"/>
            <w:shd w:fill="EAF2F8"/>
          </w:tcPr>
          <w:p>
            <w:r>
              <w:rPr>
                <w:sz w:val="17"/>
              </w:rPr>
              <w:t>Before participant guidance is final</w:t>
            </w:r>
          </w:p>
        </w:tc>
        <w:tc>
          <w:tcPr>
            <w:tcW w:type="dxa" w:w="3672"/>
            <w:tcMar>
              <w:top w:w="100" w:type="dxa"/>
              <w:start w:w="120" w:type="dxa"/>
              <w:bottom w:w="100" w:type="dxa"/>
              <w:end w:w="120" w:type="dxa"/>
            </w:tcMar>
            <w:vAlign w:val="center"/>
            <w:shd w:fill="EAF2F8"/>
          </w:tcPr>
          <w:p>
            <w:r>
              <w:rPr>
                <w:sz w:val="17"/>
              </w:rPr>
              <w:t>Test actual QH laptop/browser and optional tools</w:t>
            </w:r>
          </w:p>
        </w:tc>
        <w:tc>
          <w:tcPr>
            <w:tcW w:type="dxa" w:w="1944"/>
            <w:tcMar>
              <w:top w:w="100" w:type="dxa"/>
              <w:start w:w="120" w:type="dxa"/>
              <w:bottom w:w="100" w:type="dxa"/>
              <w:end w:w="120" w:type="dxa"/>
            </w:tcMar>
            <w:vAlign w:val="center"/>
            <w:shd w:fill="EAF2F8"/>
          </w:tcPr>
          <w:p>
            <w:r>
              <w:rPr>
                <w:sz w:val="17"/>
              </w:rPr>
              <w:t>QH representative participant</w:t>
            </w:r>
          </w:p>
        </w:tc>
        <w:tc>
          <w:tcPr>
            <w:tcW w:type="dxa" w:w="1944"/>
            <w:tcMar>
              <w:top w:w="100" w:type="dxa"/>
              <w:start w:w="120" w:type="dxa"/>
              <w:bottom w:w="100" w:type="dxa"/>
              <w:end w:w="120" w:type="dxa"/>
            </w:tcMar>
            <w:vAlign w:val="center"/>
            <w:shd w:fill="EAF2F8"/>
          </w:tcPr>
          <w:p>
            <w:r>
              <w:rPr>
                <w:sz w:val="17"/>
              </w:rPr>
              <w:t>Completed compatibility checklist with screenshots/logs.</w:t>
            </w:r>
          </w:p>
        </w:tc>
      </w:tr>
      <w:tr>
        <w:tc>
          <w:tcPr>
            <w:tcW w:type="dxa" w:w="1800"/>
            <w:tcMar>
              <w:top w:w="100" w:type="dxa"/>
              <w:start w:w="120" w:type="dxa"/>
              <w:bottom w:w="100" w:type="dxa"/>
              <w:end w:w="120" w:type="dxa"/>
            </w:tcMar>
            <w:vAlign w:val="center"/>
          </w:tcPr>
          <w:p>
            <w:r>
              <w:rPr>
                <w:sz w:val="17"/>
              </w:rPr>
              <w:t>At venue before event</w:t>
            </w:r>
          </w:p>
        </w:tc>
        <w:tc>
          <w:tcPr>
            <w:tcW w:type="dxa" w:w="3672"/>
            <w:tcMar>
              <w:top w:w="100" w:type="dxa"/>
              <w:start w:w="120" w:type="dxa"/>
              <w:bottom w:w="100" w:type="dxa"/>
              <w:end w:w="120" w:type="dxa"/>
            </w:tcMar>
            <w:vAlign w:val="center"/>
          </w:tcPr>
          <w:p>
            <w:r>
              <w:rPr>
                <w:sz w:val="17"/>
              </w:rPr>
              <w:t>Repeat full test on the exact participant Wi-Fi/network</w:t>
            </w:r>
          </w:p>
        </w:tc>
        <w:tc>
          <w:tcPr>
            <w:tcW w:type="dxa" w:w="1944"/>
            <w:tcMar>
              <w:top w:w="100" w:type="dxa"/>
              <w:start w:w="120" w:type="dxa"/>
              <w:bottom w:w="100" w:type="dxa"/>
              <w:end w:w="120" w:type="dxa"/>
            </w:tcMar>
            <w:vAlign w:val="center"/>
          </w:tcPr>
          <w:p>
            <w:r>
              <w:rPr>
                <w:sz w:val="17"/>
              </w:rPr>
              <w:t>Track lead + venue/network contact</w:t>
            </w:r>
          </w:p>
        </w:tc>
        <w:tc>
          <w:tcPr>
            <w:tcW w:type="dxa" w:w="1944"/>
            <w:tcMar>
              <w:top w:w="100" w:type="dxa"/>
              <w:start w:w="120" w:type="dxa"/>
              <w:bottom w:w="100" w:type="dxa"/>
              <w:end w:w="120" w:type="dxa"/>
            </w:tcMar>
            <w:vAlign w:val="center"/>
          </w:tcPr>
          <w:p>
            <w:r>
              <w:rPr>
                <w:sz w:val="17"/>
              </w:rPr>
              <w:t>Signed pre-flight record.</w:t>
            </w:r>
          </w:p>
        </w:tc>
      </w:tr>
      <w:tr>
        <w:tc>
          <w:tcPr>
            <w:tcW w:type="dxa" w:w="1800"/>
            <w:tcMar>
              <w:top w:w="100" w:type="dxa"/>
              <w:start w:w="120" w:type="dxa"/>
              <w:bottom w:w="100" w:type="dxa"/>
              <w:end w:w="120" w:type="dxa"/>
            </w:tcMar>
            <w:vAlign w:val="center"/>
            <w:shd w:fill="EAF2F8"/>
          </w:tcPr>
          <w:p>
            <w:r>
              <w:rPr>
                <w:sz w:val="17"/>
              </w:rPr>
              <w:t>Before event</w:t>
            </w:r>
          </w:p>
        </w:tc>
        <w:tc>
          <w:tcPr>
            <w:tcW w:type="dxa" w:w="3672"/>
            <w:tcMar>
              <w:top w:w="100" w:type="dxa"/>
              <w:start w:w="120" w:type="dxa"/>
              <w:bottom w:w="100" w:type="dxa"/>
              <w:end w:w="120" w:type="dxa"/>
            </w:tcMar>
            <w:vAlign w:val="center"/>
            <w:shd w:fill="EAF2F8"/>
          </w:tcPr>
          <w:p>
            <w:r>
              <w:rPr>
                <w:sz w:val="17"/>
              </w:rPr>
              <w:t>Load and soak test the complete workflow, including dependencies</w:t>
            </w:r>
          </w:p>
        </w:tc>
        <w:tc>
          <w:tcPr>
            <w:tcW w:type="dxa" w:w="1944"/>
            <w:tcMar>
              <w:top w:w="100" w:type="dxa"/>
              <w:start w:w="120" w:type="dxa"/>
              <w:bottom w:w="100" w:type="dxa"/>
              <w:end w:w="120" w:type="dxa"/>
            </w:tcMar>
            <w:vAlign w:val="center"/>
            <w:shd w:fill="EAF2F8"/>
          </w:tcPr>
          <w:p>
            <w:r>
              <w:rPr>
                <w:sz w:val="17"/>
              </w:rPr>
              <w:t>Hosting operator</w:t>
            </w:r>
          </w:p>
        </w:tc>
        <w:tc>
          <w:tcPr>
            <w:tcW w:type="dxa" w:w="1944"/>
            <w:tcMar>
              <w:top w:w="100" w:type="dxa"/>
              <w:start w:w="120" w:type="dxa"/>
              <w:bottom w:w="100" w:type="dxa"/>
              <w:end w:w="120" w:type="dxa"/>
            </w:tcMar>
            <w:vAlign w:val="center"/>
            <w:shd w:fill="EAF2F8"/>
          </w:tcPr>
          <w:p>
            <w:r>
              <w:rPr>
                <w:sz w:val="17"/>
              </w:rPr>
              <w:t>Test report and accepted thresholds.</w:t>
            </w:r>
          </w:p>
        </w:tc>
      </w:tr>
      <w:tr>
        <w:tc>
          <w:tcPr>
            <w:tcW w:type="dxa" w:w="1800"/>
            <w:tcMar>
              <w:top w:w="100" w:type="dxa"/>
              <w:start w:w="120" w:type="dxa"/>
              <w:bottom w:w="100" w:type="dxa"/>
              <w:end w:w="120" w:type="dxa"/>
            </w:tcMar>
            <w:vAlign w:val="center"/>
          </w:tcPr>
          <w:p>
            <w:r>
              <w:rPr>
                <w:sz w:val="17"/>
              </w:rPr>
              <w:t>Before each day</w:t>
            </w:r>
          </w:p>
        </w:tc>
        <w:tc>
          <w:tcPr>
            <w:tcW w:type="dxa" w:w="3672"/>
            <w:tcMar>
              <w:top w:w="100" w:type="dxa"/>
              <w:start w:w="120" w:type="dxa"/>
              <w:bottom w:w="100" w:type="dxa"/>
              <w:end w:w="120" w:type="dxa"/>
            </w:tcMar>
            <w:vAlign w:val="center"/>
          </w:tcPr>
          <w:p>
            <w:r>
              <w:rPr>
                <w:sz w:val="17"/>
              </w:rPr>
              <w:t>Run automated smoke tests and reseed synthetic data</w:t>
            </w:r>
          </w:p>
        </w:tc>
        <w:tc>
          <w:tcPr>
            <w:tcW w:type="dxa" w:w="1944"/>
            <w:tcMar>
              <w:top w:w="100" w:type="dxa"/>
              <w:start w:w="120" w:type="dxa"/>
              <w:bottom w:w="100" w:type="dxa"/>
              <w:end w:w="120" w:type="dxa"/>
            </w:tcMar>
            <w:vAlign w:val="center"/>
          </w:tcPr>
          <w:p>
            <w:r>
              <w:rPr>
                <w:sz w:val="17"/>
              </w:rPr>
              <w:t>Operations owner</w:t>
            </w:r>
          </w:p>
        </w:tc>
        <w:tc>
          <w:tcPr>
            <w:tcW w:type="dxa" w:w="1944"/>
            <w:tcMar>
              <w:top w:w="100" w:type="dxa"/>
              <w:start w:w="120" w:type="dxa"/>
              <w:bottom w:w="100" w:type="dxa"/>
              <w:end w:w="120" w:type="dxa"/>
            </w:tcMar>
            <w:vAlign w:val="center"/>
          </w:tcPr>
          <w:p>
            <w:r>
              <w:rPr>
                <w:sz w:val="17"/>
              </w:rPr>
              <w:t>Timestamped pass/fail report.</w:t>
            </w:r>
          </w:p>
        </w:tc>
      </w:tr>
      <w:tr>
        <w:tc>
          <w:tcPr>
            <w:tcW w:type="dxa" w:w="1800"/>
            <w:tcMar>
              <w:top w:w="100" w:type="dxa"/>
              <w:start w:w="120" w:type="dxa"/>
              <w:bottom w:w="100" w:type="dxa"/>
              <w:end w:w="120" w:type="dxa"/>
            </w:tcMar>
            <w:vAlign w:val="center"/>
            <w:shd w:fill="EAF2F8"/>
          </w:tcPr>
          <w:p>
            <w:r>
              <w:rPr>
                <w:sz w:val="17"/>
              </w:rPr>
              <w:t>During event</w:t>
            </w:r>
          </w:p>
        </w:tc>
        <w:tc>
          <w:tcPr>
            <w:tcW w:type="dxa" w:w="3672"/>
            <w:tcMar>
              <w:top w:w="100" w:type="dxa"/>
              <w:start w:w="120" w:type="dxa"/>
              <w:bottom w:w="100" w:type="dxa"/>
              <w:end w:w="120" w:type="dxa"/>
            </w:tcMar>
            <w:vAlign w:val="center"/>
            <w:shd w:fill="EAF2F8"/>
          </w:tcPr>
          <w:p>
            <w:r>
              <w:rPr>
                <w:sz w:val="17"/>
              </w:rPr>
              <w:t>Monitor errors, latency, capacity and dependency health</w:t>
            </w:r>
          </w:p>
        </w:tc>
        <w:tc>
          <w:tcPr>
            <w:tcW w:type="dxa" w:w="1944"/>
            <w:tcMar>
              <w:top w:w="100" w:type="dxa"/>
              <w:start w:w="120" w:type="dxa"/>
              <w:bottom w:w="100" w:type="dxa"/>
              <w:end w:w="120" w:type="dxa"/>
            </w:tcMar>
            <w:vAlign w:val="center"/>
            <w:shd w:fill="EAF2F8"/>
          </w:tcPr>
          <w:p>
            <w:r>
              <w:rPr>
                <w:sz w:val="17"/>
              </w:rPr>
              <w:t>Operations owner</w:t>
            </w:r>
          </w:p>
        </w:tc>
        <w:tc>
          <w:tcPr>
            <w:tcW w:type="dxa" w:w="1944"/>
            <w:tcMar>
              <w:top w:w="100" w:type="dxa"/>
              <w:start w:w="120" w:type="dxa"/>
              <w:bottom w:w="100" w:type="dxa"/>
              <w:end w:w="120" w:type="dxa"/>
            </w:tcMar>
            <w:vAlign w:val="center"/>
            <w:shd w:fill="EAF2F8"/>
          </w:tcPr>
          <w:p>
            <w:r>
              <w:rPr>
                <w:sz w:val="17"/>
              </w:rPr>
              <w:t>Dashboard and incident log.</w:t>
            </w:r>
          </w:p>
        </w:tc>
      </w:tr>
      <w:tr>
        <w:tc>
          <w:tcPr>
            <w:tcW w:type="dxa" w:w="1800"/>
            <w:tcMar>
              <w:top w:w="100" w:type="dxa"/>
              <w:start w:w="120" w:type="dxa"/>
              <w:bottom w:w="100" w:type="dxa"/>
              <w:end w:w="120" w:type="dxa"/>
            </w:tcMar>
            <w:vAlign w:val="center"/>
          </w:tcPr>
          <w:p>
            <w:r>
              <w:rPr>
                <w:sz w:val="17"/>
              </w:rPr>
              <w:t>After event</w:t>
            </w:r>
          </w:p>
        </w:tc>
        <w:tc>
          <w:tcPr>
            <w:tcW w:type="dxa" w:w="3672"/>
            <w:tcMar>
              <w:top w:w="100" w:type="dxa"/>
              <w:start w:w="120" w:type="dxa"/>
              <w:bottom w:w="100" w:type="dxa"/>
              <w:end w:w="120" w:type="dxa"/>
            </w:tcMar>
            <w:vAlign w:val="center"/>
          </w:tcPr>
          <w:p>
            <w:r>
              <w:rPr>
                <w:sz w:val="17"/>
              </w:rPr>
              <w:t>Export approved artefacts, remove credentials and shut down/reset</w:t>
            </w:r>
          </w:p>
        </w:tc>
        <w:tc>
          <w:tcPr>
            <w:tcW w:type="dxa" w:w="1944"/>
            <w:tcMar>
              <w:top w:w="100" w:type="dxa"/>
              <w:start w:w="120" w:type="dxa"/>
              <w:bottom w:w="100" w:type="dxa"/>
              <w:end w:w="120" w:type="dxa"/>
            </w:tcMar>
            <w:vAlign w:val="center"/>
          </w:tcPr>
          <w:p>
            <w:r>
              <w:rPr>
                <w:sz w:val="17"/>
              </w:rPr>
              <w:t>Service owner</w:t>
            </w:r>
          </w:p>
        </w:tc>
        <w:tc>
          <w:tcPr>
            <w:tcW w:type="dxa" w:w="1944"/>
            <w:tcMar>
              <w:top w:w="100" w:type="dxa"/>
              <w:start w:w="120" w:type="dxa"/>
              <w:bottom w:w="100" w:type="dxa"/>
              <w:end w:w="120" w:type="dxa"/>
            </w:tcMar>
            <w:vAlign w:val="center"/>
          </w:tcPr>
          <w:p>
            <w:r>
              <w:rPr>
                <w:sz w:val="17"/>
              </w:rPr>
              <w:t>Closure checklist.</w:t>
            </w:r>
          </w:p>
        </w:tc>
      </w:tr>
    </w:tbl>
    <w:p/>
    <w:p>
      <w:pPr>
        <w:pStyle w:val="Heading1"/>
      </w:pPr>
      <w:r>
        <w:t>10. Go/no-go decision gates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F4E79"/>
            <w:tcMar>
              <w:top w:w="100" w:type="dxa"/>
              <w:start w:w="120" w:type="dxa"/>
              <w:bottom w:w="100" w:type="dxa"/>
              <w:end w:w="120" w:type="dxa"/>
            </w:tcMar>
            <w:vAlign w:val="center"/>
          </w:tcPr>
          <w:p>
            <w:r>
              <w:rPr>
                <w:b/>
                <w:color w:val="FFFFFF"/>
                <w:sz w:val="18"/>
              </w:rPr>
              <w:t>Gate</w:t>
            </w:r>
          </w:p>
        </w:tc>
        <w:tc>
          <w:tcPr>
            <w:tcW w:type="dxa" w:w="3312"/>
            <w:shd w:fill="1F4E79"/>
            <w:tcMar>
              <w:top w:w="100" w:type="dxa"/>
              <w:start w:w="120" w:type="dxa"/>
              <w:bottom w:w="100" w:type="dxa"/>
              <w:end w:w="120" w:type="dxa"/>
            </w:tcMar>
            <w:vAlign w:val="center"/>
          </w:tcPr>
          <w:p>
            <w:r>
              <w:rPr>
                <w:b/>
                <w:color w:val="FFFFFF"/>
                <w:sz w:val="18"/>
              </w:rPr>
              <w:t>Go criterion</w:t>
            </w:r>
          </w:p>
        </w:tc>
        <w:tc>
          <w:tcPr>
            <w:tcW w:type="dxa" w:w="3312"/>
            <w:shd w:fill="1F4E79"/>
            <w:tcMar>
              <w:top w:w="100" w:type="dxa"/>
              <w:start w:w="120" w:type="dxa"/>
              <w:bottom w:w="100" w:type="dxa"/>
              <w:end w:w="120" w:type="dxa"/>
            </w:tcMar>
            <w:vAlign w:val="center"/>
          </w:tcPr>
          <w:p>
            <w:r>
              <w:rPr>
                <w:b/>
                <w:color w:val="FFFFFF"/>
                <w:sz w:val="18"/>
              </w:rPr>
              <w:t>If not met</w:t>
            </w:r>
          </w:p>
        </w:tc>
      </w:tr>
      <w:tr>
        <w:tc>
          <w:tcPr>
            <w:tcW w:type="dxa" w:w="1872"/>
            <w:tcMar>
              <w:top w:w="100" w:type="dxa"/>
              <w:start w:w="120" w:type="dxa"/>
              <w:bottom w:w="100" w:type="dxa"/>
              <w:end w:w="120" w:type="dxa"/>
            </w:tcMar>
            <w:vAlign w:val="center"/>
          </w:tcPr>
          <w:p>
            <w:r>
              <w:rPr>
                <w:sz w:val="17"/>
              </w:rPr>
              <w:t>G1 Hosted environment</w:t>
            </w:r>
          </w:p>
        </w:tc>
        <w:tc>
          <w:tcPr>
            <w:tcW w:type="dxa" w:w="4536"/>
            <w:tcMar>
              <w:top w:w="100" w:type="dxa"/>
              <w:start w:w="120" w:type="dxa"/>
              <w:bottom w:w="100" w:type="dxa"/>
              <w:end w:w="120" w:type="dxa"/>
            </w:tcMar>
            <w:vAlign w:val="center"/>
          </w:tcPr>
          <w:p>
            <w:r>
              <w:rPr>
                <w:sz w:val="17"/>
              </w:rPr>
              <w:t>Reproducible deployment; endpoints and dependencies healthy</w:t>
            </w:r>
          </w:p>
        </w:tc>
        <w:tc>
          <w:tcPr>
            <w:tcW w:type="dxa" w:w="2952"/>
            <w:tcMar>
              <w:top w:w="100" w:type="dxa"/>
              <w:start w:w="120" w:type="dxa"/>
              <w:bottom w:w="100" w:type="dxa"/>
              <w:end w:w="120" w:type="dxa"/>
            </w:tcMar>
            <w:vAlign w:val="center"/>
          </w:tcPr>
          <w:p>
            <w:r>
              <w:rPr>
                <w:sz w:val="17"/>
              </w:rPr>
              <w:t>Simplify service set or use existing proven environment.</w:t>
            </w:r>
          </w:p>
        </w:tc>
      </w:tr>
      <w:tr>
        <w:tc>
          <w:tcPr>
            <w:tcW w:type="dxa" w:w="1872"/>
            <w:tcMar>
              <w:top w:w="100" w:type="dxa"/>
              <w:start w:w="120" w:type="dxa"/>
              <w:bottom w:w="100" w:type="dxa"/>
              <w:end w:w="120" w:type="dxa"/>
            </w:tcMar>
            <w:vAlign w:val="center"/>
            <w:shd w:fill="EAF2F8"/>
          </w:tcPr>
          <w:p>
            <w:r>
              <w:rPr>
                <w:sz w:val="17"/>
              </w:rPr>
              <w:t>G2 QH network</w:t>
            </w:r>
          </w:p>
        </w:tc>
        <w:tc>
          <w:tcPr>
            <w:tcW w:type="dxa" w:w="4536"/>
            <w:tcMar>
              <w:top w:w="100" w:type="dxa"/>
              <w:start w:w="120" w:type="dxa"/>
              <w:bottom w:w="100" w:type="dxa"/>
              <w:end w:w="120" w:type="dxa"/>
            </w:tcMar>
            <w:vAlign w:val="center"/>
            <w:shd w:fill="EAF2F8"/>
          </w:tcPr>
          <w:p>
            <w:r>
              <w:rPr>
                <w:sz w:val="17"/>
              </w:rPr>
              <w:t>Representative laptop passes DNS/TLS/GET/POST/PUT/browser tests on event network</w:t>
            </w:r>
          </w:p>
        </w:tc>
        <w:tc>
          <w:tcPr>
            <w:tcW w:type="dxa" w:w="2952"/>
            <w:tcMar>
              <w:top w:w="100" w:type="dxa"/>
              <w:start w:w="120" w:type="dxa"/>
              <w:bottom w:w="100" w:type="dxa"/>
              <w:end w:w="120" w:type="dxa"/>
            </w:tcMar>
            <w:vAlign w:val="center"/>
            <w:shd w:fill="EAF2F8"/>
          </w:tcPr>
          <w:p>
            <w:r>
              <w:rPr>
                <w:sz w:val="17"/>
              </w:rPr>
              <w:t>Arrange allow-listing, alternate network or host internally.</w:t>
            </w:r>
          </w:p>
        </w:tc>
      </w:tr>
      <w:tr>
        <w:tc>
          <w:tcPr>
            <w:tcW w:type="dxa" w:w="1872"/>
            <w:tcMar>
              <w:top w:w="100" w:type="dxa"/>
              <w:start w:w="120" w:type="dxa"/>
              <w:bottom w:w="100" w:type="dxa"/>
              <w:end w:w="120" w:type="dxa"/>
            </w:tcMar>
            <w:vAlign w:val="center"/>
          </w:tcPr>
          <w:p>
            <w:r>
              <w:rPr>
                <w:sz w:val="17"/>
              </w:rPr>
              <w:t>G3 Core participant path</w:t>
            </w:r>
          </w:p>
        </w:tc>
        <w:tc>
          <w:tcPr>
            <w:tcW w:type="dxa" w:w="4536"/>
            <w:tcMar>
              <w:top w:w="100" w:type="dxa"/>
              <w:start w:w="120" w:type="dxa"/>
              <w:bottom w:w="100" w:type="dxa"/>
              <w:end w:w="120" w:type="dxa"/>
            </w:tcMar>
            <w:vAlign w:val="center"/>
          </w:tcPr>
          <w:p>
            <w:r>
              <w:rPr>
                <w:sz w:val="17"/>
              </w:rPr>
              <w:t>All core exercises work in browser without installation</w:t>
            </w:r>
          </w:p>
        </w:tc>
        <w:tc>
          <w:tcPr>
            <w:tcW w:type="dxa" w:w="2952"/>
            <w:tcMar>
              <w:top w:w="100" w:type="dxa"/>
              <w:start w:w="120" w:type="dxa"/>
              <w:bottom w:w="100" w:type="dxa"/>
              <w:end w:w="120" w:type="dxa"/>
            </w:tcMar>
            <w:vAlign w:val="center"/>
          </w:tcPr>
          <w:p>
            <w:r>
              <w:rPr>
                <w:sz w:val="17"/>
              </w:rPr>
              <w:t>Redesign exercises; do not rely on developer tooling.</w:t>
            </w:r>
          </w:p>
        </w:tc>
      </w:tr>
      <w:tr>
        <w:tc>
          <w:tcPr>
            <w:tcW w:type="dxa" w:w="1872"/>
            <w:tcMar>
              <w:top w:w="100" w:type="dxa"/>
              <w:start w:w="120" w:type="dxa"/>
              <w:bottom w:w="100" w:type="dxa"/>
              <w:end w:w="120" w:type="dxa"/>
            </w:tcMar>
            <w:vAlign w:val="center"/>
            <w:shd w:fill="EAF2F8"/>
          </w:tcPr>
          <w:p>
            <w:r>
              <w:rPr>
                <w:sz w:val="17"/>
              </w:rPr>
              <w:t>G4 Developer extension</w:t>
            </w:r>
          </w:p>
        </w:tc>
        <w:tc>
          <w:tcPr>
            <w:tcW w:type="dxa" w:w="4536"/>
            <w:tcMar>
              <w:top w:w="100" w:type="dxa"/>
              <w:start w:w="120" w:type="dxa"/>
              <w:bottom w:w="100" w:type="dxa"/>
              <w:end w:w="120" w:type="dxa"/>
            </w:tcMar>
            <w:vAlign w:val="center"/>
            <w:shd w:fill="EAF2F8"/>
          </w:tcPr>
          <w:p>
            <w:r>
              <w:rPr>
                <w:sz w:val="17"/>
              </w:rPr>
              <w:t>Named developer devices have confirmed approved toolchains</w:t>
            </w:r>
          </w:p>
        </w:tc>
        <w:tc>
          <w:tcPr>
            <w:tcW w:type="dxa" w:w="2952"/>
            <w:tcMar>
              <w:top w:w="100" w:type="dxa"/>
              <w:start w:w="120" w:type="dxa"/>
              <w:bottom w:w="100" w:type="dxa"/>
              <w:end w:w="120" w:type="dxa"/>
            </w:tcMar>
            <w:vAlign w:val="center"/>
            <w:shd w:fill="EAF2F8"/>
          </w:tcPr>
          <w:p>
            <w:r>
              <w:rPr>
                <w:sz w:val="17"/>
              </w:rPr>
              <w:t>Limit extension work to organiser-managed environment.</w:t>
            </w:r>
          </w:p>
        </w:tc>
      </w:tr>
      <w:tr>
        <w:tc>
          <w:tcPr>
            <w:tcW w:type="dxa" w:w="1872"/>
            <w:tcMar>
              <w:top w:w="100" w:type="dxa"/>
              <w:start w:w="120" w:type="dxa"/>
              <w:bottom w:w="100" w:type="dxa"/>
              <w:end w:w="120" w:type="dxa"/>
            </w:tcMar>
            <w:vAlign w:val="center"/>
          </w:tcPr>
          <w:p>
            <w:r>
              <w:rPr>
                <w:sz w:val="17"/>
              </w:rPr>
              <w:t>G5 Security/privacy</w:t>
            </w:r>
          </w:p>
        </w:tc>
        <w:tc>
          <w:tcPr>
            <w:tcW w:type="dxa" w:w="4536"/>
            <w:tcMar>
              <w:top w:w="100" w:type="dxa"/>
              <w:start w:w="120" w:type="dxa"/>
              <w:bottom w:w="100" w:type="dxa"/>
              <w:end w:w="120" w:type="dxa"/>
            </w:tcMar>
            <w:vAlign w:val="center"/>
          </w:tcPr>
          <w:p>
            <w:r>
              <w:rPr>
                <w:sz w:val="17"/>
              </w:rPr>
              <w:t>Synthetic data rule, access model, retention and owner approved</w:t>
            </w:r>
          </w:p>
        </w:tc>
        <w:tc>
          <w:tcPr>
            <w:tcW w:type="dxa" w:w="2952"/>
            <w:tcMar>
              <w:top w:w="100" w:type="dxa"/>
              <w:start w:w="120" w:type="dxa"/>
              <w:bottom w:w="100" w:type="dxa"/>
              <w:end w:w="120" w:type="dxa"/>
            </w:tcMar>
            <w:vAlign w:val="center"/>
          </w:tcPr>
          <w:p>
            <w:r>
              <w:rPr>
                <w:sz w:val="17"/>
              </w:rPr>
              <w:t>Do not open the service.</w:t>
            </w:r>
          </w:p>
        </w:tc>
      </w:tr>
      <w:tr>
        <w:tc>
          <w:tcPr>
            <w:tcW w:type="dxa" w:w="1872"/>
            <w:tcMar>
              <w:top w:w="100" w:type="dxa"/>
              <w:start w:w="120" w:type="dxa"/>
              <w:bottom w:w="100" w:type="dxa"/>
              <w:end w:w="120" w:type="dxa"/>
            </w:tcMar>
            <w:vAlign w:val="center"/>
            <w:shd w:fill="EAF2F8"/>
          </w:tcPr>
          <w:p>
            <w:r>
              <w:rPr>
                <w:sz w:val="17"/>
              </w:rPr>
              <w:t>G6 Reliability</w:t>
            </w:r>
          </w:p>
        </w:tc>
        <w:tc>
          <w:tcPr>
            <w:tcW w:type="dxa" w:w="4536"/>
            <w:tcMar>
              <w:top w:w="100" w:type="dxa"/>
              <w:start w:w="120" w:type="dxa"/>
              <w:bottom w:w="100" w:type="dxa"/>
              <w:end w:w="120" w:type="dxa"/>
            </w:tcMar>
            <w:vAlign w:val="center"/>
            <w:shd w:fill="EAF2F8"/>
          </w:tcPr>
          <w:p>
            <w:r>
              <w:rPr>
                <w:sz w:val="17"/>
              </w:rPr>
              <w:t>Load test, monitoring, reset and fallback demonstrated</w:t>
            </w:r>
          </w:p>
        </w:tc>
        <w:tc>
          <w:tcPr>
            <w:tcW w:type="dxa" w:w="2952"/>
            <w:tcMar>
              <w:top w:w="100" w:type="dxa"/>
              <w:start w:w="120" w:type="dxa"/>
              <w:bottom w:w="100" w:type="dxa"/>
              <w:end w:w="120" w:type="dxa"/>
            </w:tcMar>
            <w:vAlign w:val="center"/>
            <w:shd w:fill="EAF2F8"/>
          </w:tcPr>
          <w:p>
            <w:r>
              <w:rPr>
                <w:sz w:val="17"/>
              </w:rPr>
              <w:t>Reduce scope or postpone live dependency.</w:t>
            </w:r>
          </w:p>
        </w:tc>
      </w:tr>
    </w:tbl>
    <w:p/>
    <w:tbl>
      <w:tblPr>
        <w:tblW w:type="auto" w:w="0"/>
        <w:jc w:val="center"/>
        <w:tblLook w:firstColumn="1" w:firstRow="1" w:lastColumn="0" w:lastRow="0" w:noHBand="0" w:noVBand="1" w:val="04A0"/>
      </w:tblPr>
      <w:tblGrid>
        <w:gridCol w:w="9936"/>
      </w:tblGrid>
      <w:tr>
        <w:tc>
          <w:tcPr>
            <w:tcW w:type="dxa" w:w="9936"/>
            <w:shd w:fill="E2F0D9"/>
            <w:tcMar>
              <w:top w:w="160" w:type="dxa"/>
              <w:start w:w="180" w:type="dxa"/>
              <w:bottom w:w="160" w:type="dxa"/>
              <w:end w:w="180" w:type="dxa"/>
            </w:tcMar>
          </w:tcPr>
          <w:p>
            <w:r>
              <w:rPr>
                <w:b/>
                <w:color w:val="1F4E79"/>
                <w:sz w:val="22"/>
              </w:rPr>
              <w:t>Recommended decision</w:t>
              <w:br/>
            </w:r>
            <w:r>
              <w:t>Adopt a conditional-go posture now. Commit to the hosted, HTTPS-only, browser-first architecture, but do not declare readiness until G2 and G3 have been demonstrated on a representative Queensland Health laptop using the actual event network.</w:t>
            </w:r>
          </w:p>
        </w:tc>
      </w:tr>
    </w:tbl>
    <w:p/>
    <w:p>
      <w:pPr>
        <w:pStyle w:val="Heading1"/>
      </w:pPr>
      <w:r>
        <w:t>11. Questions requiring explicit confirmation</w:t>
      </w:r>
    </w:p>
    <w:p>
      <w:pPr>
        <w:pStyle w:val="ListBullet"/>
      </w:pPr>
      <w:r>
        <w:t>Which network will QH laptops use at the venue: corporate, guest, conference or another managed service?</w:t>
      </w:r>
    </w:p>
    <w:p>
      <w:pPr>
        <w:pStyle w:val="ListBullet"/>
      </w:pPr>
      <w:r>
        <w:t>Are arbitrary public HTTPS sites permitted, and is allow-listing required for new domains or cloud hosts?</w:t>
      </w:r>
    </w:p>
    <w:p>
      <w:pPr>
        <w:pStyle w:val="ListBullet"/>
      </w:pPr>
      <w:r>
        <w:t>Does TLS inspection affect API clients, WebSockets, certificate pinning or non-browser tools?</w:t>
      </w:r>
    </w:p>
    <w:p>
      <w:pPr>
        <w:pStyle w:val="ListBullet"/>
      </w:pPr>
      <w:r>
        <w:t>Which browsers and versions are deployed and supported?</w:t>
      </w:r>
    </w:p>
    <w:p>
      <w:pPr>
        <w:pStyle w:val="ListBullet"/>
      </w:pPr>
      <w:r>
        <w:t>Are Postman, VS Code, Git, curl/PowerShell, Node, Java, Python, Docker Desktop or WSL installed or installable?</w:t>
      </w:r>
    </w:p>
    <w:p>
      <w:pPr>
        <w:pStyle w:val="ListBullet"/>
      </w:pPr>
      <w:r>
        <w:t>Can participants use personally supplied devices or an alternate network if a managed device is blocked?</w:t>
      </w:r>
    </w:p>
    <w:p>
      <w:pPr>
        <w:pStyle w:val="ListBullet"/>
      </w:pPr>
      <w:r>
        <w:t>Are downloads, ZIP files, JSON files or executable scripts restricted?</w:t>
      </w:r>
    </w:p>
    <w:p>
      <w:pPr>
        <w:pStyle w:val="ListBullet"/>
      </w:pPr>
      <w:r>
        <w:t>Can OAuth/OIDC redirects, pop-ups and third-party identity endpoints be used?</w:t>
      </w:r>
    </w:p>
    <w:p>
      <w:pPr>
        <w:pStyle w:val="ListBullet"/>
      </w:pPr>
      <w:r>
        <w:t>Who can authorise network exceptions and who will be available during the event?</w:t>
      </w:r>
    </w:p>
    <w:p>
      <w:pPr>
        <w:pStyle w:val="ListBullet"/>
      </w:pPr>
      <w:r>
        <w:t>What concurrency and participant count should be used for the acceptance load test?</w:t>
      </w:r>
    </w:p>
    <w:p>
      <w:pPr>
        <w:pStyle w:val="Heading1"/>
      </w:pPr>
      <w:r>
        <w:t>12. Proposed minimum viable implementation</w:t>
      </w:r>
    </w:p>
    <w:p>
      <w:pPr>
        <w:pStyle w:val="ListBullet"/>
      </w:pPr>
      <w:r>
        <w:t>One public HTTPS domain with path-based routing to the launcher, status page, message receiver, FHIR API and log/diagnostic view.</w:t>
      </w:r>
    </w:p>
    <w:p>
      <w:pPr>
        <w:pStyle w:val="ListBullet"/>
      </w:pPr>
      <w:r>
        <w:t>One centrally operated container environment with reproducible configuration and separate persistent/ephemeral data controls.</w:t>
      </w:r>
    </w:p>
    <w:p>
      <w:pPr>
        <w:pStyle w:val="ListBullet"/>
      </w:pPr>
      <w:r>
        <w:t>A browser-based exercise that submits only synthetic data and shows each processing stage.</w:t>
      </w:r>
    </w:p>
    <w:p>
      <w:pPr>
        <w:pStyle w:val="ListBullet"/>
      </w:pPr>
      <w:r>
        <w:t>Optional direct API exercises for participants whose approved tools work.</w:t>
      </w:r>
    </w:p>
    <w:p>
      <w:pPr>
        <w:pStyle w:val="ListBullet"/>
      </w:pPr>
      <w:r>
        <w:t>Automated smoke tests and a scripted reset/reseed process.</w:t>
      </w:r>
    </w:p>
    <w:p>
      <w:pPr>
        <w:pStyle w:val="ListBullet"/>
      </w:pPr>
      <w:r>
        <w:t>A fallback endpoint or demonstrator mode that preserves the teaching flow if a dependency fails.</w:t>
      </w:r>
    </w:p>
    <w:p>
      <w:pPr>
        <w:pStyle w:val="Heading1"/>
      </w:pPr>
      <w:r>
        <w:t>13. Findings and limitations</w:t>
      </w:r>
    </w:p>
    <w:p>
      <w:r>
        <w:t>The evidence supports technical feasibility and provides precedent for external FHIR endpoints at the previous event. It does not establish the exact 2026 QH laptop build, installed applications, permitted request methods, venue network policy or allow-listing process. Those items must be verified empirically and with the relevant Queensland Health and venue contacts. This report intentionally separates verified facts from recommended engineering controls.</w:t>
      </w:r>
    </w:p>
    <w:p>
      <w:pPr>
        <w:pStyle w:val="Heading1"/>
      </w:pPr>
      <w:r>
        <w:t>Appendix A. Representative-device test record</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F4E79"/>
            <w:tcMar>
              <w:top w:w="100" w:type="dxa"/>
              <w:start w:w="120" w:type="dxa"/>
              <w:bottom w:w="100" w:type="dxa"/>
              <w:end w:w="120" w:type="dxa"/>
            </w:tcMar>
            <w:vAlign w:val="center"/>
          </w:tcPr>
          <w:p>
            <w:r>
              <w:rPr>
                <w:b/>
                <w:color w:val="FFFFFF"/>
                <w:sz w:val="18"/>
              </w:rPr>
              <w:t>Field</w:t>
            </w:r>
          </w:p>
        </w:tc>
        <w:tc>
          <w:tcPr>
            <w:tcW w:type="dxa" w:w="4968"/>
            <w:shd w:fill="1F4E79"/>
            <w:tcMar>
              <w:top w:w="100" w:type="dxa"/>
              <w:start w:w="120" w:type="dxa"/>
              <w:bottom w:w="100" w:type="dxa"/>
              <w:end w:w="120" w:type="dxa"/>
            </w:tcMar>
            <w:vAlign w:val="center"/>
          </w:tcPr>
          <w:p>
            <w:r>
              <w:rPr>
                <w:b/>
                <w:color w:val="FFFFFF"/>
                <w:sz w:val="18"/>
              </w:rPr>
              <w:t>Result / notes</w:t>
            </w:r>
          </w:p>
        </w:tc>
      </w:tr>
      <w:tr>
        <w:tc>
          <w:tcPr>
            <w:tcW w:type="dxa" w:w="2880"/>
            <w:tcMar>
              <w:top w:w="100" w:type="dxa"/>
              <w:start w:w="120" w:type="dxa"/>
              <w:bottom w:w="100" w:type="dxa"/>
              <w:end w:w="120" w:type="dxa"/>
            </w:tcMar>
            <w:vAlign w:val="center"/>
          </w:tcPr>
          <w:p>
            <w:r>
              <w:rPr>
                <w:sz w:val="17"/>
              </w:rPr>
              <w:t>Device asset/build</w:t>
            </w:r>
          </w:p>
        </w:tc>
        <w:tc>
          <w:tcPr>
            <w:tcW w:type="dxa" w:w="6480"/>
            <w:tcMar>
              <w:top w:w="100" w:type="dxa"/>
              <w:start w:w="120" w:type="dxa"/>
              <w:bottom w:w="100" w:type="dxa"/>
              <w:end w:w="120" w:type="dxa"/>
            </w:tcMar>
            <w:vAlign w:val="center"/>
          </w:tcPr>
          <w:p>
            <w:r>
              <w:rPr>
                <w:sz w:val="17"/>
              </w:rPr>
            </w:r>
          </w:p>
        </w:tc>
      </w:tr>
      <w:tr>
        <w:tc>
          <w:tcPr>
            <w:tcW w:type="dxa" w:w="2880"/>
            <w:tcMar>
              <w:top w:w="100" w:type="dxa"/>
              <w:start w:w="120" w:type="dxa"/>
              <w:bottom w:w="100" w:type="dxa"/>
              <w:end w:w="120" w:type="dxa"/>
            </w:tcMar>
            <w:vAlign w:val="center"/>
            <w:shd w:fill="EAF2F8"/>
          </w:tcPr>
          <w:p>
            <w:r>
              <w:rPr>
                <w:sz w:val="17"/>
              </w:rPr>
              <w:t>Operating system/version</w:t>
            </w:r>
          </w:p>
        </w:tc>
        <w:tc>
          <w:tcPr>
            <w:tcW w:type="dxa" w:w="6480"/>
            <w:tcMar>
              <w:top w:w="100" w:type="dxa"/>
              <w:start w:w="120" w:type="dxa"/>
              <w:bottom w:w="100" w:type="dxa"/>
              <w:end w:w="120" w:type="dxa"/>
            </w:tcMar>
            <w:vAlign w:val="center"/>
            <w:shd w:fill="EAF2F8"/>
          </w:tcPr>
          <w:p>
            <w:r>
              <w:rPr>
                <w:sz w:val="17"/>
              </w:rPr>
            </w:r>
          </w:p>
        </w:tc>
      </w:tr>
      <w:tr>
        <w:tc>
          <w:tcPr>
            <w:tcW w:type="dxa" w:w="2880"/>
            <w:tcMar>
              <w:top w:w="100" w:type="dxa"/>
              <w:start w:w="120" w:type="dxa"/>
              <w:bottom w:w="100" w:type="dxa"/>
              <w:end w:w="120" w:type="dxa"/>
            </w:tcMar>
            <w:vAlign w:val="center"/>
          </w:tcPr>
          <w:p>
            <w:r>
              <w:rPr>
                <w:sz w:val="17"/>
              </w:rPr>
              <w:t>Browser/version</w:t>
            </w:r>
          </w:p>
        </w:tc>
        <w:tc>
          <w:tcPr>
            <w:tcW w:type="dxa" w:w="6480"/>
            <w:tcMar>
              <w:top w:w="100" w:type="dxa"/>
              <w:start w:w="120" w:type="dxa"/>
              <w:bottom w:w="100" w:type="dxa"/>
              <w:end w:w="120" w:type="dxa"/>
            </w:tcMar>
            <w:vAlign w:val="center"/>
          </w:tcPr>
          <w:p>
            <w:r>
              <w:rPr>
                <w:sz w:val="17"/>
              </w:rPr>
            </w:r>
          </w:p>
        </w:tc>
      </w:tr>
      <w:tr>
        <w:tc>
          <w:tcPr>
            <w:tcW w:type="dxa" w:w="2880"/>
            <w:tcMar>
              <w:top w:w="100" w:type="dxa"/>
              <w:start w:w="120" w:type="dxa"/>
              <w:bottom w:w="100" w:type="dxa"/>
              <w:end w:w="120" w:type="dxa"/>
            </w:tcMar>
            <w:vAlign w:val="center"/>
            <w:shd w:fill="EAF2F8"/>
          </w:tcPr>
          <w:p>
            <w:r>
              <w:rPr>
                <w:sz w:val="17"/>
              </w:rPr>
              <w:t>Network/SSID/VLAN</w:t>
            </w:r>
          </w:p>
        </w:tc>
        <w:tc>
          <w:tcPr>
            <w:tcW w:type="dxa" w:w="6480"/>
            <w:tcMar>
              <w:top w:w="100" w:type="dxa"/>
              <w:start w:w="120" w:type="dxa"/>
              <w:bottom w:w="100" w:type="dxa"/>
              <w:end w:w="120" w:type="dxa"/>
            </w:tcMar>
            <w:vAlign w:val="center"/>
            <w:shd w:fill="EAF2F8"/>
          </w:tcPr>
          <w:p>
            <w:r>
              <w:rPr>
                <w:sz w:val="17"/>
              </w:rPr>
            </w:r>
          </w:p>
        </w:tc>
      </w:tr>
      <w:tr>
        <w:tc>
          <w:tcPr>
            <w:tcW w:type="dxa" w:w="2880"/>
            <w:tcMar>
              <w:top w:w="100" w:type="dxa"/>
              <w:start w:w="120" w:type="dxa"/>
              <w:bottom w:w="100" w:type="dxa"/>
              <w:end w:w="120" w:type="dxa"/>
            </w:tcMar>
            <w:vAlign w:val="center"/>
          </w:tcPr>
          <w:p>
            <w:r>
              <w:rPr>
                <w:sz w:val="17"/>
              </w:rPr>
              <w:t>Proxy/TLS inspection observed</w:t>
            </w:r>
          </w:p>
        </w:tc>
        <w:tc>
          <w:tcPr>
            <w:tcW w:type="dxa" w:w="6480"/>
            <w:tcMar>
              <w:top w:w="100" w:type="dxa"/>
              <w:start w:w="120" w:type="dxa"/>
              <w:bottom w:w="100" w:type="dxa"/>
              <w:end w:w="120" w:type="dxa"/>
            </w:tcMar>
            <w:vAlign w:val="center"/>
          </w:tcPr>
          <w:p>
            <w:r>
              <w:rPr>
                <w:sz w:val="17"/>
              </w:rPr>
            </w:r>
          </w:p>
        </w:tc>
      </w:tr>
      <w:tr>
        <w:tc>
          <w:tcPr>
            <w:tcW w:type="dxa" w:w="2880"/>
            <w:tcMar>
              <w:top w:w="100" w:type="dxa"/>
              <w:start w:w="120" w:type="dxa"/>
              <w:bottom w:w="100" w:type="dxa"/>
              <w:end w:w="120" w:type="dxa"/>
            </w:tcMar>
            <w:vAlign w:val="center"/>
            <w:shd w:fill="EAF2F8"/>
          </w:tcPr>
          <w:p>
            <w:r>
              <w:rPr>
                <w:sz w:val="17"/>
              </w:rPr>
              <w:t>DNS test</w:t>
            </w:r>
          </w:p>
        </w:tc>
        <w:tc>
          <w:tcPr>
            <w:tcW w:type="dxa" w:w="6480"/>
            <w:tcMar>
              <w:top w:w="100" w:type="dxa"/>
              <w:start w:w="120" w:type="dxa"/>
              <w:bottom w:w="100" w:type="dxa"/>
              <w:end w:w="120" w:type="dxa"/>
            </w:tcMar>
            <w:vAlign w:val="center"/>
            <w:shd w:fill="EAF2F8"/>
          </w:tcPr>
          <w:p>
            <w:r>
              <w:rPr>
                <w:sz w:val="17"/>
              </w:rPr>
            </w:r>
          </w:p>
        </w:tc>
      </w:tr>
      <w:tr>
        <w:tc>
          <w:tcPr>
            <w:tcW w:type="dxa" w:w="2880"/>
            <w:tcMar>
              <w:top w:w="100" w:type="dxa"/>
              <w:start w:w="120" w:type="dxa"/>
              <w:bottom w:w="100" w:type="dxa"/>
              <w:end w:w="120" w:type="dxa"/>
            </w:tcMar>
            <w:vAlign w:val="center"/>
          </w:tcPr>
          <w:p>
            <w:r>
              <w:rPr>
                <w:sz w:val="17"/>
              </w:rPr>
              <w:t>TLS trust test</w:t>
            </w:r>
          </w:p>
        </w:tc>
        <w:tc>
          <w:tcPr>
            <w:tcW w:type="dxa" w:w="6480"/>
            <w:tcMar>
              <w:top w:w="100" w:type="dxa"/>
              <w:start w:w="120" w:type="dxa"/>
              <w:bottom w:w="100" w:type="dxa"/>
              <w:end w:w="120" w:type="dxa"/>
            </w:tcMar>
            <w:vAlign w:val="center"/>
          </w:tcPr>
          <w:p>
            <w:r>
              <w:rPr>
                <w:sz w:val="17"/>
              </w:rPr>
            </w:r>
          </w:p>
        </w:tc>
      </w:tr>
      <w:tr>
        <w:tc>
          <w:tcPr>
            <w:tcW w:type="dxa" w:w="2880"/>
            <w:tcMar>
              <w:top w:w="100" w:type="dxa"/>
              <w:start w:w="120" w:type="dxa"/>
              <w:bottom w:w="100" w:type="dxa"/>
              <w:end w:w="120" w:type="dxa"/>
            </w:tcMar>
            <w:vAlign w:val="center"/>
            <w:shd w:fill="EAF2F8"/>
          </w:tcPr>
          <w:p>
            <w:r>
              <w:rPr>
                <w:sz w:val="17"/>
              </w:rPr>
              <w:t>GET test</w:t>
            </w:r>
          </w:p>
        </w:tc>
        <w:tc>
          <w:tcPr>
            <w:tcW w:type="dxa" w:w="6480"/>
            <w:tcMar>
              <w:top w:w="100" w:type="dxa"/>
              <w:start w:w="120" w:type="dxa"/>
              <w:bottom w:w="100" w:type="dxa"/>
              <w:end w:w="120" w:type="dxa"/>
            </w:tcMar>
            <w:vAlign w:val="center"/>
            <w:shd w:fill="EAF2F8"/>
          </w:tcPr>
          <w:p>
            <w:r>
              <w:rPr>
                <w:sz w:val="17"/>
              </w:rPr>
            </w:r>
          </w:p>
        </w:tc>
      </w:tr>
      <w:tr>
        <w:tc>
          <w:tcPr>
            <w:tcW w:type="dxa" w:w="2880"/>
            <w:tcMar>
              <w:top w:w="100" w:type="dxa"/>
              <w:start w:w="120" w:type="dxa"/>
              <w:bottom w:w="100" w:type="dxa"/>
              <w:end w:w="120" w:type="dxa"/>
            </w:tcMar>
            <w:vAlign w:val="center"/>
          </w:tcPr>
          <w:p>
            <w:r>
              <w:rPr>
                <w:sz w:val="17"/>
              </w:rPr>
              <w:t>POST/PUT test</w:t>
            </w:r>
          </w:p>
        </w:tc>
        <w:tc>
          <w:tcPr>
            <w:tcW w:type="dxa" w:w="6480"/>
            <w:tcMar>
              <w:top w:w="100" w:type="dxa"/>
              <w:start w:w="120" w:type="dxa"/>
              <w:bottom w:w="100" w:type="dxa"/>
              <w:end w:w="120" w:type="dxa"/>
            </w:tcMar>
            <w:vAlign w:val="center"/>
          </w:tcPr>
          <w:p>
            <w:r>
              <w:rPr>
                <w:sz w:val="17"/>
              </w:rPr>
            </w:r>
          </w:p>
        </w:tc>
      </w:tr>
      <w:tr>
        <w:tc>
          <w:tcPr>
            <w:tcW w:type="dxa" w:w="2880"/>
            <w:tcMar>
              <w:top w:w="100" w:type="dxa"/>
              <w:start w:w="120" w:type="dxa"/>
              <w:bottom w:w="100" w:type="dxa"/>
              <w:end w:w="120" w:type="dxa"/>
            </w:tcMar>
            <w:vAlign w:val="center"/>
            <w:shd w:fill="EAF2F8"/>
          </w:tcPr>
          <w:p>
            <w:r>
              <w:rPr>
                <w:sz w:val="17"/>
              </w:rPr>
              <w:t>CORS test</w:t>
            </w:r>
          </w:p>
        </w:tc>
        <w:tc>
          <w:tcPr>
            <w:tcW w:type="dxa" w:w="6480"/>
            <w:tcMar>
              <w:top w:w="100" w:type="dxa"/>
              <w:start w:w="120" w:type="dxa"/>
              <w:bottom w:w="100" w:type="dxa"/>
              <w:end w:w="120" w:type="dxa"/>
            </w:tcMar>
            <w:vAlign w:val="center"/>
            <w:shd w:fill="EAF2F8"/>
          </w:tcPr>
          <w:p>
            <w:r>
              <w:rPr>
                <w:sz w:val="17"/>
              </w:rPr>
            </w:r>
          </w:p>
        </w:tc>
      </w:tr>
      <w:tr>
        <w:tc>
          <w:tcPr>
            <w:tcW w:type="dxa" w:w="2880"/>
            <w:tcMar>
              <w:top w:w="100" w:type="dxa"/>
              <w:start w:w="120" w:type="dxa"/>
              <w:bottom w:w="100" w:type="dxa"/>
              <w:end w:w="120" w:type="dxa"/>
            </w:tcMar>
            <w:vAlign w:val="center"/>
          </w:tcPr>
          <w:p>
            <w:r>
              <w:rPr>
                <w:sz w:val="17"/>
              </w:rPr>
              <w:t>Authentication test</w:t>
            </w:r>
          </w:p>
        </w:tc>
        <w:tc>
          <w:tcPr>
            <w:tcW w:type="dxa" w:w="6480"/>
            <w:tcMar>
              <w:top w:w="100" w:type="dxa"/>
              <w:start w:w="120" w:type="dxa"/>
              <w:bottom w:w="100" w:type="dxa"/>
              <w:end w:w="120" w:type="dxa"/>
            </w:tcMar>
            <w:vAlign w:val="center"/>
          </w:tcPr>
          <w:p>
            <w:r>
              <w:rPr>
                <w:sz w:val="17"/>
              </w:rPr>
            </w:r>
          </w:p>
        </w:tc>
      </w:tr>
      <w:tr>
        <w:tc>
          <w:tcPr>
            <w:tcW w:type="dxa" w:w="2880"/>
            <w:tcMar>
              <w:top w:w="100" w:type="dxa"/>
              <w:start w:w="120" w:type="dxa"/>
              <w:bottom w:w="100" w:type="dxa"/>
              <w:end w:w="120" w:type="dxa"/>
            </w:tcMar>
            <w:vAlign w:val="center"/>
            <w:shd w:fill="EAF2F8"/>
          </w:tcPr>
          <w:p>
            <w:r>
              <w:rPr>
                <w:sz w:val="17"/>
              </w:rPr>
              <w:t>Optional Postman/curl test</w:t>
            </w:r>
          </w:p>
        </w:tc>
        <w:tc>
          <w:tcPr>
            <w:tcW w:type="dxa" w:w="6480"/>
            <w:tcMar>
              <w:top w:w="100" w:type="dxa"/>
              <w:start w:w="120" w:type="dxa"/>
              <w:bottom w:w="100" w:type="dxa"/>
              <w:end w:w="120" w:type="dxa"/>
            </w:tcMar>
            <w:vAlign w:val="center"/>
            <w:shd w:fill="EAF2F8"/>
          </w:tcPr>
          <w:p>
            <w:r>
              <w:rPr>
                <w:sz w:val="17"/>
              </w:rPr>
            </w:r>
          </w:p>
        </w:tc>
      </w:tr>
      <w:tr>
        <w:tc>
          <w:tcPr>
            <w:tcW w:type="dxa" w:w="2880"/>
            <w:tcMar>
              <w:top w:w="100" w:type="dxa"/>
              <w:start w:w="120" w:type="dxa"/>
              <w:bottom w:w="100" w:type="dxa"/>
              <w:end w:w="120" w:type="dxa"/>
            </w:tcMar>
            <w:vAlign w:val="center"/>
          </w:tcPr>
          <w:p>
            <w:r>
              <w:rPr>
                <w:sz w:val="17"/>
              </w:rPr>
              <w:t>WebSocket/SSE test</w:t>
            </w:r>
          </w:p>
        </w:tc>
        <w:tc>
          <w:tcPr>
            <w:tcW w:type="dxa" w:w="6480"/>
            <w:tcMar>
              <w:top w:w="100" w:type="dxa"/>
              <w:start w:w="120" w:type="dxa"/>
              <w:bottom w:w="100" w:type="dxa"/>
              <w:end w:w="120" w:type="dxa"/>
            </w:tcMar>
            <w:vAlign w:val="center"/>
          </w:tcPr>
          <w:p>
            <w:r>
              <w:rPr>
                <w:sz w:val="17"/>
              </w:rPr>
            </w:r>
          </w:p>
        </w:tc>
      </w:tr>
      <w:tr>
        <w:tc>
          <w:tcPr>
            <w:tcW w:type="dxa" w:w="2880"/>
            <w:tcMar>
              <w:top w:w="100" w:type="dxa"/>
              <w:start w:w="120" w:type="dxa"/>
              <w:bottom w:w="100" w:type="dxa"/>
              <w:end w:w="120" w:type="dxa"/>
            </w:tcMar>
            <w:vAlign w:val="center"/>
            <w:shd w:fill="EAF2F8"/>
          </w:tcPr>
          <w:p>
            <w:r>
              <w:rPr>
                <w:sz w:val="17"/>
              </w:rPr>
              <w:t>Downloads test</w:t>
            </w:r>
          </w:p>
        </w:tc>
        <w:tc>
          <w:tcPr>
            <w:tcW w:type="dxa" w:w="6480"/>
            <w:tcMar>
              <w:top w:w="100" w:type="dxa"/>
              <w:start w:w="120" w:type="dxa"/>
              <w:bottom w:w="100" w:type="dxa"/>
              <w:end w:w="120" w:type="dxa"/>
            </w:tcMar>
            <w:vAlign w:val="center"/>
            <w:shd w:fill="EAF2F8"/>
          </w:tcPr>
          <w:p>
            <w:r>
              <w:rPr>
                <w:sz w:val="17"/>
              </w:rPr>
            </w:r>
          </w:p>
        </w:tc>
      </w:tr>
      <w:tr>
        <w:tc>
          <w:tcPr>
            <w:tcW w:type="dxa" w:w="2880"/>
            <w:tcMar>
              <w:top w:w="100" w:type="dxa"/>
              <w:start w:w="120" w:type="dxa"/>
              <w:bottom w:w="100" w:type="dxa"/>
              <w:end w:w="120" w:type="dxa"/>
            </w:tcMar>
            <w:vAlign w:val="center"/>
          </w:tcPr>
          <w:p>
            <w:r>
              <w:rPr>
                <w:sz w:val="17"/>
              </w:rPr>
              <w:t>Tester/date/location</w:t>
            </w:r>
          </w:p>
        </w:tc>
        <w:tc>
          <w:tcPr>
            <w:tcW w:type="dxa" w:w="6480"/>
            <w:tcMar>
              <w:top w:w="100" w:type="dxa"/>
              <w:start w:w="120" w:type="dxa"/>
              <w:bottom w:w="100" w:type="dxa"/>
              <w:end w:w="120" w:type="dxa"/>
            </w:tcMar>
            <w:vAlign w:val="center"/>
          </w:tcPr>
          <w:p>
            <w:r>
              <w:rPr>
                <w:sz w:val="17"/>
              </w:rPr>
            </w:r>
          </w:p>
        </w:tc>
      </w:tr>
      <w:tr>
        <w:tc>
          <w:tcPr>
            <w:tcW w:type="dxa" w:w="2880"/>
            <w:tcMar>
              <w:top w:w="100" w:type="dxa"/>
              <w:start w:w="120" w:type="dxa"/>
              <w:bottom w:w="100" w:type="dxa"/>
              <w:end w:w="120" w:type="dxa"/>
            </w:tcMar>
            <w:vAlign w:val="center"/>
            <w:shd w:fill="EAF2F8"/>
          </w:tcPr>
          <w:p>
            <w:r>
              <w:rPr>
                <w:sz w:val="17"/>
              </w:rPr>
              <w:t>Overall result: PASS / CONDITIONAL / FAIL</w:t>
            </w:r>
          </w:p>
        </w:tc>
        <w:tc>
          <w:tcPr>
            <w:tcW w:type="dxa" w:w="6480"/>
            <w:tcMar>
              <w:top w:w="100" w:type="dxa"/>
              <w:start w:w="120" w:type="dxa"/>
              <w:bottom w:w="100" w:type="dxa"/>
              <w:end w:w="120" w:type="dxa"/>
            </w:tcMar>
            <w:vAlign w:val="center"/>
            <w:shd w:fill="EAF2F8"/>
          </w:tcPr>
          <w:p>
            <w:r>
              <w:rPr>
                <w:sz w:val="17"/>
              </w:rPr>
            </w:r>
          </w:p>
        </w:tc>
      </w:tr>
    </w:tbl>
    <w:p/>
    <w:p>
      <w:pPr>
        <w:pStyle w:val="Heading1"/>
      </w:pPr>
      <w:r>
        <w:t>Appendix B. Source register</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F4E79"/>
            <w:tcMar>
              <w:top w:w="100" w:type="dxa"/>
              <w:start w:w="120" w:type="dxa"/>
              <w:bottom w:w="100" w:type="dxa"/>
              <w:end w:w="120" w:type="dxa"/>
            </w:tcMar>
            <w:vAlign w:val="center"/>
          </w:tcPr>
          <w:p>
            <w:r>
              <w:rPr>
                <w:b/>
                <w:color w:val="FFFFFF"/>
                <w:sz w:val="18"/>
              </w:rPr>
              <w:t>Source</w:t>
            </w:r>
          </w:p>
        </w:tc>
        <w:tc>
          <w:tcPr>
            <w:tcW w:type="dxa" w:w="4968"/>
            <w:shd w:fill="1F4E79"/>
            <w:tcMar>
              <w:top w:w="100" w:type="dxa"/>
              <w:start w:w="120" w:type="dxa"/>
              <w:bottom w:w="100" w:type="dxa"/>
              <w:end w:w="120" w:type="dxa"/>
            </w:tcMar>
            <w:vAlign w:val="center"/>
          </w:tcPr>
          <w:p>
            <w:r>
              <w:rPr>
                <w:b/>
                <w:color w:val="FFFFFF"/>
                <w:sz w:val="18"/>
              </w:rPr>
              <w:t>Use in this report</w:t>
            </w:r>
          </w:p>
        </w:tc>
      </w:tr>
      <w:tr>
        <w:tc>
          <w:tcPr>
            <w:tcW w:type="dxa" w:w="3600"/>
            <w:tcMar>
              <w:top w:w="100" w:type="dxa"/>
              <w:start w:w="120" w:type="dxa"/>
              <w:bottom w:w="100" w:type="dxa"/>
              <w:end w:w="120" w:type="dxa"/>
            </w:tcMar>
            <w:vAlign w:val="center"/>
          </w:tcPr>
          <w:p>
            <w:r>
              <w:rPr>
                <w:sz w:val="17"/>
              </w:rPr>
              <w:t>Track 2 meeting summary and transcript, 22 September 2026</w:t>
            </w:r>
          </w:p>
        </w:tc>
        <w:tc>
          <w:tcPr>
            <w:tcW w:type="dxa" w:w="5760"/>
            <w:tcMar>
              <w:top w:w="100" w:type="dxa"/>
              <w:start w:w="120" w:type="dxa"/>
              <w:bottom w:w="100" w:type="dxa"/>
              <w:end w:w="120" w:type="dxa"/>
            </w:tcMar>
            <w:vAlign w:val="center"/>
          </w:tcPr>
          <w:p>
            <w:r>
              <w:rPr>
                <w:sz w:val="17"/>
              </w:rPr>
              <w:t>Track scope, hosted tutorial concept, audience, infrastructure risks and assigned actions.</w:t>
            </w:r>
          </w:p>
        </w:tc>
      </w:tr>
      <w:tr>
        <w:tc>
          <w:tcPr>
            <w:tcW w:type="dxa" w:w="3600"/>
            <w:tcMar>
              <w:top w:w="100" w:type="dxa"/>
              <w:start w:w="120" w:type="dxa"/>
              <w:bottom w:w="100" w:type="dxa"/>
              <w:end w:w="120" w:type="dxa"/>
            </w:tcMar>
            <w:vAlign w:val="center"/>
            <w:shd w:fill="EAF2F8"/>
          </w:tcPr>
          <w:p>
            <w:r>
              <w:rPr>
                <w:sz w:val="17"/>
              </w:rPr>
              <w:t>Connectathon planning discussions, September 2026</w:t>
            </w:r>
          </w:p>
        </w:tc>
        <w:tc>
          <w:tcPr>
            <w:tcW w:type="dxa" w:w="5760"/>
            <w:tcMar>
              <w:top w:w="100" w:type="dxa"/>
              <w:start w:w="120" w:type="dxa"/>
              <w:bottom w:w="100" w:type="dxa"/>
              <w:end w:w="120" w:type="dxa"/>
            </w:tcMar>
            <w:vAlign w:val="center"/>
            <w:shd w:fill="EAF2F8"/>
          </w:tcPr>
          <w:p>
            <w:r>
              <w:rPr>
                <w:sz w:val="17"/>
              </w:rPr>
              <w:t>Hosting challenge, network/software questions and 2026 planning context.</w:t>
            </w:r>
          </w:p>
        </w:tc>
      </w:tr>
      <w:tr>
        <w:tc>
          <w:tcPr>
            <w:tcW w:type="dxa" w:w="3600"/>
            <w:tcMar>
              <w:top w:w="100" w:type="dxa"/>
              <w:start w:w="120" w:type="dxa"/>
              <w:bottom w:w="100" w:type="dxa"/>
              <w:end w:w="120" w:type="dxa"/>
            </w:tcMar>
            <w:vAlign w:val="center"/>
          </w:tcPr>
          <w:p>
            <w:r>
              <w:rPr>
                <w:sz w:val="17"/>
              </w:rPr>
              <w:t>2025 FHIR in QH Connectathon programme and participant guide</w:t>
            </w:r>
          </w:p>
        </w:tc>
        <w:tc>
          <w:tcPr>
            <w:tcW w:type="dxa" w:w="5760"/>
            <w:tcMar>
              <w:top w:w="100" w:type="dxa"/>
              <w:start w:w="120" w:type="dxa"/>
              <w:bottom w:w="100" w:type="dxa"/>
              <w:end w:w="120" w:type="dxa"/>
            </w:tcMar>
            <w:vAlign w:val="center"/>
          </w:tcPr>
          <w:p>
            <w:r>
              <w:rPr>
                <w:sz w:val="17"/>
              </w:rPr>
              <w:t>Precedent for participant laptops, optional software and external open/secured FHIR endpoints.</w:t>
            </w:r>
          </w:p>
        </w:tc>
      </w:tr>
      <w:tr>
        <w:tc>
          <w:tcPr>
            <w:tcW w:type="dxa" w:w="3600"/>
            <w:tcMar>
              <w:top w:w="100" w:type="dxa"/>
              <w:start w:w="120" w:type="dxa"/>
              <w:bottom w:w="100" w:type="dxa"/>
              <w:end w:w="120" w:type="dxa"/>
            </w:tcMar>
            <w:vAlign w:val="center"/>
            <w:shd w:fill="EAF2F8"/>
          </w:tcPr>
          <w:p>
            <w:r>
              <w:rPr>
                <w:sz w:val="17"/>
              </w:rPr>
              <w:t>Queensland Health ICT policies page and Use of ICT services and devices policy</w:t>
            </w:r>
          </w:p>
        </w:tc>
        <w:tc>
          <w:tcPr>
            <w:tcW w:type="dxa" w:w="5760"/>
            <w:tcMar>
              <w:top w:w="100" w:type="dxa"/>
              <w:start w:w="120" w:type="dxa"/>
              <w:bottom w:w="100" w:type="dxa"/>
              <w:end w:w="120" w:type="dxa"/>
            </w:tcMar>
            <w:vAlign w:val="center"/>
            <w:shd w:fill="EAF2F8"/>
          </w:tcPr>
          <w:p>
            <w:r>
              <w:rPr>
                <w:sz w:val="17"/>
              </w:rPr>
              <w:t>Public policy context; detailed internal controls may require QH login.</w:t>
            </w:r>
          </w:p>
        </w:tc>
      </w:tr>
      <w:tr>
        <w:tc>
          <w:tcPr>
            <w:tcW w:type="dxa" w:w="3600"/>
            <w:tcMar>
              <w:top w:w="100" w:type="dxa"/>
              <w:start w:w="120" w:type="dxa"/>
              <w:bottom w:w="100" w:type="dxa"/>
              <w:end w:w="120" w:type="dxa"/>
            </w:tcMar>
            <w:vAlign w:val="center"/>
          </w:tcPr>
          <w:p>
            <w:r>
              <w:rPr>
                <w:sz w:val="17"/>
              </w:rPr>
              <w:t>Queensland Government Information and cyber security policy (IS18)</w:t>
            </w:r>
          </w:p>
        </w:tc>
        <w:tc>
          <w:tcPr>
            <w:tcW w:type="dxa" w:w="5760"/>
            <w:tcMar>
              <w:top w:w="100" w:type="dxa"/>
              <w:start w:w="120" w:type="dxa"/>
              <w:bottom w:w="100" w:type="dxa"/>
              <w:end w:w="120" w:type="dxa"/>
            </w:tcMar>
            <w:vAlign w:val="center"/>
          </w:tcPr>
          <w:p>
            <w:r>
              <w:rPr>
                <w:sz w:val="17"/>
              </w:rPr>
              <w:t>Risk-based security, ISMS and minimum control context.</w:t>
            </w:r>
          </w:p>
        </w:tc>
      </w:tr>
      <w:tr>
        <w:tc>
          <w:tcPr>
            <w:tcW w:type="dxa" w:w="3600"/>
            <w:tcMar>
              <w:top w:w="100" w:type="dxa"/>
              <w:start w:w="120" w:type="dxa"/>
              <w:bottom w:w="100" w:type="dxa"/>
              <w:end w:w="120" w:type="dxa"/>
            </w:tcMar>
            <w:vAlign w:val="center"/>
            <w:shd w:fill="EAF2F8"/>
          </w:tcPr>
          <w:p>
            <w:r>
              <w:rPr>
                <w:sz w:val="17"/>
              </w:rPr>
              <w:t>Queensland Health BYOD self-managed service standard</w:t>
            </w:r>
          </w:p>
        </w:tc>
        <w:tc>
          <w:tcPr>
            <w:tcW w:type="dxa" w:w="5760"/>
            <w:tcMar>
              <w:top w:w="100" w:type="dxa"/>
              <w:start w:w="120" w:type="dxa"/>
              <w:bottom w:w="100" w:type="dxa"/>
              <w:end w:w="120" w:type="dxa"/>
            </w:tcMar>
            <w:vAlign w:val="center"/>
            <w:shd w:fill="EAF2F8"/>
          </w:tcPr>
          <w:p>
            <w:r>
              <w:rPr>
                <w:sz w:val="17"/>
              </w:rPr>
              <w:t>Evidence that QH-managed access is controlled and risk-assessed; primarily mobile BYOD scope.</w:t>
            </w:r>
          </w:p>
        </w:tc>
      </w:tr>
      <w:tr>
        <w:tc>
          <w:tcPr>
            <w:tcW w:type="dxa" w:w="3600"/>
            <w:tcMar>
              <w:top w:w="100" w:type="dxa"/>
              <w:start w:w="120" w:type="dxa"/>
              <w:bottom w:w="100" w:type="dxa"/>
              <w:end w:w="120" w:type="dxa"/>
            </w:tcMar>
            <w:vAlign w:val="center"/>
          </w:tcPr>
          <w:p>
            <w:r>
              <w:rPr>
                <w:sz w:val="17"/>
              </w:rPr>
              <w:t>Internal FHIRLab Connectathon operational records</w:t>
            </w:r>
          </w:p>
        </w:tc>
        <w:tc>
          <w:tcPr>
            <w:tcW w:type="dxa" w:w="5760"/>
            <w:tcMar>
              <w:top w:w="100" w:type="dxa"/>
              <w:start w:w="120" w:type="dxa"/>
              <w:bottom w:w="100" w:type="dxa"/>
              <w:end w:w="120" w:type="dxa"/>
            </w:tcMar>
            <w:vAlign w:val="center"/>
          </w:tcPr>
          <w:p>
            <w:r>
              <w:rPr>
                <w:sz w:val="17"/>
              </w:rPr>
              <w:t>Hosting patterns, terminology dependency risks, automated testing and cost/availability lessons.</w:t>
            </w:r>
          </w:p>
        </w:tc>
      </w:tr>
    </w:tbl>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OFFICIAL  |  EFIQ Connectathon 2026 – Track 2  |  External Service Access Investigation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3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36D239A844E24F82D3DFAA4E4B84F7" ma:contentTypeVersion="11" ma:contentTypeDescription="Create a new document." ma:contentTypeScope="" ma:versionID="874abd6c3c92a427c960cd81870ef81e">
  <xsd:schema xmlns:xsd="http://www.w3.org/2001/XMLSchema" xmlns:xs="http://www.w3.org/2001/XMLSchema" xmlns:p="http://schemas.microsoft.com/office/2006/metadata/properties" xmlns:ns2="a2a24ffb-06bf-4ae6-ba1a-ea9ecec872e0" xmlns:ns3="e2210e3f-7956-40cc-a973-a1ff8ad66cf1" targetNamespace="http://schemas.microsoft.com/office/2006/metadata/properties" ma:root="true" ma:fieldsID="b0b641156273ab8021046156e5f9dff5" ns2:_="" ns3:_="">
    <xsd:import namespace="a2a24ffb-06bf-4ae6-ba1a-ea9ecec872e0"/>
    <xsd:import namespace="e2210e3f-7956-40cc-a973-a1ff8ad66cf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a24ffb-06bf-4ae6-ba1a-ea9ecec872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513c6f-d7d3-4bba-9430-ae338114780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210e3f-7956-40cc-a973-a1ff8ad66cf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d7aab8b-8038-45e9-9148-5a87d037abea}" ma:internalName="TaxCatchAll" ma:showField="CatchAllData" ma:web="e2210e3f-7956-40cc-a973-a1ff8ad66c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2a24ffb-06bf-4ae6-ba1a-ea9ecec872e0">
      <Terms xmlns="http://schemas.microsoft.com/office/infopath/2007/PartnerControls"/>
    </lcf76f155ced4ddcb4097134ff3c332f>
    <TaxCatchAll xmlns="e2210e3f-7956-40cc-a973-a1ff8ad66cf1"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228153C-56BE-4513-A9D4-54DFB970DB97}"/>
</file>

<file path=customXml/itemProps3.xml><?xml version="1.0" encoding="utf-8"?>
<ds:datastoreItem xmlns:ds="http://schemas.openxmlformats.org/officeDocument/2006/customXml" ds:itemID="{E6D254A7-68C9-43D7-BDE7-89B23F66F667}"/>
</file>

<file path=customXml/itemProps4.xml><?xml version="1.0" encoding="utf-8"?>
<ds:datastoreItem xmlns:ds="http://schemas.openxmlformats.org/officeDocument/2006/customXml" ds:itemID="{5B4402C7-0279-46FE-8311-377FF427002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EFIQ Connectathon 2026 Track 2 External Service Access Investigation</dc:title>
  <dc:subject>Hosting, network and participant device readiness</dc:subject>
  <dc:creator>Suess, Joern Guy (Biosecurity, Herston)</dc:creator>
  <cp:keywords/>
  <dc:description>generated by python-docx</dc:description>
  <cp:lastModifiedBy>Suess, Joern Guy (Biosecurity, Herston)</cp:lastModifiedBy>
  <cp:revision>1</cp:revision>
  <dcterms:created xsi:type="dcterms:W3CDTF">2026-09-22T04:32:44Z</dcterms:created>
  <dcterms:modified xsi:type="dcterms:W3CDTF">2026-09-22T04:32:44Z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ad370f1-5840-4c36-bb65-89acaaf849ca_Enabled">
    <vt:lpwstr>true</vt:lpwstr>
  </property>
  <property fmtid="{D5CDD505-2E9C-101B-9397-08002B2CF9AE}" pid="3" name="MSIP_Label_0ad370f1-5840-4c36-bb65-89acaaf849ca_SetDate">
    <vt:lpwstr>2026-09-22T04:32:44Z</vt:lpwstr>
  </property>
  <property fmtid="{D5CDD505-2E9C-101B-9397-08002B2CF9AE}" pid="4" name="MSIP_Label_0ad370f1-5840-4c36-bb65-89acaaf849ca_Method">
    <vt:lpwstr>Standard</vt:lpwstr>
  </property>
  <property fmtid="{D5CDD505-2E9C-101B-9397-08002B2CF9AE}" pid="5" name="MSIP_Label_0ad370f1-5840-4c36-bb65-89acaaf849ca_Name">
    <vt:lpwstr>OFFICIAL</vt:lpwstr>
  </property>
  <property fmtid="{D5CDD505-2E9C-101B-9397-08002B2CF9AE}" pid="6" name="MSIP_Label_0ad370f1-5840-4c36-bb65-89acaaf849ca_SiteId">
    <vt:lpwstr>0fe05593-19ac-4f98-adbf-0375fce7f160</vt:lpwstr>
  </property>
  <property fmtid="{D5CDD505-2E9C-101B-9397-08002B2CF9AE}" pid="7" name="MSIP_Label_0ad370f1-5840-4c36-bb65-89acaaf849ca_ActionId">
    <vt:lpwstr>20ed1774-6ee0-4e6e-b164-367eda20640b</vt:lpwstr>
  </property>
  <property fmtid="{D5CDD505-2E9C-101B-9397-08002B2CF9AE}" pid="8" name="MSIP_Label_0ad370f1-5840-4c36-bb65-89acaaf849ca_ContentBits">
    <vt:lpwstr>0</vt:lpwstr>
  </property>
  <property fmtid="{D5CDD505-2E9C-101B-9397-08002B2CF9AE}" pid="9" name="ContentTypeId">
    <vt:lpwstr>0x010100A836D239A844E24F82D3DFAA4E4B84F7</vt:lpwstr>
  </property>
</Properties>
</file>