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r>
        <w:rPr>
          <w:rFonts w:ascii="Calibri" w:hAnsi="Calibri"/>
          <w:b/>
          <w:color w:val="2E74B5"/>
          <w:sz w:val="22"/>
        </w:rPr>
        <w:t>METHODOLOGICAL NOTE</w:t>
      </w:r>
    </w:p>
    <w:p>
      <w:pPr>
        <w:spacing w:after="160"/>
      </w:pPr>
      <w:r>
        <w:rPr>
          <w:rFonts w:ascii="Calibri" w:hAnsi="Calibri"/>
          <w:b/>
          <w:color w:val="1F4E78"/>
          <w:sz w:val="50"/>
        </w:rPr>
        <w:t>Moldova Functional Economic Geography Maps</w:t>
      </w:r>
    </w:p>
    <w:p>
      <w:pPr>
        <w:spacing w:after="480"/>
      </w:pPr>
      <w:r>
        <w:rPr>
          <w:rFonts w:ascii="Calibri" w:hAnsi="Calibri"/>
          <w:color w:val="667085"/>
          <w:sz w:val="26"/>
        </w:rPr>
        <w:t>Logic, data sources, modelling approach and limitations</w:t>
      </w:r>
    </w:p>
    <w:p>
      <w:pPr>
        <w:spacing w:after="360"/>
        <w:shd w:fill="EEF4F8"/>
        <w:pBdr>
          <w:left w:val="single" w:sz="18" w:color="2E74B5"/>
        </w:pBdr>
      </w:pPr>
      <w:r>
        <w:rPr>
          <w:rFonts w:ascii="Calibri" w:hAnsi="Calibri"/>
          <w:b/>
          <w:color w:val="1F4E78"/>
          <w:sz w:val="22"/>
        </w:rPr>
        <w:t>Analytical status: exploratory working model. The proposed boundaries represent accessibility-based inference, not measured labour markets or observed commuting zones.</w:t>
      </w:r>
    </w:p>
    <w:p>
      <w:pPr>
        <w:spacing w:after="80"/>
      </w:pPr>
      <w:r>
        <w:rPr>
          <w:rFonts w:ascii="Calibri" w:hAnsi="Calibri"/>
          <w:b/>
          <w:color w:val="1F4E78"/>
          <w:sz w:val="20"/>
        </w:rPr>
        <w:t xml:space="preserve">Preferred scenario: </w:t>
      </w:r>
      <w:r>
        <w:rPr>
          <w:rFonts w:ascii="Calibri" w:hAnsi="Calibri"/>
          <w:color w:val="1F2937"/>
          <w:sz w:val="20"/>
        </w:rPr>
        <w:t>Right-bank / government-administered territory</w:t>
      </w:r>
    </w:p>
    <w:p>
      <w:pPr>
        <w:spacing w:after="80"/>
      </w:pPr>
      <w:r>
        <w:rPr>
          <w:rFonts w:ascii="Calibri" w:hAnsi="Calibri"/>
          <w:b/>
          <w:color w:val="1F4E78"/>
          <w:sz w:val="20"/>
        </w:rPr>
        <w:t xml:space="preserve">Population reference: </w:t>
      </w:r>
      <w:r>
        <w:rPr>
          <w:rFonts w:ascii="Calibri" w:hAnsi="Calibri"/>
          <w:color w:val="1F2937"/>
          <w:sz w:val="20"/>
        </w:rPr>
        <w:t>2024 Population and Housing Census</w:t>
      </w:r>
    </w:p>
    <w:p>
      <w:pPr>
        <w:spacing w:after="80"/>
      </w:pPr>
      <w:r>
        <w:rPr>
          <w:rFonts w:ascii="Calibri" w:hAnsi="Calibri"/>
          <w:b/>
          <w:color w:val="1F4E78"/>
          <w:sz w:val="20"/>
        </w:rPr>
        <w:t xml:space="preserve">Accessibility reference: </w:t>
      </w:r>
      <w:r>
        <w:rPr>
          <w:rFonts w:ascii="Calibri" w:hAnsi="Calibri"/>
          <w:color w:val="1F2937"/>
          <w:sz w:val="20"/>
        </w:rPr>
        <w:t>OpenStreetMap roads and services, 4 August 2026 snapshot</w:t>
      </w:r>
    </w:p>
    <w:p>
      <w:pPr>
        <w:spacing w:after="80"/>
      </w:pPr>
      <w:r>
        <w:rPr>
          <w:rFonts w:ascii="Calibri" w:hAnsi="Calibri"/>
          <w:b/>
          <w:color w:val="1F4E78"/>
          <w:sz w:val="20"/>
        </w:rPr>
        <w:t xml:space="preserve">Urban-core reference: </w:t>
      </w:r>
      <w:r>
        <w:rPr>
          <w:rFonts w:ascii="Calibri" w:hAnsi="Calibri"/>
          <w:color w:val="1F2937"/>
          <w:sz w:val="20"/>
        </w:rPr>
        <w:t>GHSL Urban Centre Database R2024A V1.2</w:t>
      </w:r>
    </w:p>
    <w:p>
      <w:pPr>
        <w:spacing w:before="800"/>
      </w:pPr>
      <w:r>
        <w:rPr>
          <w:rFonts w:ascii="Calibri" w:hAnsi="Calibri"/>
          <w:i/>
          <w:color w:val="667085"/>
          <w:sz w:val="20"/>
        </w:rPr>
        <w:t>Working draft | August 2026</w:t>
      </w:r>
    </w:p>
    <w:p>
      <w:r>
        <w:br w:type="page"/>
      </w:r>
    </w:p>
    <w:p>
      <w:pPr>
        <w:pStyle w:val="Heading1"/>
      </w:pPr>
      <w:r>
        <w:t>Purpose</w:t>
      </w:r>
    </w:p>
    <w:p>
      <w:r>
        <w:rPr>
          <w:rFonts w:ascii="Calibri" w:hAnsi="Calibri"/>
          <w:color w:val="1F2937"/>
          <w:sz w:val="22"/>
        </w:rPr>
        <w:t>The maps provide a first working interpretation of Moldova’s functional economic geography using locality-level population, urban-centre, road-accessibility, and service-location data. They are intended to show plausible metropolitan, micro-regional, and larger economic catchments that do not simply reproduce raion boundaries.</w:t>
      </w:r>
    </w:p>
    <w:p>
      <w:r>
        <w:rPr>
          <w:rFonts w:ascii="Calibri" w:hAnsi="Calibri"/>
          <w:color w:val="1F2937"/>
          <w:sz w:val="22"/>
        </w:rPr>
        <w:t>The preferred map covers the right-bank/government-administered territory. It does not assume functional integration with the Transnistrian administrative unit or Bender because no observed commuting or economic-flow data were available to demonstrate such integration.</w:t>
      </w:r>
    </w:p>
    <w:p>
      <w:pPr>
        <w:pStyle w:val="Heading1"/>
      </w:pPr>
      <w:r>
        <w:t>Data used</w:t>
      </w:r>
    </w:p>
    <w:p>
      <w:pPr>
        <w:pStyle w:val="ListNumber"/>
        <w:numPr>
          <w:ilvl w:val="0"/>
          <w:numId w:val="10"/>
        </w:numPr>
      </w:pPr>
      <w:r>
        <w:rPr>
          <w:rFonts w:ascii="Calibri" w:hAnsi="Calibri"/>
          <w:b/>
          <w:color w:val="1F2937"/>
          <w:sz w:val="22"/>
        </w:rPr>
        <w:t>2024 Population and Housing Census</w:t>
      </w:r>
      <w:r>
        <w:rPr>
          <w:rFonts w:ascii="Calibri" w:hAnsi="Calibri"/>
          <w:color w:val="1F2937"/>
          <w:sz w:val="22"/>
        </w:rPr>
        <w:t xml:space="preserve"> — National Bureau of Statistics of Moldova. The final locality tables provide usual-resident population and CUATM codes for cities, communes, and localities. The census did not cover 157 localities outside the effective control of the constitutional authorities.</w:t>
      </w:r>
    </w:p>
    <w:p>
      <w:pPr>
        <w:spacing w:after="160"/>
        <w:ind w:left="360"/>
      </w:pPr>
      <w:r>
        <w:rPr>
          <w:rFonts w:ascii="Calibri" w:hAnsi="Calibri"/>
          <w:color w:val="1F2937"/>
          <w:sz w:val="22"/>
        </w:rPr>
        <w:t xml:space="preserve">Source: </w:t>
      </w:r>
      <w:hyperlink r:id="rId11">
        <w:r>
          <w:rPr>
            <w:color w:val="2E74B5"/>
            <w:u w:val="single"/>
          </w:rPr>
          <w:t>https://statistica.gov.md/files/files/ComPresa/Recensamant/2024/Ro/Anexa_Localitati_RPL2024.xlsx</w:t>
        </w:r>
      </w:hyperlink>
    </w:p>
    <w:p>
      <w:pPr>
        <w:pStyle w:val="ListNumber"/>
        <w:numPr>
          <w:ilvl w:val="0"/>
          <w:numId w:val="10"/>
        </w:numPr>
      </w:pPr>
      <w:r>
        <w:rPr>
          <w:rFonts w:ascii="Calibri" w:hAnsi="Calibri"/>
          <w:b/>
          <w:color w:val="1F2937"/>
          <w:sz w:val="22"/>
        </w:rPr>
        <w:t>OpenStreetMap, Moldova extract</w:t>
      </w:r>
      <w:r>
        <w:rPr>
          <w:rFonts w:ascii="Calibri" w:hAnsi="Calibri"/>
          <w:color w:val="1F2937"/>
          <w:sz w:val="22"/>
        </w:rPr>
        <w:t xml:space="preserve"> — Geofabrik snapshot dated 4 August 2026. It supplies locality/commune polygons, roads, and mapped education, healthcare, retail, financial, and civic services.</w:t>
      </w:r>
    </w:p>
    <w:p>
      <w:pPr>
        <w:spacing w:after="160"/>
        <w:ind w:left="360"/>
      </w:pPr>
      <w:r>
        <w:rPr>
          <w:rFonts w:ascii="Calibri" w:hAnsi="Calibri"/>
          <w:color w:val="1F2937"/>
          <w:sz w:val="22"/>
        </w:rPr>
        <w:t xml:space="preserve">Source: </w:t>
      </w:r>
      <w:hyperlink r:id="rId12">
        <w:r>
          <w:rPr>
            <w:color w:val="2E74B5"/>
            <w:u w:val="single"/>
          </w:rPr>
          <w:t>https://download.geofabrik.de/europe/moldova.html</w:t>
        </w:r>
      </w:hyperlink>
    </w:p>
    <w:p>
      <w:pPr>
        <w:pStyle w:val="ListNumber"/>
        <w:numPr>
          <w:ilvl w:val="0"/>
          <w:numId w:val="10"/>
        </w:numPr>
      </w:pPr>
      <w:r>
        <w:rPr>
          <w:rFonts w:ascii="Calibri" w:hAnsi="Calibri"/>
          <w:b/>
          <w:color w:val="1F2937"/>
          <w:sz w:val="22"/>
        </w:rPr>
        <w:t>GHSL Functional Urban Areas 2015</w:t>
      </w:r>
      <w:r>
        <w:rPr>
          <w:rFonts w:ascii="Calibri" w:hAnsi="Calibri"/>
          <w:color w:val="1F2937"/>
          <w:sz w:val="22"/>
        </w:rPr>
        <w:t xml:space="preserve"> — European Commission Joint Research Centre. This older global product is retained only as an external benchmark. It is not treated as the current Moldova FUA map.</w:t>
      </w:r>
    </w:p>
    <w:p>
      <w:pPr>
        <w:spacing w:after="160"/>
        <w:ind w:left="360"/>
      </w:pPr>
      <w:r>
        <w:rPr>
          <w:rFonts w:ascii="Calibri" w:hAnsi="Calibri"/>
          <w:color w:val="1F2937"/>
          <w:sz w:val="22"/>
        </w:rPr>
        <w:t xml:space="preserve">Source: </w:t>
      </w:r>
      <w:hyperlink r:id="rId13">
        <w:r>
          <w:rPr>
            <w:color w:val="2E74B5"/>
            <w:u w:val="single"/>
          </w:rPr>
          <w:t>https://human-settlement.emergency.copernicus.eu/ghs_fua.php</w:t>
        </w:r>
      </w:hyperlink>
    </w:p>
    <w:p>
      <w:pPr>
        <w:pStyle w:val="ListNumber"/>
        <w:numPr>
          <w:ilvl w:val="0"/>
          <w:numId w:val="10"/>
        </w:numPr>
      </w:pPr>
      <w:r>
        <w:rPr>
          <w:rFonts w:ascii="Calibri" w:hAnsi="Calibri"/>
          <w:b/>
          <w:color w:val="1F2937"/>
          <w:sz w:val="22"/>
        </w:rPr>
        <w:t>GHSL Urban Centre Database R2024A V1.2</w:t>
      </w:r>
      <w:r>
        <w:rPr>
          <w:rFonts w:ascii="Calibri" w:hAnsi="Calibri"/>
          <w:color w:val="1F2937"/>
          <w:sz w:val="22"/>
        </w:rPr>
        <w:t xml:space="preserve"> — European Commission Joint Research Centre. It provides newer urban-core polygons. The Moldova cores identified by this global dataset are Chișinău, Bălți, Bender, Tiraspol, and Rybnitsa. These are urban cores rather than complete functional urban areas.</w:t>
      </w:r>
    </w:p>
    <w:p>
      <w:pPr>
        <w:spacing w:after="160"/>
        <w:ind w:left="360"/>
      </w:pPr>
      <w:r>
        <w:rPr>
          <w:rFonts w:ascii="Calibri" w:hAnsi="Calibri"/>
          <w:color w:val="1F2937"/>
          <w:sz w:val="22"/>
        </w:rPr>
        <w:t xml:space="preserve">Source: </w:t>
      </w:r>
      <w:hyperlink r:id="rId14">
        <w:r>
          <w:rPr>
            <w:color w:val="2E74B5"/>
            <w:u w:val="single"/>
          </w:rPr>
          <w:t>https://human-settlement.emergency.copernicus.eu/ucdb2024Overview.php</w:t>
        </w:r>
      </w:hyperlink>
    </w:p>
    <w:p>
      <w:pPr>
        <w:pStyle w:val="Heading1"/>
      </w:pPr>
      <w:r>
        <w:t>Base territorial units</w:t>
      </w:r>
    </w:p>
    <w:p>
      <w:r>
        <w:rPr>
          <w:rFonts w:ascii="Calibri" w:hAnsi="Calibri"/>
          <w:color w:val="1F2937"/>
          <w:sz w:val="22"/>
        </w:rPr>
        <w:t>The model uses OpenStreetMap administrative-level-8 polygons, approximating first-level cities and communes. Census population is joined to these polygons by district, normalized locality name, and CUATM record. Joins are conservative and one-to-one. The resulting package contains 985 base polygons and matches 2,397,494 census residents, approximately 99.5% of the national census total.</w:t>
      </w:r>
    </w:p>
    <w:p>
      <w:r>
        <w:rPr>
          <w:rFonts w:ascii="Calibri" w:hAnsi="Calibri"/>
          <w:color w:val="1F2937"/>
          <w:sz w:val="22"/>
        </w:rPr>
        <w:t>These polygons are practical analytical units but are not official cadastral boundaries. They should be replaced or validated against an authoritative CUATM boundary layer before formal policy use.</w:t>
      </w:r>
    </w:p>
    <w:p>
      <w:pPr>
        <w:pStyle w:val="Heading1"/>
      </w:pPr>
      <w:r>
        <w:t>Identification of centres</w:t>
      </w:r>
    </w:p>
    <w:p>
      <w:r>
        <w:rPr>
          <w:rFonts w:ascii="Calibri" w:hAnsi="Calibri"/>
          <w:color w:val="1F2937"/>
          <w:sz w:val="22"/>
        </w:rPr>
        <w:t>Potential centres are evaluated using:</w:t>
      </w:r>
    </w:p>
    <w:p>
      <w:pPr>
        <w:pStyle w:val="ListBullet"/>
      </w:pPr>
      <w:r>
        <w:rPr>
          <w:rFonts w:ascii="Calibri" w:hAnsi="Calibri"/>
          <w:color w:val="1F2937"/>
          <w:sz w:val="22"/>
        </w:rPr>
        <w:t>2024 resident population;</w:t>
      </w:r>
    </w:p>
    <w:p>
      <w:pPr>
        <w:pStyle w:val="ListBullet"/>
      </w:pPr>
      <w:r>
        <w:rPr>
          <w:rFonts w:ascii="Calibri" w:hAnsi="Calibri"/>
          <w:color w:val="1F2937"/>
          <w:sz w:val="22"/>
        </w:rPr>
        <w:t>mapped schools, universities, healthcare facilities, shops, banks, and civic services;</w:t>
      </w:r>
    </w:p>
    <w:p>
      <w:pPr>
        <w:pStyle w:val="ListBullet"/>
      </w:pPr>
      <w:r>
        <w:rPr>
          <w:rFonts w:ascii="Calibri" w:hAnsi="Calibri"/>
          <w:color w:val="1F2937"/>
          <w:sz w:val="22"/>
        </w:rPr>
        <w:t>GHSL R2024A urban-core status;</w:t>
      </w:r>
    </w:p>
    <w:p>
      <w:pPr>
        <w:pStyle w:val="ListBullet"/>
      </w:pPr>
      <w:r>
        <w:rPr>
          <w:rFonts w:ascii="Calibri" w:hAnsi="Calibri"/>
          <w:color w:val="1F2937"/>
          <w:sz w:val="22"/>
        </w:rPr>
        <w:t>distance from other centres, to avoid duplicating adjacent suburban centres.</w:t>
      </w:r>
    </w:p>
    <w:p>
      <w:r>
        <w:rPr>
          <w:rFonts w:ascii="Calibri" w:hAnsi="Calibri"/>
          <w:color w:val="1F2937"/>
          <w:sz w:val="22"/>
        </w:rPr>
        <w:t>GHSL cores are treated as mandatory major centres. Smaller Moldovan towns are retained as secondary centres when their population and service concentration indicate an everyday service role.</w:t>
      </w:r>
    </w:p>
    <w:p>
      <w:r>
        <w:rPr>
          <w:rFonts w:ascii="Calibri" w:hAnsi="Calibri"/>
          <w:color w:val="1F2937"/>
          <w:sz w:val="22"/>
        </w:rPr>
        <w:t>On the revised presentation maps, analytical centres are shown as uniform circular markers. Larger dark-blue circles indicate GHSL/global major urban cores, while smaller dark-grey circles indicate Moldova-specific secondary centres. The original centre polygons remain available in the GIS layers for analysis.</w:t>
      </w:r>
    </w:p>
    <w:p>
      <w:pPr>
        <w:pStyle w:val="Heading1"/>
      </w:pPr>
      <w:r>
        <w:t>Accessibility model</w:t>
      </w:r>
    </w:p>
    <w:p>
      <w:r>
        <w:rPr>
          <w:rFonts w:ascii="Calibri" w:hAnsi="Calibri"/>
          <w:color w:val="1F2937"/>
          <w:sz w:val="22"/>
        </w:rPr>
        <w:t>The road network includes trunk, primary, secondary, tertiary, unclassified, residential, and living-street roads. Travel time is estimated from mapped speed limits where plausible and otherwise from standard speeds assigned by road class.</w:t>
      </w:r>
    </w:p>
    <w:p>
      <w:r>
        <w:rPr>
          <w:rFonts w:ascii="Calibri" w:hAnsi="Calibri"/>
          <w:color w:val="1F2937"/>
          <w:sz w:val="22"/>
        </w:rPr>
        <w:t>Every base unit is connected to the road graph through a representative point. Shortest modelled road time is calculated to each candidate centre. A straight-line fallback is used only where the road graph is disconnected.</w:t>
      </w:r>
    </w:p>
    <w:p>
      <w:r>
        <w:rPr>
          <w:rFonts w:ascii="Calibri" w:hAnsi="Calibri"/>
          <w:color w:val="1F2937"/>
          <w:sz w:val="22"/>
        </w:rPr>
        <w:t>The model represents approximate private-car accessibility. It does not include congestion, public-transport timetables, border delays, road condition, or observed trip volumes.</w:t>
      </w:r>
    </w:p>
    <w:p>
      <w:pPr>
        <w:pStyle w:val="Heading1"/>
      </w:pPr>
      <w:r>
        <w:t>Micro-regions</w:t>
      </w:r>
    </w:p>
    <w:p>
      <w:r>
        <w:rPr>
          <w:rFonts w:ascii="Calibri" w:hAnsi="Calibri"/>
          <w:color w:val="1F2937"/>
          <w:sz w:val="22"/>
        </w:rPr>
        <w:t>Micro-regions represent plausible everyday catchments for employment, education, healthcare, shopping, and public services. Each included base unit is assigned to the most accessible retained centre by modelled road time.</w:t>
      </w:r>
    </w:p>
    <w:p>
      <w:r>
        <w:rPr>
          <w:rFonts w:ascii="Calibri" w:hAnsi="Calibri"/>
          <w:color w:val="1F2937"/>
          <w:sz w:val="22"/>
        </w:rPr>
        <w:t xml:space="preserve">The preferred right-bank scenario produces </w:t>
      </w:r>
      <w:r>
        <w:rPr>
          <w:rFonts w:ascii="Calibri" w:hAnsi="Calibri"/>
          <w:b/>
          <w:color w:val="1F2937"/>
          <w:sz w:val="22"/>
        </w:rPr>
        <w:t>34 micro-regions</w:t>
      </w:r>
      <w:r>
        <w:rPr>
          <w:rFonts w:ascii="Calibri" w:hAnsi="Calibri"/>
          <w:color w:val="1F2937"/>
          <w:sz w:val="22"/>
        </w:rPr>
        <w:t>. Their boundaries are modelled catchments rather than observed service-use or commuting zones.</w:t>
      </w:r>
    </w:p>
    <w:p>
      <w:pPr>
        <w:pStyle w:val="Heading1"/>
      </w:pPr>
      <w:r>
        <w:t>Functional economic regions</w:t>
      </w:r>
    </w:p>
    <w:p>
      <w:r>
        <w:rPr>
          <w:rFonts w:ascii="Calibri" w:hAnsi="Calibri"/>
          <w:color w:val="1F2937"/>
          <w:sz w:val="22"/>
        </w:rPr>
        <w:t>The larger right-bank regions are built around seven major anchors:</w:t>
      </w:r>
    </w:p>
    <w:p>
      <w:pPr>
        <w:pStyle w:val="ListNumber"/>
        <w:numPr>
          <w:ilvl w:val="0"/>
          <w:numId w:val="11"/>
        </w:numPr>
      </w:pPr>
      <w:r>
        <w:rPr>
          <w:rFonts w:ascii="Calibri" w:hAnsi="Calibri"/>
          <w:color w:val="1F2937"/>
          <w:sz w:val="22"/>
        </w:rPr>
        <w:t>Chișinău–Centre</w:t>
      </w:r>
    </w:p>
    <w:p>
      <w:pPr>
        <w:pStyle w:val="ListNumber"/>
        <w:numPr>
          <w:ilvl w:val="0"/>
          <w:numId w:val="11"/>
        </w:numPr>
      </w:pPr>
      <w:r>
        <w:rPr>
          <w:rFonts w:ascii="Calibri" w:hAnsi="Calibri"/>
          <w:color w:val="1F2937"/>
          <w:sz w:val="22"/>
        </w:rPr>
        <w:t>Bălți–North</w:t>
      </w:r>
    </w:p>
    <w:p>
      <w:pPr>
        <w:pStyle w:val="ListNumber"/>
        <w:numPr>
          <w:ilvl w:val="0"/>
          <w:numId w:val="11"/>
        </w:numPr>
      </w:pPr>
      <w:r>
        <w:rPr>
          <w:rFonts w:ascii="Calibri" w:hAnsi="Calibri"/>
          <w:color w:val="1F2937"/>
          <w:sz w:val="22"/>
        </w:rPr>
        <w:t>Ungheni–West</w:t>
      </w:r>
    </w:p>
    <w:p>
      <w:pPr>
        <w:pStyle w:val="ListNumber"/>
        <w:numPr>
          <w:ilvl w:val="0"/>
          <w:numId w:val="11"/>
        </w:numPr>
      </w:pPr>
      <w:r>
        <w:rPr>
          <w:rFonts w:ascii="Calibri" w:hAnsi="Calibri"/>
          <w:color w:val="1F2937"/>
          <w:sz w:val="22"/>
        </w:rPr>
        <w:t>Soroca–North-East</w:t>
      </w:r>
    </w:p>
    <w:p>
      <w:pPr>
        <w:pStyle w:val="ListNumber"/>
        <w:numPr>
          <w:ilvl w:val="0"/>
          <w:numId w:val="11"/>
        </w:numPr>
      </w:pPr>
      <w:r>
        <w:rPr>
          <w:rFonts w:ascii="Calibri" w:hAnsi="Calibri"/>
          <w:color w:val="1F2937"/>
          <w:sz w:val="22"/>
        </w:rPr>
        <w:t>Orhei–Centre-North</w:t>
      </w:r>
    </w:p>
    <w:p>
      <w:pPr>
        <w:pStyle w:val="ListNumber"/>
        <w:numPr>
          <w:ilvl w:val="0"/>
          <w:numId w:val="11"/>
        </w:numPr>
      </w:pPr>
      <w:r>
        <w:rPr>
          <w:rFonts w:ascii="Calibri" w:hAnsi="Calibri"/>
          <w:color w:val="1F2937"/>
          <w:sz w:val="22"/>
        </w:rPr>
        <w:t>Cahul–South-West</w:t>
      </w:r>
    </w:p>
    <w:p>
      <w:pPr>
        <w:pStyle w:val="ListNumber"/>
        <w:numPr>
          <w:ilvl w:val="0"/>
          <w:numId w:val="11"/>
        </w:numPr>
      </w:pPr>
      <w:r>
        <w:rPr>
          <w:rFonts w:ascii="Calibri" w:hAnsi="Calibri"/>
          <w:color w:val="1F2937"/>
          <w:sz w:val="22"/>
        </w:rPr>
        <w:t>Comrat–South-East</w:t>
      </w:r>
    </w:p>
    <w:p>
      <w:r>
        <w:rPr>
          <w:rFonts w:ascii="Calibri" w:hAnsi="Calibri"/>
          <w:color w:val="1F2937"/>
          <w:sz w:val="22"/>
        </w:rPr>
        <w:t>Each base unit is assigned to the anchor with the shortest modelled road time. The similarity between this map and the earlier seven-region version is expected: both use the same right-bank anchors and broadly the same population and road-accessibility evidence. The newer GHSL data improve the urban-core reference but do not introduce new observed flows between localities.</w:t>
      </w:r>
    </w:p>
    <w:p>
      <w:pPr>
        <w:pStyle w:val="Heading1"/>
      </w:pPr>
      <w:r>
        <w:t>Treatment of the left bank</w:t>
      </w:r>
    </w:p>
    <w:p>
      <w:r>
        <w:rPr>
          <w:rFonts w:ascii="Calibri" w:hAnsi="Calibri"/>
          <w:color w:val="1F2937"/>
          <w:sz w:val="22"/>
        </w:rPr>
        <w:t>The preferred scenario excludes the Transnistrian administrative unit and Bender as anchors and destinations. Roads inside the excluded territory are removed from the routing graph so that the model cannot use them as implicit shortcuts. Government-administered Dubăsari localities remain included; “right bank” is therefore used in the common institutional sense rather than as a perfectly literal classification by river side.</w:t>
      </w:r>
    </w:p>
    <w:p>
      <w:r>
        <w:rPr>
          <w:rFonts w:ascii="Calibri" w:hAnsi="Calibri"/>
          <w:color w:val="1F2937"/>
          <w:sz w:val="22"/>
        </w:rPr>
        <w:t>Cross-river areas should be incorporated only after an explicit test using observed evidence such as commuting, mobile-phone mobility, freight, transactions, school attendance, patient flows, or public-transport movements.</w:t>
      </w:r>
    </w:p>
    <w:p>
      <w:pPr>
        <w:pStyle w:val="Heading1"/>
      </w:pPr>
      <w:r>
        <w:t>Interpretation and limitations</w:t>
      </w:r>
    </w:p>
    <w:p>
      <w:r>
        <w:rPr>
          <w:rFonts w:ascii="Calibri" w:hAnsi="Calibri"/>
          <w:color w:val="1F2937"/>
          <w:sz w:val="22"/>
        </w:rPr>
        <w:t>The maps distinguish three types of information:</w:t>
      </w:r>
    </w:p>
    <w:p>
      <w:pPr>
        <w:pStyle w:val="ListBullet"/>
      </w:pPr>
      <w:r>
        <w:rPr>
          <w:rFonts w:ascii="Calibri" w:hAnsi="Calibri"/>
          <w:b/>
          <w:color w:val="1F2937"/>
          <w:sz w:val="22"/>
        </w:rPr>
        <w:t>Published observations:</w:t>
      </w:r>
      <w:r>
        <w:rPr>
          <w:rFonts w:ascii="Calibri" w:hAnsi="Calibri"/>
          <w:color w:val="1F2937"/>
          <w:sz w:val="22"/>
        </w:rPr>
        <w:t xml:space="preserve"> census population, mapped roads and services;</w:t>
      </w:r>
    </w:p>
    <w:p>
      <w:pPr>
        <w:pStyle w:val="ListBullet"/>
      </w:pPr>
      <w:r>
        <w:rPr>
          <w:rFonts w:ascii="Calibri" w:hAnsi="Calibri"/>
          <w:b/>
          <w:color w:val="1F2937"/>
          <w:sz w:val="22"/>
        </w:rPr>
        <w:t>Published external models:</w:t>
      </w:r>
      <w:r>
        <w:rPr>
          <w:rFonts w:ascii="Calibri" w:hAnsi="Calibri"/>
          <w:color w:val="1F2937"/>
          <w:sz w:val="22"/>
        </w:rPr>
        <w:t xml:space="preserve"> GHSL urban cores and the older GHSL FUA benchmark;</w:t>
      </w:r>
    </w:p>
    <w:p>
      <w:pPr>
        <w:pStyle w:val="ListBullet"/>
      </w:pPr>
      <w:r>
        <w:rPr>
          <w:rFonts w:ascii="Calibri" w:hAnsi="Calibri"/>
          <w:b/>
          <w:color w:val="1F2937"/>
          <w:sz w:val="22"/>
        </w:rPr>
        <w:t>New modelled inference:</w:t>
      </w:r>
      <w:r>
        <w:rPr>
          <w:rFonts w:ascii="Calibri" w:hAnsi="Calibri"/>
          <w:color w:val="1F2937"/>
          <w:sz w:val="22"/>
        </w:rPr>
        <w:t xml:space="preserve"> centre scores, travel times, catchment assignments, and regional boundaries.</w:t>
      </w:r>
    </w:p>
    <w:p>
      <w:r>
        <w:rPr>
          <w:rFonts w:ascii="Calibri" w:hAnsi="Calibri"/>
          <w:color w:val="1F2937"/>
          <w:sz w:val="22"/>
        </w:rPr>
        <w:t>The proposed regions should not be described as measured labour markets. Their number and boundaries are sensitive to centre selection, travel-time assumptions, territorial scope, and data completeness. A policy-grade revision should use observed origin–destination flows and test several alternative thresholds rather than relying on a single deterministic map.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Moldova Functional Geography | Methodological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stica.gov.md/files/files/ComPresa/Recensamant/2024/Ro/Anexa_Localitati_RPL2024.xlsx" TargetMode="External"/><Relationship Id="rId12" Type="http://schemas.openxmlformats.org/officeDocument/2006/relationships/hyperlink" Target="https://download.geofabrik.de/europe/moldova.html" TargetMode="External"/><Relationship Id="rId13" Type="http://schemas.openxmlformats.org/officeDocument/2006/relationships/hyperlink" Target="https://human-settlement.emergency.copernicus.eu/ghs_fua.php" TargetMode="External"/><Relationship Id="rId14" Type="http://schemas.openxmlformats.org/officeDocument/2006/relationships/hyperlink" Target="https://human-settlement.emergency.copernicus.eu/ucdb2024Overview.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Moldova Functional Economic Geography Maps — Methodological Note</dc:title>
  <dc:subject>Data, logic, methodology and limitations</dc:subject>
  <dc:creator>OpenAI Codex</dc:creator>
  <cp:keywords>Moldova, functional geography, accessibility, GHSL, census, methodology</cp:keywords>
  <dc:description>generated by python-docx</dc:description>
  <cp:lastModifiedBy/>
  <cp:revision>1</cp:revision>
  <dcterms:created xsi:type="dcterms:W3CDTF">2013-12-23T23:15:00Z</dcterms:created>
  <dcterms:modified xsi:type="dcterms:W3CDTF">2013-12-23T23:15:00Z</dcterms:modified>
  <cp:category/>
</cp:coreProperties>
</file>