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pPr>
      <w:r>
        <w:rPr>
          <w:rFonts w:ascii="Calibri" w:hAnsi="Calibri"/>
          <w:b/>
          <w:color w:val="2E74B5"/>
          <w:sz w:val="22"/>
        </w:rPr>
        <w:t>NOTĂ METODOLOGICĂ</w:t>
      </w:r>
    </w:p>
    <w:p>
      <w:pPr>
        <w:spacing w:after="160"/>
      </w:pPr>
      <w:r>
        <w:rPr>
          <w:rFonts w:ascii="Calibri" w:hAnsi="Calibri"/>
          <w:b/>
          <w:color w:val="1F4E78"/>
          <w:sz w:val="50"/>
        </w:rPr>
        <w:t>Hărțile geografiei economice funcționale a Republicii Moldova</w:t>
      </w:r>
    </w:p>
    <w:p>
      <w:pPr>
        <w:spacing w:after="480"/>
      </w:pPr>
      <w:r>
        <w:rPr>
          <w:rFonts w:ascii="Calibri" w:hAnsi="Calibri"/>
          <w:color w:val="667085"/>
          <w:sz w:val="26"/>
        </w:rPr>
        <w:t>Logica, sursele de date, abordarea de modelare și limitările</w:t>
      </w:r>
    </w:p>
    <w:p>
      <w:pPr>
        <w:spacing w:after="360"/>
        <w:shd w:fill="EEF4F8"/>
        <w:pBdr>
          <w:left w:val="single" w:sz="18" w:color="2E74B5"/>
        </w:pBdr>
      </w:pPr>
      <w:r>
        <w:rPr>
          <w:rFonts w:ascii="Calibri" w:hAnsi="Calibri"/>
          <w:b/>
          <w:color w:val="1F4E78"/>
          <w:sz w:val="22"/>
        </w:rPr>
        <w:t>Statut analitic: model exploratoriu de lucru. Limitele propuse reprezintă inferențe bazate pe accesibilitate, nu piețe ale muncii măsurate sau zone de navetism observate.</w:t>
      </w:r>
    </w:p>
    <w:p>
      <w:pPr>
        <w:spacing w:after="80"/>
      </w:pPr>
      <w:r>
        <w:rPr>
          <w:rFonts w:ascii="Calibri" w:hAnsi="Calibri"/>
          <w:b/>
          <w:color w:val="1F4E78"/>
          <w:sz w:val="20"/>
        </w:rPr>
        <w:t xml:space="preserve">Scenariul preferat: </w:t>
      </w:r>
      <w:r>
        <w:rPr>
          <w:rFonts w:ascii="Calibri" w:hAnsi="Calibri"/>
          <w:color w:val="1F2937"/>
          <w:sz w:val="20"/>
        </w:rPr>
        <w:t>Teritoriul de pe malul drept / administrat de autoritățile constituționale</w:t>
      </w:r>
    </w:p>
    <w:p>
      <w:pPr>
        <w:spacing w:after="80"/>
      </w:pPr>
      <w:r>
        <w:rPr>
          <w:rFonts w:ascii="Calibri" w:hAnsi="Calibri"/>
          <w:b/>
          <w:color w:val="1F4E78"/>
          <w:sz w:val="20"/>
        </w:rPr>
        <w:t xml:space="preserve">Referința populației: </w:t>
      </w:r>
      <w:r>
        <w:rPr>
          <w:rFonts w:ascii="Calibri" w:hAnsi="Calibri"/>
          <w:color w:val="1F2937"/>
          <w:sz w:val="20"/>
        </w:rPr>
        <w:t>Recensământul populației și locuințelor din 2024</w:t>
      </w:r>
    </w:p>
    <w:p>
      <w:pPr>
        <w:spacing w:after="80"/>
      </w:pPr>
      <w:r>
        <w:rPr>
          <w:rFonts w:ascii="Calibri" w:hAnsi="Calibri"/>
          <w:b/>
          <w:color w:val="1F4E78"/>
          <w:sz w:val="20"/>
        </w:rPr>
        <w:t xml:space="preserve">Referința accesibilității: </w:t>
      </w:r>
      <w:r>
        <w:rPr>
          <w:rFonts w:ascii="Calibri" w:hAnsi="Calibri"/>
          <w:color w:val="1F2937"/>
          <w:sz w:val="20"/>
        </w:rPr>
        <w:t>Drumuri și servicii OpenStreetMap, instantaneu din 4 august 2026</w:t>
      </w:r>
    </w:p>
    <w:p>
      <w:pPr>
        <w:spacing w:after="80"/>
      </w:pPr>
      <w:r>
        <w:rPr>
          <w:rFonts w:ascii="Calibri" w:hAnsi="Calibri"/>
          <w:b/>
          <w:color w:val="1F4E78"/>
          <w:sz w:val="20"/>
        </w:rPr>
        <w:t xml:space="preserve">Referința nucleelor urbane: </w:t>
      </w:r>
      <w:r>
        <w:rPr>
          <w:rFonts w:ascii="Calibri" w:hAnsi="Calibri"/>
          <w:color w:val="1F2937"/>
          <w:sz w:val="20"/>
        </w:rPr>
        <w:t>Baza de date GHSL a centrelor urbane R2024A V1.2</w:t>
      </w:r>
    </w:p>
    <w:p>
      <w:pPr>
        <w:spacing w:before="800"/>
      </w:pPr>
      <w:r>
        <w:rPr>
          <w:rFonts w:ascii="Calibri" w:hAnsi="Calibri"/>
          <w:i/>
          <w:color w:val="667085"/>
          <w:sz w:val="20"/>
        </w:rPr>
        <w:t>Versiune de lucru | August 2026</w:t>
      </w:r>
    </w:p>
    <w:p>
      <w:r>
        <w:br w:type="page"/>
      </w:r>
    </w:p>
    <w:p>
      <w:pPr>
        <w:pStyle w:val="Heading1"/>
      </w:pPr>
      <w:r>
        <w:t>Scop</w:t>
      </w:r>
    </w:p>
    <w:p>
      <w:r>
        <w:rPr>
          <w:rFonts w:ascii="Calibri" w:hAnsi="Calibri"/>
          <w:color w:val="1F2937"/>
          <w:sz w:val="22"/>
        </w:rPr>
        <w:t>Hărțile oferă o primă interpretare de lucru a geografiei economice funcționale a Republicii Moldova, utilizând date despre populația la nivel de localitate, centrele urbane, accesibilitatea rutieră și amplasarea serviciilor. Scopul lor este de a prezenta posibile arii metropolitane, microregiuni și regiuni economice mai mari, fără a reproduce pur și simplu limitele raioanelor.</w:t>
      </w:r>
    </w:p>
    <w:p>
      <w:r>
        <w:rPr>
          <w:rFonts w:ascii="Calibri" w:hAnsi="Calibri"/>
          <w:color w:val="1F2937"/>
          <w:sz w:val="22"/>
        </w:rPr>
        <w:t>Harta preferată acoperă teritoriul de pe malul drept/administrat de autoritățile constituționale. Aceasta nu presupune integrarea funcțională cu unitatea administrativ-teritorială din stânga Nistrului sau cu municipiul Bender, deoarece nu au fost disponibile date observate privind navetismul sau fluxurile economice care să demonstreze o asemenea integrare.</w:t>
      </w:r>
    </w:p>
    <w:p>
      <w:pPr>
        <w:pStyle w:val="Heading1"/>
      </w:pPr>
      <w:r>
        <w:t>Date utilizate</w:t>
      </w:r>
    </w:p>
    <w:p>
      <w:pPr>
        <w:pStyle w:val="ListNumber"/>
        <w:numPr>
          <w:ilvl w:val="0"/>
          <w:numId w:val="10"/>
        </w:numPr>
      </w:pPr>
      <w:r>
        <w:rPr>
          <w:rFonts w:ascii="Calibri" w:hAnsi="Calibri"/>
          <w:b/>
          <w:color w:val="1F2937"/>
          <w:sz w:val="22"/>
        </w:rPr>
        <w:t>Recensământul populației și locuințelor din 2024</w:t>
      </w:r>
      <w:r>
        <w:rPr>
          <w:rFonts w:ascii="Calibri" w:hAnsi="Calibri"/>
          <w:color w:val="1F2937"/>
          <w:sz w:val="22"/>
        </w:rPr>
        <w:t xml:space="preserve"> — Biroul Național de Statistică al Republicii Moldova. Tabelele finale la nivel de localitate conțin populația cu reședință obișnuită și codurile CUATM pentru orașe, comune și localități. Recensământul nu a cuprins 157 de localități aflate în afara controlului efectiv al autorităților constituționale.</w:t>
      </w:r>
    </w:p>
    <w:p>
      <w:pPr>
        <w:spacing w:after="160"/>
        <w:ind w:left="360"/>
      </w:pPr>
      <w:r>
        <w:rPr>
          <w:rFonts w:ascii="Calibri" w:hAnsi="Calibri"/>
          <w:color w:val="1F2937"/>
          <w:sz w:val="22"/>
        </w:rPr>
        <w:t xml:space="preserve">Sursa: </w:t>
      </w:r>
      <w:hyperlink r:id="rId11">
        <w:r>
          <w:rPr>
            <w:color w:val="2E74B5"/>
            <w:u w:val="single"/>
          </w:rPr>
          <w:t>https://statistica.gov.md/files/files/ComPresa/Recensamant/2024/Ro/Anexa_Localitati_RPL2024.xlsx</w:t>
        </w:r>
      </w:hyperlink>
    </w:p>
    <w:p>
      <w:pPr>
        <w:pStyle w:val="ListNumber"/>
        <w:numPr>
          <w:ilvl w:val="0"/>
          <w:numId w:val="10"/>
        </w:numPr>
      </w:pPr>
      <w:r>
        <w:rPr>
          <w:rFonts w:ascii="Calibri" w:hAnsi="Calibri"/>
          <w:b/>
          <w:color w:val="1F2937"/>
          <w:sz w:val="22"/>
        </w:rPr>
        <w:t>OpenStreetMap, extrasul pentru Republica Moldova</w:t>
      </w:r>
      <w:r>
        <w:rPr>
          <w:rFonts w:ascii="Calibri" w:hAnsi="Calibri"/>
          <w:color w:val="1F2937"/>
          <w:sz w:val="22"/>
        </w:rPr>
        <w:t xml:space="preserve"> — instantaneu Geofabrik din 4 august 2026. Acesta furnizează poligoanele localităților/comunelor, rețeaua rutieră și amplasarea serviciilor de educație, sănătate, comerț, finanțe și administrație publică.</w:t>
      </w:r>
    </w:p>
    <w:p>
      <w:pPr>
        <w:spacing w:after="160"/>
        <w:ind w:left="360"/>
      </w:pPr>
      <w:r>
        <w:rPr>
          <w:rFonts w:ascii="Calibri" w:hAnsi="Calibri"/>
          <w:color w:val="1F2937"/>
          <w:sz w:val="22"/>
        </w:rPr>
        <w:t xml:space="preserve">Sursa: </w:t>
      </w:r>
      <w:hyperlink r:id="rId12">
        <w:r>
          <w:rPr>
            <w:color w:val="2E74B5"/>
            <w:u w:val="single"/>
          </w:rPr>
          <w:t>https://download.geofabrik.de/europe/moldova.html</w:t>
        </w:r>
      </w:hyperlink>
    </w:p>
    <w:p>
      <w:pPr>
        <w:pStyle w:val="ListNumber"/>
        <w:numPr>
          <w:ilvl w:val="0"/>
          <w:numId w:val="10"/>
        </w:numPr>
      </w:pPr>
      <w:r>
        <w:rPr>
          <w:rFonts w:ascii="Calibri" w:hAnsi="Calibri"/>
          <w:b/>
          <w:color w:val="1F2937"/>
          <w:sz w:val="22"/>
        </w:rPr>
        <w:t>Ariile urbane funcționale GHSL 2015</w:t>
      </w:r>
      <w:r>
        <w:rPr>
          <w:rFonts w:ascii="Calibri" w:hAnsi="Calibri"/>
          <w:color w:val="1F2937"/>
          <w:sz w:val="22"/>
        </w:rPr>
        <w:t xml:space="preserve"> — Centrul Comun de Cercetare al Comisiei Europene. Acest produs global mai vechi este păstrat numai ca reper extern. El nu este tratat drept harta actuală a ariilor urbane funcționale din Republica Moldova.</w:t>
      </w:r>
    </w:p>
    <w:p>
      <w:pPr>
        <w:spacing w:after="160"/>
        <w:ind w:left="360"/>
      </w:pPr>
      <w:r>
        <w:rPr>
          <w:rFonts w:ascii="Calibri" w:hAnsi="Calibri"/>
          <w:color w:val="1F2937"/>
          <w:sz w:val="22"/>
        </w:rPr>
        <w:t xml:space="preserve">Sursa: </w:t>
      </w:r>
      <w:hyperlink r:id="rId13">
        <w:r>
          <w:rPr>
            <w:color w:val="2E74B5"/>
            <w:u w:val="single"/>
          </w:rPr>
          <w:t>https://human-settlement.emergency.copernicus.eu/ghs_fua.php</w:t>
        </w:r>
      </w:hyperlink>
    </w:p>
    <w:p>
      <w:pPr>
        <w:pStyle w:val="ListNumber"/>
        <w:numPr>
          <w:ilvl w:val="0"/>
          <w:numId w:val="10"/>
        </w:numPr>
      </w:pPr>
      <w:r>
        <w:rPr>
          <w:rFonts w:ascii="Calibri" w:hAnsi="Calibri"/>
          <w:b/>
          <w:color w:val="1F2937"/>
          <w:sz w:val="22"/>
        </w:rPr>
        <w:t>Baza de date a centrelor urbane GHSL R2024A V1.2</w:t>
      </w:r>
      <w:r>
        <w:rPr>
          <w:rFonts w:ascii="Calibri" w:hAnsi="Calibri"/>
          <w:color w:val="1F2937"/>
          <w:sz w:val="22"/>
        </w:rPr>
        <w:t xml:space="preserve"> — Centrul Comun de Cercetare al Comisiei Europene. Aceasta furnizează poligoane mai recente ale nucleelor urbane. Centrele din Republica Moldova identificate de setul global de date sunt Chișinău, Bălți, Bender, Tiraspol și Rîbnița. Acestea reprezintă nuclee urbane, nu arii urbane funcționale complete.</w:t>
      </w:r>
    </w:p>
    <w:p>
      <w:pPr>
        <w:spacing w:after="160"/>
        <w:ind w:left="360"/>
      </w:pPr>
      <w:r>
        <w:rPr>
          <w:rFonts w:ascii="Calibri" w:hAnsi="Calibri"/>
          <w:color w:val="1F2937"/>
          <w:sz w:val="22"/>
        </w:rPr>
        <w:t xml:space="preserve">Sursa: </w:t>
      </w:r>
      <w:hyperlink r:id="rId14">
        <w:r>
          <w:rPr>
            <w:color w:val="2E74B5"/>
            <w:u w:val="single"/>
          </w:rPr>
          <w:t>https://human-settlement.emergency.copernicus.eu/ucdb2024Overview.php</w:t>
        </w:r>
      </w:hyperlink>
    </w:p>
    <w:p>
      <w:pPr>
        <w:pStyle w:val="Heading1"/>
      </w:pPr>
      <w:r>
        <w:t>Unitățile teritoriale de bază</w:t>
      </w:r>
    </w:p>
    <w:p>
      <w:r>
        <w:rPr>
          <w:rFonts w:ascii="Calibri" w:hAnsi="Calibri"/>
          <w:color w:val="1F2937"/>
          <w:sz w:val="22"/>
        </w:rPr>
        <w:t>Modelul utilizează poligoane OpenStreetMap de nivel administrativ 8, care aproximează orașele și comunele de nivelul întâi. Populația recensământului este asociată acestor poligoane după raion, denumirea normalizată a localității și înregistrarea CUATM. Asocierile sunt conservative și univoce.</w:t>
      </w:r>
    </w:p>
    <w:p>
      <w:r>
        <w:rPr>
          <w:rFonts w:ascii="Calibri" w:hAnsi="Calibri"/>
          <w:color w:val="1F2937"/>
          <w:sz w:val="22"/>
        </w:rPr>
        <w:t>Pachetul rezultat conține 985 de poligoane de bază și asociază 2 397 494 de locuitori înregistrați la recensământ, adică aproximativ 99,5% din totalul național.</w:t>
      </w:r>
    </w:p>
    <w:p>
      <w:r>
        <w:rPr>
          <w:rFonts w:ascii="Calibri" w:hAnsi="Calibri"/>
          <w:color w:val="1F2937"/>
          <w:sz w:val="22"/>
        </w:rPr>
        <w:t>Aceste poligoane sunt unități analitice practice, dar nu constituie limite cadastrale oficiale. Înaintea utilizării în politici publice, ele trebuie înlocuite sau validate cu ajutorul unui strat oficial al limitelor CUATM.</w:t>
      </w:r>
    </w:p>
    <w:p>
      <w:pPr>
        <w:pStyle w:val="Heading1"/>
      </w:pPr>
      <w:r>
        <w:t>Identificarea centrelor</w:t>
      </w:r>
    </w:p>
    <w:p>
      <w:r>
        <w:rPr>
          <w:rFonts w:ascii="Calibri" w:hAnsi="Calibri"/>
          <w:color w:val="1F2937"/>
          <w:sz w:val="22"/>
        </w:rPr>
        <w:t>Centrele potențiale sunt evaluate pe baza următoarelor elemente:</w:t>
      </w:r>
    </w:p>
    <w:p>
      <w:pPr>
        <w:pStyle w:val="ListBullet"/>
      </w:pPr>
      <w:r>
        <w:rPr>
          <w:rFonts w:ascii="Calibri" w:hAnsi="Calibri"/>
          <w:color w:val="1F2937"/>
          <w:sz w:val="22"/>
        </w:rPr>
        <w:t>populația rezidentă în 2024;</w:t>
      </w:r>
    </w:p>
    <w:p>
      <w:pPr>
        <w:pStyle w:val="ListBullet"/>
      </w:pPr>
      <w:r>
        <w:rPr>
          <w:rFonts w:ascii="Calibri" w:hAnsi="Calibri"/>
          <w:color w:val="1F2937"/>
          <w:sz w:val="22"/>
        </w:rPr>
        <w:t>școlile, universitățile, instituțiile medicale, magazinele, băncile și serviciile publice cartografiate;</w:t>
      </w:r>
    </w:p>
    <w:p>
      <w:pPr>
        <w:pStyle w:val="ListBullet"/>
      </w:pPr>
      <w:r>
        <w:rPr>
          <w:rFonts w:ascii="Calibri" w:hAnsi="Calibri"/>
          <w:color w:val="1F2937"/>
          <w:sz w:val="22"/>
        </w:rPr>
        <w:t>statutul de nucleu urban GHSL R2024A;</w:t>
      </w:r>
    </w:p>
    <w:p>
      <w:pPr>
        <w:pStyle w:val="ListBullet"/>
      </w:pPr>
      <w:r>
        <w:rPr>
          <w:rFonts w:ascii="Calibri" w:hAnsi="Calibri"/>
          <w:color w:val="1F2937"/>
          <w:sz w:val="22"/>
        </w:rPr>
        <w:t>distanța față de alte centre, pentru a evita dublarea centrelor suburbane învecinate.</w:t>
      </w:r>
    </w:p>
    <w:p>
      <w:r>
        <w:rPr>
          <w:rFonts w:ascii="Calibri" w:hAnsi="Calibri"/>
          <w:color w:val="1F2937"/>
          <w:sz w:val="22"/>
        </w:rPr>
        <w:t>Nucleele GHSL sunt tratate drept centre majore obligatorii. Orașele mai mici din Republica Moldova sunt păstrate drept centre secundare atunci când populația și concentrarea serviciilor indică un rol cotidian de deservire.</w:t>
      </w:r>
    </w:p>
    <w:p>
      <w:r>
        <w:rPr>
          <w:rFonts w:ascii="Calibri" w:hAnsi="Calibri"/>
          <w:color w:val="1F2937"/>
          <w:sz w:val="22"/>
        </w:rPr>
        <w:t>Pe hărțile de prezentare revizuite, centrele analitice sunt reprezentate prin simboluri circulare uniforme. Cercurile mai mari, de culoare albastru-închis, indică nucleele urbane majore GHSL/globale, iar cercurile mai mici, de culoare gri-închis, indică centrele secundare specifice Republicii Moldova. Poligoanele inițiale ale centrelor rămân disponibile în straturile GIS pentru analiză.</w:t>
      </w:r>
    </w:p>
    <w:p>
      <w:pPr>
        <w:pStyle w:val="Heading1"/>
      </w:pPr>
      <w:r>
        <w:t>Modelul de accesibilitate</w:t>
      </w:r>
    </w:p>
    <w:p>
      <w:r>
        <w:rPr>
          <w:rFonts w:ascii="Calibri" w:hAnsi="Calibri"/>
          <w:color w:val="1F2937"/>
          <w:sz w:val="22"/>
        </w:rPr>
        <w:t>Rețeaua rutieră include drumuri magistrale, primare, secundare, terțiare, neclasificate, rezidențiale și străzi cu trafic calm. Timpul de călătorie este estimat folosind limitele de viteză cartografiate, acolo unde acestea sunt plauzibile, iar în celelalte cazuri — viteze standard atribuite în funcție de categoria drumului.</w:t>
      </w:r>
    </w:p>
    <w:p>
      <w:r>
        <w:rPr>
          <w:rFonts w:ascii="Calibri" w:hAnsi="Calibri"/>
          <w:color w:val="1F2937"/>
          <w:sz w:val="22"/>
        </w:rPr>
        <w:t>Fiecare unitate de bază este conectată la rețeaua rutieră printr-un punct reprezentativ. Se calculează cel mai scurt timp rutier modelat până la fiecare centru candidat. O estimare bazată pe distanța în linie dreaptă este utilizată numai în cazurile în care rețeaua rutieră este deconectată.</w:t>
      </w:r>
    </w:p>
    <w:p>
      <w:r>
        <w:rPr>
          <w:rFonts w:ascii="Calibri" w:hAnsi="Calibri"/>
          <w:color w:val="1F2937"/>
          <w:sz w:val="22"/>
        </w:rPr>
        <w:t>Modelul reprezintă accesibilitatea aproximativă cu automobilul personal. El nu include congestia, orarele transportului public, întârzierile la punctele de control sau frontieră, starea drumurilor ori volumele de deplasări observate.</w:t>
      </w:r>
    </w:p>
    <w:p>
      <w:pPr>
        <w:pStyle w:val="Heading1"/>
      </w:pPr>
      <w:r>
        <w:t>Microregiunile</w:t>
      </w:r>
    </w:p>
    <w:p>
      <w:r>
        <w:rPr>
          <w:rFonts w:ascii="Calibri" w:hAnsi="Calibri"/>
          <w:color w:val="1F2937"/>
          <w:sz w:val="22"/>
        </w:rPr>
        <w:t>Microregiunile reprezintă arii cotidiene plauzibile pentru ocuparea forței de muncă, educație, sănătate, cumpărături și servicii publice. Fiecare unitate de bază inclusă este atribuită centrului reținut cu cea mai bună accesibilitate rutieră modelată.</w:t>
      </w:r>
    </w:p>
    <w:p>
      <w:r>
        <w:rPr>
          <w:rFonts w:ascii="Calibri" w:hAnsi="Calibri"/>
          <w:color w:val="1F2937"/>
          <w:sz w:val="22"/>
        </w:rPr>
        <w:t xml:space="preserve">Scenariul preferat pentru malul drept generează </w:t>
      </w:r>
      <w:r>
        <w:rPr>
          <w:rFonts w:ascii="Calibri" w:hAnsi="Calibri"/>
          <w:b/>
          <w:color w:val="1F2937"/>
          <w:sz w:val="22"/>
        </w:rPr>
        <w:t>34 de microregiuni</w:t>
      </w:r>
      <w:r>
        <w:rPr>
          <w:rFonts w:ascii="Calibri" w:hAnsi="Calibri"/>
          <w:color w:val="1F2937"/>
          <w:sz w:val="22"/>
        </w:rPr>
        <w:t>. Limitele lor sunt arii de captare modelate, nu zone observate de utilizare a serviciilor sau de navetism.</w:t>
      </w:r>
    </w:p>
    <w:p>
      <w:pPr>
        <w:pStyle w:val="Heading1"/>
      </w:pPr>
      <w:r>
        <w:t>Regiunile economice funcționale</w:t>
      </w:r>
    </w:p>
    <w:p>
      <w:r>
        <w:rPr>
          <w:rFonts w:ascii="Calibri" w:hAnsi="Calibri"/>
          <w:color w:val="1F2937"/>
          <w:sz w:val="22"/>
        </w:rPr>
        <w:t>Regiunile mai mari de pe malul drept sunt construite în jurul a șapte centre principale:</w:t>
      </w:r>
    </w:p>
    <w:p>
      <w:pPr>
        <w:pStyle w:val="ListNumber"/>
        <w:numPr>
          <w:ilvl w:val="0"/>
          <w:numId w:val="11"/>
        </w:numPr>
      </w:pPr>
      <w:r>
        <w:rPr>
          <w:rFonts w:ascii="Calibri" w:hAnsi="Calibri"/>
          <w:color w:val="1F2937"/>
          <w:sz w:val="22"/>
        </w:rPr>
        <w:t>Chișinău–Centru</w:t>
      </w:r>
    </w:p>
    <w:p>
      <w:pPr>
        <w:pStyle w:val="ListNumber"/>
        <w:numPr>
          <w:ilvl w:val="0"/>
          <w:numId w:val="11"/>
        </w:numPr>
      </w:pPr>
      <w:r>
        <w:rPr>
          <w:rFonts w:ascii="Calibri" w:hAnsi="Calibri"/>
          <w:color w:val="1F2937"/>
          <w:sz w:val="22"/>
        </w:rPr>
        <w:t>Bălți–Nord</w:t>
      </w:r>
    </w:p>
    <w:p>
      <w:pPr>
        <w:pStyle w:val="ListNumber"/>
        <w:numPr>
          <w:ilvl w:val="0"/>
          <w:numId w:val="11"/>
        </w:numPr>
      </w:pPr>
      <w:r>
        <w:rPr>
          <w:rFonts w:ascii="Calibri" w:hAnsi="Calibri"/>
          <w:color w:val="1F2937"/>
          <w:sz w:val="22"/>
        </w:rPr>
        <w:t>Ungheni–Vest</w:t>
      </w:r>
    </w:p>
    <w:p>
      <w:pPr>
        <w:pStyle w:val="ListNumber"/>
        <w:numPr>
          <w:ilvl w:val="0"/>
          <w:numId w:val="11"/>
        </w:numPr>
      </w:pPr>
      <w:r>
        <w:rPr>
          <w:rFonts w:ascii="Calibri" w:hAnsi="Calibri"/>
          <w:color w:val="1F2937"/>
          <w:sz w:val="22"/>
        </w:rPr>
        <w:t>Soroca–Nord-Est</w:t>
      </w:r>
    </w:p>
    <w:p>
      <w:pPr>
        <w:pStyle w:val="ListNumber"/>
        <w:numPr>
          <w:ilvl w:val="0"/>
          <w:numId w:val="11"/>
        </w:numPr>
      </w:pPr>
      <w:r>
        <w:rPr>
          <w:rFonts w:ascii="Calibri" w:hAnsi="Calibri"/>
          <w:color w:val="1F2937"/>
          <w:sz w:val="22"/>
        </w:rPr>
        <w:t>Orhei–Centru-Nord</w:t>
      </w:r>
    </w:p>
    <w:p>
      <w:pPr>
        <w:pStyle w:val="ListNumber"/>
        <w:numPr>
          <w:ilvl w:val="0"/>
          <w:numId w:val="11"/>
        </w:numPr>
      </w:pPr>
      <w:r>
        <w:rPr>
          <w:rFonts w:ascii="Calibri" w:hAnsi="Calibri"/>
          <w:color w:val="1F2937"/>
          <w:sz w:val="22"/>
        </w:rPr>
        <w:t>Cahul–Sud-Vest</w:t>
      </w:r>
    </w:p>
    <w:p>
      <w:pPr>
        <w:pStyle w:val="ListNumber"/>
        <w:numPr>
          <w:ilvl w:val="0"/>
          <w:numId w:val="11"/>
        </w:numPr>
      </w:pPr>
      <w:r>
        <w:rPr>
          <w:rFonts w:ascii="Calibri" w:hAnsi="Calibri"/>
          <w:color w:val="1F2937"/>
          <w:sz w:val="22"/>
        </w:rPr>
        <w:t>Comrat–Sud-Est</w:t>
      </w:r>
    </w:p>
    <w:p>
      <w:r>
        <w:rPr>
          <w:rFonts w:ascii="Calibri" w:hAnsi="Calibri"/>
          <w:color w:val="1F2937"/>
          <w:sz w:val="22"/>
        </w:rPr>
        <w:t>Fiecare unitate de bază este atribuită centrului principal cu cel mai scurt timp rutier modelat. Asemănarea dintre această hartă și versiunea anterioară cu șapte regiuni este firească: ambele utilizează aceleași centre de pe malul drept și, în linii mari, aceleași date privind populația și accesibilitatea rutieră.</w:t>
      </w:r>
    </w:p>
    <w:p>
      <w:r>
        <w:rPr>
          <w:rFonts w:ascii="Calibri" w:hAnsi="Calibri"/>
          <w:color w:val="1F2937"/>
          <w:sz w:val="22"/>
        </w:rPr>
        <w:t>Datele GHSL mai recente îmbunătățesc referința privind nucleele urbane, dar nu introduc fluxuri observate noi între localități.</w:t>
      </w:r>
    </w:p>
    <w:p>
      <w:pPr>
        <w:pStyle w:val="Heading1"/>
      </w:pPr>
      <w:r>
        <w:t>Tratarea malului stâng</w:t>
      </w:r>
    </w:p>
    <w:p>
      <w:r>
        <w:rPr>
          <w:rFonts w:ascii="Calibri" w:hAnsi="Calibri"/>
          <w:color w:val="1F2937"/>
          <w:sz w:val="22"/>
        </w:rPr>
        <w:t>Scenariul preferat exclude unitatea administrativ-teritorială din stânga Nistrului și municipiul Bender din lista centrelor și a destinațiilor. Drumurile din teritoriul exclus sunt eliminate din rețeaua de rutare, astfel încât modelul să nu le poată utiliza implicit drept scurtături.</w:t>
      </w:r>
    </w:p>
    <w:p>
      <w:r>
        <w:rPr>
          <w:rFonts w:ascii="Calibri" w:hAnsi="Calibri"/>
          <w:color w:val="1F2937"/>
          <w:sz w:val="22"/>
        </w:rPr>
        <w:t>Localitățile din raionul Dubăsari administrate de autoritățile constituționale rămân incluse. Prin urmare, expresia „malul drept” este utilizată în sensul instituțional uzual, nu ca o clasificare perfect literală în funcție de partea râului.</w:t>
      </w:r>
    </w:p>
    <w:p>
      <w:r>
        <w:rPr>
          <w:rFonts w:ascii="Calibri" w:hAnsi="Calibri"/>
          <w:color w:val="1F2937"/>
          <w:sz w:val="22"/>
        </w:rPr>
        <w:t>Zonele transnistrene trebuie incluse numai după efectuarea unui test explicit, bazat pe date observate precum navetismul, mobilitatea telefoniei mobile, transportul de mărfuri, tranzacțiile, frecventarea școlilor, fluxurile de pacienți sau deplasările cu transportul public.</w:t>
      </w:r>
    </w:p>
    <w:p>
      <w:pPr>
        <w:pStyle w:val="Heading1"/>
      </w:pPr>
      <w:r>
        <w:t>Interpretare și limitări</w:t>
      </w:r>
    </w:p>
    <w:p>
      <w:r>
        <w:rPr>
          <w:rFonts w:ascii="Calibri" w:hAnsi="Calibri"/>
          <w:color w:val="1F2937"/>
          <w:sz w:val="22"/>
        </w:rPr>
        <w:t>Hărțile disting trei tipuri de informații:</w:t>
      </w:r>
    </w:p>
    <w:p>
      <w:pPr>
        <w:pStyle w:val="ListBullet"/>
      </w:pPr>
      <w:r>
        <w:rPr>
          <w:rFonts w:ascii="Calibri" w:hAnsi="Calibri"/>
          <w:b/>
          <w:color w:val="1F2937"/>
          <w:sz w:val="22"/>
        </w:rPr>
        <w:t>observații publicate:</w:t>
      </w:r>
      <w:r>
        <w:rPr>
          <w:rFonts w:ascii="Calibri" w:hAnsi="Calibri"/>
          <w:color w:val="1F2937"/>
          <w:sz w:val="22"/>
        </w:rPr>
        <w:t xml:space="preserve"> populația recensământului, drumurile și serviciile cartografiate;</w:t>
      </w:r>
    </w:p>
    <w:p>
      <w:pPr>
        <w:pStyle w:val="ListBullet"/>
      </w:pPr>
      <w:r>
        <w:rPr>
          <w:rFonts w:ascii="Calibri" w:hAnsi="Calibri"/>
          <w:b/>
          <w:color w:val="1F2937"/>
          <w:sz w:val="22"/>
        </w:rPr>
        <w:t>modele externe publicate:</w:t>
      </w:r>
      <w:r>
        <w:rPr>
          <w:rFonts w:ascii="Calibri" w:hAnsi="Calibri"/>
          <w:color w:val="1F2937"/>
          <w:sz w:val="22"/>
        </w:rPr>
        <w:t xml:space="preserve"> nucleele urbane GHSL și reperul mai vechi GHSL FUA;</w:t>
      </w:r>
    </w:p>
    <w:p>
      <w:pPr>
        <w:pStyle w:val="ListBullet"/>
      </w:pPr>
      <w:r>
        <w:rPr>
          <w:rFonts w:ascii="Calibri" w:hAnsi="Calibri"/>
          <w:b/>
          <w:color w:val="1F2937"/>
          <w:sz w:val="22"/>
        </w:rPr>
        <w:t>inferențe modelate în cadrul proiectului:</w:t>
      </w:r>
      <w:r>
        <w:rPr>
          <w:rFonts w:ascii="Calibri" w:hAnsi="Calibri"/>
          <w:color w:val="1F2937"/>
          <w:sz w:val="22"/>
        </w:rPr>
        <w:t xml:space="preserve"> scorurile centrelor, timpii de călătorie, atribuirea ariilor de captare și limitele regionale.</w:t>
      </w:r>
    </w:p>
    <w:p>
      <w:r>
        <w:rPr>
          <w:rFonts w:ascii="Calibri" w:hAnsi="Calibri"/>
          <w:color w:val="1F2937"/>
          <w:sz w:val="22"/>
        </w:rPr>
        <w:t>Regiunile propuse nu trebuie descrise drept piețe ale muncii măsurate. Numărul și limitele lor sunt sensibile la alegerea centrelor, ipotezele privind timpul de călătorie, aria teritorială analizată și caracterul complet al datelor.</w:t>
      </w:r>
    </w:p>
    <w:p>
      <w:r>
        <w:rPr>
          <w:rFonts w:ascii="Calibri" w:hAnsi="Calibri"/>
          <w:color w:val="1F2937"/>
          <w:sz w:val="22"/>
        </w:rPr>
        <w:t>O revizuire adecvată pentru utilizare în politici publice trebuie să folosească fluxuri origine–destinație observate și să testeze mai multe praguri și scenarii alternative, în loc să se bazeze pe o singură hartă deterministă.</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Pagina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8"/>
      </w:rPr>
      <w:t>Geografia funcțională a Republicii Moldova | Notă metodologică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tatistica.gov.md/files/files/ComPresa/Recensamant/2024/Ro/Anexa_Localitati_RPL2024.xlsx" TargetMode="External"/><Relationship Id="rId12" Type="http://schemas.openxmlformats.org/officeDocument/2006/relationships/hyperlink" Target="https://download.geofabrik.de/europe/moldova.html" TargetMode="External"/><Relationship Id="rId13" Type="http://schemas.openxmlformats.org/officeDocument/2006/relationships/hyperlink" Target="https://human-settlement.emergency.copernicus.eu/ghs_fua.php" TargetMode="External"/><Relationship Id="rId14" Type="http://schemas.openxmlformats.org/officeDocument/2006/relationships/hyperlink" Target="https://human-settlement.emergency.copernicus.eu/ucdb2024Overview.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Hărțile geografiei economice funcționale a Republicii Moldova — Notă metodologică</dc:title>
  <dc:subject>Data, logic, methodology and limitations</dc:subject>
  <dc:creator>OpenAI Codex</dc:creator>
  <cp:keywords>Moldova, functional geography, accessibility, GHSL, census, methodology</cp:keywords>
  <dc:description>generated by python-docx</dc:description>
  <cp:lastModifiedBy/>
  <cp:revision>1</cp:revision>
  <dcterms:created xsi:type="dcterms:W3CDTF">2013-12-23T23:15:00Z</dcterms:created>
  <dcterms:modified xsi:type="dcterms:W3CDTF">2013-12-23T23:15:00Z</dcterms:modified>
  <cp:category/>
</cp:coreProperties>
</file>