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2"/>
          <w:szCs w:val="32"/>
        </w:rPr>
        <w:t xml:space="preserve">Metodologia determinării propunerii finale de amalgamare a APL de nivelul I</w:t>
      </w:r>
    </w:p>
    <w:p>
      <w:pPr>
        <w:spacing w:after="260"/>
        <w:jc w:val="center"/>
      </w:pPr>
      <w:r>
        <w:rPr>
          <w:rFonts w:ascii="Arial" w:cs="Arial" w:eastAsia="Arial" w:hAnsi="Arial"/>
          <w:i/>
          <w:iCs/>
          <w:color w:val="777777"/>
          <w:sz w:val="18"/>
          <w:szCs w:val="18"/>
        </w:rPr>
        <w:t xml:space="preserve">August 2026 · Republica Moldova · Material metodologic — însoțește Propunerea finală (225 UAT)</w:t>
      </w:r>
    </w:p>
    <w:p>
      <w:pPr>
        <w:pStyle w:val="Heading1"/>
        <w:spacing w:after="140" w:before="260"/>
      </w:pPr>
      <w:r>
        <w:rPr>
          <w:rFonts w:ascii="Arial" w:cs="Arial" w:eastAsia="Arial" w:hAnsi="Arial"/>
          <w:b/>
          <w:bCs/>
          <w:color w:val="1F4E79"/>
          <w:sz w:val="26"/>
          <w:szCs w:val="26"/>
        </w:rPr>
        <w:t xml:space="preserve">1. Punctul de pornire: realitatea amalgamării voluntare</w:t>
      </w:r>
    </w:p>
    <w:p>
      <w:pPr>
        <w:spacing w:after="140"/>
        <w:jc w:val="both"/>
      </w:pPr>
      <w:r>
        <w:rPr>
          <w:rFonts w:ascii="Arial" w:cs="Arial" w:eastAsia="Arial" w:hAnsi="Arial"/>
          <w:sz w:val="21"/>
          <w:szCs w:val="21"/>
        </w:rPr>
        <w:t xml:space="preserve">Analiza nu pornește de la o hartă ideală desenată pe teren gol, ci de la realitatea creată de faza voluntară a reformei. La 17 august 2026, 558 din cele 890 de APL de nivelul I monitorizate participau la 162 de clustere formate prin decizii proprii ale consiliilor locale (125 finalizate), iar două unități — orașul Leova și comuna Călinești — erau deja amalgamate juridic din prima etapă. Acest fapt a impus principiul fundamental al întregii analize: clusterele voluntare sunt nuclee intangibile — componența inițială rezultată din amalgamarea voluntară și centrul administrativ decis se păstrează integral, pentru că acolo există deja capital politic, decizii de consiliu și centre convenite. Intangibilitatea nu înseamnă însă închidere: nucleele pot primi noi UAT prin alocările normative, iar în varianta finală 100 dintre cele 162 de clustere au fost astfel extinse (218 din cele 271 de alocări merg către clustere voluntare existente). Problema de rezolvat rămâne astfel precis delimitată: cele 331 de APL rămase în afara procesului, dintre care 272 au sub 3.000 de locuitori și intră sub incidența amalgamării normative.</w:t>
      </w:r>
    </w:p>
    <w:p>
      <w:pPr>
        <w:pStyle w:val="Heading1"/>
        <w:spacing w:after="140" w:before="260"/>
      </w:pPr>
      <w:r>
        <w:rPr>
          <w:rFonts w:ascii="Arial" w:cs="Arial" w:eastAsia="Arial" w:hAnsi="Arial"/>
          <w:b/>
          <w:bCs/>
          <w:color w:val="1F4E79"/>
          <w:sz w:val="26"/>
          <w:szCs w:val="26"/>
        </w:rPr>
        <w:t xml:space="preserve">2. Referențialul: studiul scenariilor din decembrie 2018</w:t>
      </w:r>
    </w:p>
    <w:p>
      <w:pPr>
        <w:spacing w:after="140"/>
        <w:jc w:val="both"/>
      </w:pPr>
      <w:r>
        <w:rPr>
          <w:rFonts w:ascii="Arial" w:cs="Arial" w:eastAsia="Arial" w:hAnsi="Arial"/>
          <w:sz w:val="21"/>
          <w:szCs w:val="21"/>
        </w:rPr>
        <w:t xml:space="preserve">Drept referință de proiectare teritorială a fost preluat Studiul privind scenariile de reformă administrativ-teritorială (decembrie 2018), cu cele trei scenarii spațiale ale sale — moderat (231 UAT), intermediar (154) și compact (93) — și, esențial, cu parametrii de modelare din Anexa 9 și componența integrală a scenariilor din Anexele 10–12. Confruntarea, primărie cu primărie, a clusterelor voluntare cu grupurile scenariilor (măsurată prin indicele de suprapunere Jaccard) a arătat că procesul voluntar urmează în mod clar logica scenariului moderat (mediană 0,40, față de 0,33 la intermediar și 0,21 la compact), dar la o scară mai fragmentată. Această constatare a legitimat folosirea scenariului moderat ca "schelet" de proiectare pentru completarea hărții: acolo unde un APL neamalgamat își are partenerii de grup din scenariul moderat într-un cluster existent, acel cluster este candidatul natural.</w:t>
      </w:r>
    </w:p>
    <w:p>
      <w:pPr>
        <w:pStyle w:val="Heading1"/>
        <w:spacing w:after="140" w:before="260"/>
      </w:pPr>
      <w:r>
        <w:rPr>
          <w:rFonts w:ascii="Arial" w:cs="Arial" w:eastAsia="Arial" w:hAnsi="Arial"/>
          <w:b/>
          <w:bCs/>
          <w:color w:val="1F4E79"/>
          <w:sz w:val="26"/>
          <w:szCs w:val="26"/>
        </w:rPr>
        <w:t xml:space="preserve">3. Datele</w:t>
      </w:r>
    </w:p>
    <w:p>
      <w:pPr>
        <w:spacing w:after="140"/>
        <w:jc w:val="both"/>
      </w:pPr>
      <w:r>
        <w:rPr>
          <w:rFonts w:ascii="Arial" w:cs="Arial" w:eastAsia="Arial" w:hAnsi="Arial"/>
          <w:sz w:val="21"/>
          <w:szCs w:val="21"/>
        </w:rPr>
        <w:t xml:space="preserve">Toate variantele folosesc aceleași surse: populația cu reședința obișnuită de la Recensământul din 2024, agregată pe primării; capacitatea fiscală măsurată prin IVPF per capita (execuția 2024); componența clusterelor, statutul deciziilor și registrul procedurii normative din panoul public de monitorizare; geometriile administrative și rețeaua rutieră din OpenStreetMap; scenariile și criteriile studiului din 2018. Analiza acoperă exclusiv teritoriul aflat sub autoritatea autorităților constituționale.</w:t>
      </w:r>
    </w:p>
    <w:p>
      <w:pPr>
        <w:pStyle w:val="Heading1"/>
        <w:spacing w:after="140" w:before="260"/>
      </w:pPr>
      <w:r>
        <w:rPr>
          <w:rFonts w:ascii="Arial" w:cs="Arial" w:eastAsia="Arial" w:hAnsi="Arial"/>
          <w:b/>
          <w:bCs/>
          <w:color w:val="1F4E79"/>
          <w:sz w:val="26"/>
          <w:szCs w:val="26"/>
        </w:rPr>
        <w:t xml:space="preserve">4. Analiza multicriterială</w:t>
      </w:r>
    </w:p>
    <w:p>
      <w:pPr>
        <w:spacing w:after="140"/>
        <w:jc w:val="both"/>
      </w:pPr>
      <w:r>
        <w:rPr>
          <w:rFonts w:ascii="Arial" w:cs="Arial" w:eastAsia="Arial" w:hAnsi="Arial"/>
          <w:sz w:val="21"/>
          <w:szCs w:val="21"/>
        </w:rPr>
        <w:t xml:space="preserve">Alocarea fiecărui APL neamalgamat a fost evaluată printr-un set de criterii operaționalizate, derivate direct din criteriile studiului din 2018 și adaptate la datele disponibile:</w:t>
      </w:r>
    </w:p>
    <w:p>
      <w:pPr>
        <w:pStyle w:val="ListParagraph"/>
        <w:numPr>
          <w:ilvl w:val="0"/>
          <w:numId w:val="2"/>
        </w:numPr>
        <w:spacing w:after="80"/>
        <w:jc w:val="both"/>
      </w:pPr>
      <w:r>
        <w:rPr>
          <w:rFonts w:ascii="Arial" w:cs="Arial" w:eastAsia="Arial" w:hAnsi="Arial"/>
          <w:b/>
          <w:bCs/>
          <w:sz w:val="21"/>
          <w:szCs w:val="21"/>
        </w:rPr>
        <w:t xml:space="preserve">criteriul geografic (accesibilitate):</w:t>
      </w:r>
      <w:r>
        <w:rPr>
          <w:rFonts w:ascii="Arial" w:cs="Arial" w:eastAsia="Arial" w:hAnsi="Arial"/>
          <w:sz w:val="21"/>
          <w:szCs w:val="21"/>
        </w:rPr>
        <w:t xml:space="preserve"> timpul de parcurs pe drum până la centrul administrativ propus, modelat pe graful rutier OSM (ruta cea mai rapidă); pragul de alertă — 30–35 de minute; contiguitatea teritorială a fiecărei unități este obligatorie;</w:t>
      </w:r>
    </w:p>
    <w:p>
      <w:pPr>
        <w:pStyle w:val="ListParagraph"/>
        <w:numPr>
          <w:ilvl w:val="0"/>
          <w:numId w:val="2"/>
        </w:numPr>
        <w:spacing w:after="80"/>
        <w:jc w:val="both"/>
      </w:pPr>
      <w:r>
        <w:rPr>
          <w:rFonts w:ascii="Arial" w:cs="Arial" w:eastAsia="Arial" w:hAnsi="Arial"/>
          <w:b/>
          <w:bCs/>
          <w:sz w:val="21"/>
          <w:szCs w:val="21"/>
        </w:rPr>
        <w:t xml:space="preserve">criteriul demografic:</w:t>
      </w:r>
      <w:r>
        <w:rPr>
          <w:rFonts w:ascii="Arial" w:cs="Arial" w:eastAsia="Arial" w:hAnsi="Arial"/>
          <w:sz w:val="21"/>
          <w:szCs w:val="21"/>
        </w:rPr>
        <w:t xml:space="preserve"> unitățile rezultate țintesc minimum 3.000 de locuitori (o singură excepție documentată — Giurgiulești, statut special de punct de frontieră și port); centrele respectă pragurile Anexei 9 (de regulă minimum 1.500 de locuitori sau cea mai mare localitate, cu relaxările prevăzute);</w:t>
      </w:r>
    </w:p>
    <w:p>
      <w:pPr>
        <w:pStyle w:val="ListParagraph"/>
        <w:numPr>
          <w:ilvl w:val="0"/>
          <w:numId w:val="2"/>
        </w:numPr>
        <w:spacing w:after="80"/>
        <w:jc w:val="both"/>
      </w:pPr>
      <w:r>
        <w:rPr>
          <w:rFonts w:ascii="Arial" w:cs="Arial" w:eastAsia="Arial" w:hAnsi="Arial"/>
          <w:b/>
          <w:bCs/>
          <w:sz w:val="21"/>
          <w:szCs w:val="21"/>
        </w:rPr>
        <w:t xml:space="preserve">criteriul financiar:</w:t>
      </w:r>
      <w:r>
        <w:rPr>
          <w:rFonts w:ascii="Arial" w:cs="Arial" w:eastAsia="Arial" w:hAnsi="Arial"/>
          <w:sz w:val="21"/>
          <w:szCs w:val="21"/>
        </w:rPr>
        <w:t xml:space="preserve"> testul de capacitate fiscală al Anexei 9 — centrul administrativ are IVPF per capita de minimum 150 de lei și cel puțin 40–50% din maximul unității; centrele voluntare deja decise care nu trec testul sunt semnalate pentru politici de sprijin, nu înlocuite;</w:t>
      </w:r>
    </w:p>
    <w:p>
      <w:pPr>
        <w:pStyle w:val="ListParagraph"/>
        <w:numPr>
          <w:ilvl w:val="0"/>
          <w:numId w:val="2"/>
        </w:numPr>
        <w:spacing w:after="80"/>
        <w:jc w:val="both"/>
      </w:pPr>
      <w:r>
        <w:rPr>
          <w:rFonts w:ascii="Arial" w:cs="Arial" w:eastAsia="Arial" w:hAnsi="Arial"/>
          <w:b/>
          <w:bCs/>
          <w:sz w:val="21"/>
          <w:szCs w:val="21"/>
        </w:rPr>
        <w:t xml:space="preserve">criteriul coerenței cu designul 2018:</w:t>
      </w:r>
      <w:r>
        <w:rPr>
          <w:rFonts w:ascii="Arial" w:cs="Arial" w:eastAsia="Arial" w:hAnsi="Arial"/>
          <w:sz w:val="21"/>
          <w:szCs w:val="21"/>
        </w:rPr>
        <w:t xml:space="preserve"> apartenența la același grup al scenariului moderat este tratată ca argument de alocare, cu condiția unui timp de acces egal sau comparabil;</w:t>
      </w:r>
    </w:p>
    <w:p>
      <w:pPr>
        <w:pStyle w:val="ListParagraph"/>
        <w:numPr>
          <w:ilvl w:val="0"/>
          <w:numId w:val="2"/>
        </w:numPr>
        <w:spacing w:after="80"/>
        <w:jc w:val="both"/>
      </w:pPr>
      <w:r>
        <w:rPr>
          <w:rFonts w:ascii="Arial" w:cs="Arial" w:eastAsia="Arial" w:hAnsi="Arial"/>
          <w:b/>
          <w:bCs/>
          <w:sz w:val="21"/>
          <w:szCs w:val="21"/>
        </w:rPr>
        <w:t xml:space="preserve">criteriul etno-demografic:</w:t>
      </w:r>
      <w:r>
        <w:rPr>
          <w:rFonts w:ascii="Arial" w:cs="Arial" w:eastAsia="Arial" w:hAnsi="Arial"/>
          <w:sz w:val="21"/>
          <w:szCs w:val="21"/>
        </w:rPr>
        <w:t xml:space="preserve"> hotarele UTA Găgăuzia sunt păstrate integral, iar pentru raionul Taraclia s-a acordat prioritate alocărilor care mențin comunitățile împreună, în limitele accesibilității;</w:t>
      </w:r>
    </w:p>
    <w:p>
      <w:pPr>
        <w:pStyle w:val="ListParagraph"/>
        <w:numPr>
          <w:ilvl w:val="0"/>
          <w:numId w:val="2"/>
        </w:numPr>
        <w:spacing w:after="80"/>
        <w:jc w:val="both"/>
      </w:pPr>
      <w:r>
        <w:rPr>
          <w:rFonts w:ascii="Arial" w:cs="Arial" w:eastAsia="Arial" w:hAnsi="Arial"/>
          <w:b/>
          <w:bCs/>
          <w:sz w:val="21"/>
          <w:szCs w:val="21"/>
        </w:rPr>
        <w:t xml:space="preserve">neutralitatea raionului:</w:t>
      </w:r>
      <w:r>
        <w:rPr>
          <w:rFonts w:ascii="Arial" w:cs="Arial" w:eastAsia="Arial" w:hAnsi="Arial"/>
          <w:sz w:val="21"/>
          <w:szCs w:val="21"/>
        </w:rPr>
        <w:t xml:space="preserve"> apartenența la același raion NU este criteriu, bonus sau barieră — 51 dintre unitățile finale traversează hotarele raionale actuale acolo unde geografia și accesibilitatea o justifică.</w:t>
      </w:r>
    </w:p>
    <w:p>
      <w:pPr>
        <w:pStyle w:val="Heading1"/>
        <w:spacing w:after="140" w:before="260"/>
      </w:pPr>
      <w:r>
        <w:rPr>
          <w:rFonts w:ascii="Arial" w:cs="Arial" w:eastAsia="Arial" w:hAnsi="Arial"/>
          <w:b/>
          <w:bCs/>
          <w:color w:val="1F4E79"/>
          <w:sz w:val="26"/>
          <w:szCs w:val="26"/>
        </w:rPr>
        <w:t xml:space="preserve">5. Determinarea iterativă a celei mai bune propuneri</w:t>
      </w:r>
    </w:p>
    <w:p>
      <w:pPr>
        <w:spacing w:after="140"/>
        <w:jc w:val="both"/>
      </w:pPr>
      <w:r>
        <w:rPr>
          <w:rFonts w:ascii="Arial" w:cs="Arial" w:eastAsia="Arial" w:hAnsi="Arial"/>
          <w:sz w:val="21"/>
          <w:szCs w:val="21"/>
        </w:rPr>
        <w:t xml:space="preserve">Propunerea finală nu este produsul unei singure rulări de model, ci al unui proces în patru iterații, fiecare verificând-o și îmbunătățind-o pe precedenta. Iterația 1 a produs două variante ancorate în designul teritorial al studiului 2018 (V1 — strict legală, alocând doar APL sub 3.000; V2 — harta completă) și a extras integral registrul normativ. Iterația 2 a produs variantele A și B, aducând măsurarea reală a accesibilității pe rețeaua rutieră și formalizarea testului fiscal. Iterația 3 a confruntat primele două iterații alocare cu alocare: țintele identice (consensul) au fost promovate direct, iar divergențele au fost arbitrate printr-o regulă explicită — contiguitate și timp de acces mai întâi, apoi partenerii scenariului moderat 2018 la timp comparabil, apoi timpul rutier. Iterația 4 a corectat geometria de referință (891 UAT, reintegrarea nucleelor municipale Chișinău și Bălți, refacerea potrivirilor eronate) și a recalculat toate alocările pe această bază.</w:t>
      </w:r>
    </w:p>
    <w:p>
      <w:pPr>
        <w:spacing w:after="140"/>
        <w:jc w:val="both"/>
      </w:pPr>
      <w:r>
        <w:rPr>
          <w:rFonts w:ascii="Arial" w:cs="Arial" w:eastAsia="Arial" w:hAnsi="Arial"/>
          <w:sz w:val="21"/>
          <w:szCs w:val="21"/>
        </w:rPr>
        <w:t xml:space="preserve">Varianta finală sintetizează Iterațiile 3 și 4 după aceeași logică de consens și arbitraj: 189 de alocări confirmate identic de ambele linii de modelare au fost promovate fără modificare; 66 au fost preluate din Iterația 4, acolo unde timpul rutier măsurat este net superior sau unde geometria corectată a schimbat concluzia; 16 au fost ajustate către clusterele partenerilor din scenariul moderat 2018, exclusiv acolo unde timpul de acces este egal sau mai bun. Fiecare alocare din registrul final poartă proveniența deciziei și criteriul decisiv — propunerea este integral auditabilă.</w:t>
      </w:r>
    </w:p>
    <w:p>
      <w:pPr>
        <w:spacing w:after="140"/>
        <w:jc w:val="both"/>
      </w:pPr>
      <w:r>
        <w:rPr>
          <w:rFonts w:ascii="Arial" w:cs="Arial" w:eastAsia="Arial" w:hAnsi="Arial"/>
          <w:sz w:val="21"/>
          <w:szCs w:val="21"/>
        </w:rPr>
        <w:t xml:space="preserve">Iterațiile au fost determinate interactiv și iterativ cu sprijinul modelelor de inteligență artificială Claude Fable 5 și OpenAI Sol 5.6 Extra High, sub coordonarea și validarea autorului: fiecare iterație a fost verificată încrucișat de celălalt model, iar divergențele au fost soluționate pe criterii, nu prin preferință.</w:t>
      </w:r>
    </w:p>
    <w:p>
      <w:pPr>
        <w:pStyle w:val="Heading1"/>
        <w:spacing w:after="140" w:before="260"/>
      </w:pPr>
      <w:r>
        <w:rPr>
          <w:rFonts w:ascii="Arial" w:cs="Arial" w:eastAsia="Arial" w:hAnsi="Arial"/>
          <w:b/>
          <w:bCs/>
          <w:color w:val="1F4E79"/>
          <w:sz w:val="26"/>
          <w:szCs w:val="26"/>
        </w:rPr>
        <w:t xml:space="preserve">6. Verificare și limite</w:t>
      </w:r>
    </w:p>
    <w:p>
      <w:pPr>
        <w:spacing w:after="140"/>
        <w:jc w:val="both"/>
      </w:pPr>
      <w:r>
        <w:rPr>
          <w:rFonts w:ascii="Arial" w:cs="Arial" w:eastAsia="Arial" w:hAnsi="Arial"/>
          <w:sz w:val="21"/>
          <w:szCs w:val="21"/>
        </w:rPr>
        <w:t xml:space="preserve">Pe rezultatul final au fost verificate invariantele: fiecare UAT apare exact o dată; niciun cluster voluntar divizat; hotarele UTA Găgăuzia intacte; o singură unitate sub 3.000 de locuitori (excepția documentată). Limitele sunt declarate: timpii rutieri sunt modelați, nu observați (fără trafic, sezon sau transport public); pentru o parte dintre cele 16 ajustări timpul este estimat, nu măsurat; structura etnică pe APL nu a fost disponibilă ca variabilă; tabloul de bord al amalgamării este dinamic, iar extracția trebuie reîmprospătată înainte de o decizie formală. Propunerea este un model tehnic pentru consultare și validare, nu politică guvernamentală adoptată.</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2026-08-18T09:38:15.787Z</dcterms:created>
  <dcterms:modified xsi:type="dcterms:W3CDTF">2026-08-18T09:38:15.787Z</dcterms:modified>
</cp:coreProperties>
</file>

<file path=docProps/custom.xml><?xml version="1.0" encoding="utf-8"?>
<Properties xmlns="http://schemas.openxmlformats.org/officeDocument/2006/custom-properties" xmlns:vt="http://schemas.openxmlformats.org/officeDocument/2006/docPropsVTypes"/>
</file>