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color w:val="1F4E79"/>
          <w:sz w:val="32"/>
          <w:szCs w:val="32"/>
        </w:rPr>
        <w:t xml:space="preserve">Compararea primelor două iterații de modelare și varianta hibridă V3 (Iterația 3)</w:t>
      </w:r>
    </w:p>
    <w:p>
      <w:pPr>
        <w:spacing w:after="240"/>
        <w:jc w:val="center"/>
      </w:pPr>
      <w:r>
        <w:rPr>
          <w:rFonts w:ascii="Arial" w:cs="Arial" w:eastAsia="Arial" w:hAnsi="Arial"/>
          <w:i/>
          <w:iCs/>
          <w:color w:val="777777"/>
          <w:sz w:val="18"/>
          <w:szCs w:val="18"/>
        </w:rPr>
        <w:t xml:space="preserve">August 2026 · Iterațiile comparate: Iterația 1 (V1/V2) și Iterația 2 (A/B) · Populația: recensământ 2024, reședința obișnuită · Fără regiunea transnistreană</w:t>
      </w:r>
    </w:p>
    <w:p>
      <w:pPr>
        <w:pStyle w:val="Heading1"/>
        <w:spacing w:after="160" w:before="280"/>
      </w:pPr>
      <w:r>
        <w:rPr>
          <w:rFonts w:ascii="Arial" w:cs="Arial" w:eastAsia="Arial" w:hAnsi="Arial"/>
          <w:b/>
          <w:bCs/>
          <w:color w:val="1F4E79"/>
          <w:sz w:val="28"/>
          <w:szCs w:val="28"/>
        </w:rPr>
        <w:t xml:space="preserve">1. Convergențe majore — validare încrucișată</w:t>
      </w:r>
    </w:p>
    <w:p>
      <w:pPr>
        <w:spacing w:after="120"/>
        <w:jc w:val="both"/>
      </w:pPr>
      <w:r>
        <w:rPr>
          <w:rFonts w:ascii="Arial" w:cs="Arial" w:eastAsia="Arial" w:hAnsi="Arial"/>
          <w:sz w:val="21"/>
          <w:szCs w:val="21"/>
        </w:rPr>
        <w:t xml:space="preserve">Cele două iterații au fost elaborate independent, cu metode diferite, și totuși converg asupra elementelor structurale esențiale, ceea ce constituie o validare încrucișată puternică a cadrului de decizie:</w:t>
      </w:r>
    </w:p>
    <w:p>
      <w:pPr>
        <w:pStyle w:val="ListParagraph"/>
        <w:numPr>
          <w:ilvl w:val="0"/>
          <w:numId w:val="2"/>
        </w:numPr>
        <w:spacing w:after="80"/>
        <w:jc w:val="both"/>
      </w:pPr>
      <w:r>
        <w:rPr>
          <w:rFonts w:ascii="Arial" w:cs="Arial" w:eastAsia="Arial" w:hAnsi="Arial"/>
          <w:sz w:val="21"/>
          <w:szCs w:val="21"/>
        </w:rPr>
        <w:t xml:space="preserve">Aceeași structură-țintă: ambele îngheață clusterele voluntare ca intangibile și ajung la exact 222 de unități propuse pentru varianta strict legală.</w:t>
      </w:r>
    </w:p>
    <w:p>
      <w:pPr>
        <w:pStyle w:val="ListParagraph"/>
        <w:numPr>
          <w:ilvl w:val="0"/>
          <w:numId w:val="2"/>
        </w:numPr>
        <w:spacing w:after="80"/>
        <w:jc w:val="both"/>
      </w:pPr>
      <w:r>
        <w:rPr>
          <w:rFonts w:ascii="Arial" w:cs="Arial" w:eastAsia="Arial" w:hAnsi="Arial"/>
          <w:sz w:val="21"/>
          <w:szCs w:val="21"/>
        </w:rPr>
        <w:t xml:space="preserve">Același domeniu legal: ambele identifică independent aceleași 272 APL sub 3.000 de locuitori care trebuie alocate normativ — nicio diferență de scop.</w:t>
      </w:r>
    </w:p>
    <w:p>
      <w:pPr>
        <w:pStyle w:val="ListParagraph"/>
        <w:numPr>
          <w:ilvl w:val="0"/>
          <w:numId w:val="2"/>
        </w:numPr>
        <w:spacing w:after="80"/>
        <w:jc w:val="both"/>
      </w:pPr>
      <w:r>
        <w:rPr>
          <w:rFonts w:ascii="Arial" w:cs="Arial" w:eastAsia="Arial" w:hAnsi="Arial"/>
          <w:sz w:val="21"/>
          <w:szCs w:val="21"/>
        </w:rPr>
        <w:t xml:space="preserve">Aceleași protecții: hotarele UTA Găgăuzia, tratamentul special Taraclia, unitățile deja amalgamate Leova și Călinești păstrate ca indivizibile.</w:t>
      </w:r>
    </w:p>
    <w:p>
      <w:pPr>
        <w:pStyle w:val="ListParagraph"/>
        <w:numPr>
          <w:ilvl w:val="0"/>
          <w:numId w:val="2"/>
        </w:numPr>
        <w:spacing w:after="80"/>
        <w:jc w:val="both"/>
      </w:pPr>
      <w:r>
        <w:rPr>
          <w:rFonts w:ascii="Arial" w:cs="Arial" w:eastAsia="Arial" w:hAnsi="Arial"/>
          <w:sz w:val="21"/>
          <w:szCs w:val="21"/>
        </w:rPr>
        <w:t xml:space="preserve">Aceeași concluzie strategică: scenariile intermediar și compact din 2018 rămân referințe structurale, nu pot fi transplantate direct peste clusterele voluntare existente.</w:t>
      </w:r>
    </w:p>
    <w:p>
      <w:pPr>
        <w:pStyle w:val="ListParagraph"/>
        <w:numPr>
          <w:ilvl w:val="0"/>
          <w:numId w:val="2"/>
        </w:numPr>
        <w:spacing w:after="80"/>
        <w:jc w:val="both"/>
      </w:pPr>
      <w:r>
        <w:rPr>
          <w:rFonts w:ascii="Arial" w:cs="Arial" w:eastAsia="Arial" w:hAnsi="Arial"/>
          <w:sz w:val="21"/>
          <w:szCs w:val="21"/>
        </w:rPr>
        <w:t xml:space="preserve">Consens pe alocări: 137 din 272 de alocări (50,4%) au ținte identice în ambele iterații — acestea pot fi considerate soluții robuste, confirmate de două metode independente.</w:t>
      </w:r>
    </w:p>
    <w:p>
      <w:pPr>
        <w:pStyle w:val="Heading1"/>
        <w:spacing w:after="160" w:before="280"/>
      </w:pPr>
      <w:r>
        <w:rPr>
          <w:rFonts w:ascii="Arial" w:cs="Arial" w:eastAsia="Arial" w:hAnsi="Arial"/>
          <w:b/>
          <w:bCs/>
          <w:color w:val="1F4E79"/>
          <w:sz w:val="28"/>
          <w:szCs w:val="28"/>
        </w:rPr>
        <w:t xml:space="preserve">2. Diferențe de metodă și calitatea datelor</w:t>
      </w:r>
    </w:p>
    <w:tbl>
      <w:tblPr>
        <w:tblW w:type="dxa" w:w="10900"/>
        <w:tblBorders>
          <w:top w:val="single" w:color="auto" w:sz="4"/>
          <w:left w:val="single" w:color="auto" w:sz="4"/>
          <w:bottom w:val="single" w:color="auto" w:sz="4"/>
          <w:right w:val="single" w:color="auto" w:sz="4"/>
          <w:insideH w:val="single" w:color="auto" w:sz="4"/>
          <w:insideV w:val="single" w:color="auto" w:sz="4"/>
        </w:tblBorders>
      </w:tblPr>
      <w:tblGrid>
        <w:gridCol w:w="2300"/>
        <w:gridCol w:w="4300"/>
        <w:gridCol w:w="4300"/>
      </w:tblGrid>
      <w:tr>
        <w:tc>
          <w:tcPr>
            <w:tcW w:type="dxa" w:w="2300"/>
            <w:shd w:fill="1F4E79" w:val="clear"/>
            <w:tcMar>
              <w:top w:type="dxa" w:w="40"/>
              <w:left w:type="dxa" w:w="80"/>
              <w:bottom w:type="dxa" w:w="40"/>
              <w:right w:type="dxa" w:w="80"/>
            </w:tcMar>
          </w:tcPr>
          <w:p>
            <w:r>
              <w:rPr>
                <w:rFonts w:ascii="Arial" w:cs="Arial" w:eastAsia="Arial" w:hAnsi="Arial"/>
                <w:b/>
                <w:bCs/>
                <w:color w:val="FFFFFF"/>
                <w:sz w:val="18"/>
                <w:szCs w:val="18"/>
              </w:rPr>
              <w:t xml:space="preserve">Dimensiune</w:t>
            </w:r>
          </w:p>
        </w:tc>
        <w:tc>
          <w:tcPr>
            <w:tcW w:type="dxa" w:w="4300"/>
            <w:shd w:fill="1F4E79" w:val="clear"/>
            <w:tcMar>
              <w:top w:type="dxa" w:w="40"/>
              <w:left w:type="dxa" w:w="80"/>
              <w:bottom w:type="dxa" w:w="40"/>
              <w:right w:type="dxa" w:w="80"/>
            </w:tcMar>
          </w:tcPr>
          <w:p>
            <w:r>
              <w:rPr>
                <w:rFonts w:ascii="Arial" w:cs="Arial" w:eastAsia="Arial" w:hAnsi="Arial"/>
                <w:b/>
                <w:bCs/>
                <w:color w:val="FFFFFF"/>
                <w:sz w:val="18"/>
                <w:szCs w:val="18"/>
              </w:rPr>
              <w:t xml:space="preserve">Iterația 1 (V1/V2)</w:t>
            </w:r>
          </w:p>
        </w:tc>
        <w:tc>
          <w:tcPr>
            <w:tcW w:type="dxa" w:w="4300"/>
            <w:shd w:fill="1F4E79" w:val="clear"/>
            <w:tcMar>
              <w:top w:type="dxa" w:w="40"/>
              <w:left w:type="dxa" w:w="80"/>
              <w:bottom w:type="dxa" w:w="40"/>
              <w:right w:type="dxa" w:w="80"/>
            </w:tcMar>
          </w:tcPr>
          <w:p>
            <w:r>
              <w:rPr>
                <w:rFonts w:ascii="Arial" w:cs="Arial" w:eastAsia="Arial" w:hAnsi="Arial"/>
                <w:b/>
                <w:bCs/>
                <w:color w:val="FFFFFF"/>
                <w:sz w:val="18"/>
                <w:szCs w:val="18"/>
              </w:rPr>
              <w:t xml:space="preserve">Iterația 2 (A/B)</w:t>
            </w:r>
          </w:p>
        </w:tc>
      </w:tr>
      <w:tr>
        <w:tc>
          <w:tcPr>
            <w:tcW w:type="dxa" w:w="2300"/>
            <w:tcMar>
              <w:top w:type="dxa" w:w="40"/>
              <w:left w:type="dxa" w:w="80"/>
              <w:bottom w:type="dxa" w:w="40"/>
              <w:right w:type="dxa" w:w="80"/>
            </w:tcMar>
          </w:tcPr>
          <w:p>
            <w:r>
              <w:rPr>
                <w:rFonts w:ascii="Arial" w:cs="Arial" w:eastAsia="Arial" w:hAnsi="Arial"/>
                <w:sz w:val="18"/>
                <w:szCs w:val="18"/>
              </w:rPr>
              <w:t xml:space="preserve">Extracția datelor PowerBI</w:t>
            </w:r>
          </w:p>
        </w:tc>
        <w:tc>
          <w:tcPr>
            <w:tcW w:type="dxa" w:w="4300"/>
            <w:tcMar>
              <w:top w:type="dxa" w:w="40"/>
              <w:left w:type="dxa" w:w="80"/>
              <w:bottom w:type="dxa" w:w="40"/>
              <w:right w:type="dxa" w:w="80"/>
            </w:tcMar>
          </w:tcPr>
          <w:p>
            <w:r>
              <w:rPr>
                <w:rFonts w:ascii="Arial" w:cs="Arial" w:eastAsia="Arial" w:hAnsi="Arial"/>
                <w:sz w:val="18"/>
                <w:szCs w:val="18"/>
              </w:rPr>
              <w:t xml:space="preserve">Registrul normativ complet (347 APL vizate); toate cele 161 clustere</w:t>
            </w:r>
          </w:p>
        </w:tc>
        <w:tc>
          <w:tcPr>
            <w:tcW w:type="dxa" w:w="4300"/>
            <w:tcMar>
              <w:top w:type="dxa" w:w="40"/>
              <w:left w:type="dxa" w:w="80"/>
              <w:bottom w:type="dxa" w:w="40"/>
              <w:right w:type="dxa" w:w="80"/>
            </w:tcMar>
          </w:tcPr>
          <w:p>
            <w:r>
              <w:rPr>
                <w:rFonts w:ascii="Arial" w:cs="Arial" w:eastAsia="Arial" w:hAnsi="Arial"/>
                <w:sz w:val="18"/>
                <w:szCs w:val="18"/>
              </w:rPr>
              <w:t xml:space="preserve">Registrul normativ parțial (73 rânduri afișate); aceleași clustere</w:t>
            </w:r>
          </w:p>
        </w:tc>
      </w:tr>
      <w:tr>
        <w:tc>
          <w:tcPr>
            <w:tcW w:type="dxa" w:w="2300"/>
            <w:shd w:fill="F2F7FB" w:val="clear"/>
            <w:tcMar>
              <w:top w:type="dxa" w:w="40"/>
              <w:left w:type="dxa" w:w="80"/>
              <w:bottom w:type="dxa" w:w="40"/>
              <w:right w:type="dxa" w:w="80"/>
            </w:tcMar>
          </w:tcPr>
          <w:p>
            <w:r>
              <w:rPr>
                <w:rFonts w:ascii="Arial" w:cs="Arial" w:eastAsia="Arial" w:hAnsi="Arial"/>
                <w:sz w:val="18"/>
                <w:szCs w:val="18"/>
              </w:rPr>
              <w:t xml:space="preserve">Criteriile 2018</w:t>
            </w:r>
          </w:p>
        </w:tc>
        <w:tc>
          <w:tcPr>
            <w:tcW w:type="dxa" w:w="4300"/>
            <w:shd w:fill="F2F7FB" w:val="clear"/>
            <w:tcMar>
              <w:top w:type="dxa" w:w="40"/>
              <w:left w:type="dxa" w:w="80"/>
              <w:bottom w:type="dxa" w:w="40"/>
              <w:right w:type="dxa" w:w="80"/>
            </w:tcMar>
          </w:tcPr>
          <w:p>
            <w:r>
              <w:rPr>
                <w:rFonts w:ascii="Arial" w:cs="Arial" w:eastAsia="Arial" w:hAnsi="Arial"/>
                <w:sz w:val="18"/>
                <w:szCs w:val="18"/>
              </w:rPr>
              <w:t xml:space="preserve">Simplificate (centru ≥1.500 loc.; distanțe centroid)</w:t>
            </w:r>
          </w:p>
        </w:tc>
        <w:tc>
          <w:tcPr>
            <w:tcW w:type="dxa" w:w="4300"/>
            <w:shd w:fill="F2F7FB" w:val="clear"/>
            <w:tcMar>
              <w:top w:type="dxa" w:w="40"/>
              <w:left w:type="dxa" w:w="80"/>
              <w:bottom w:type="dxa" w:w="40"/>
              <w:right w:type="dxa" w:w="80"/>
            </w:tcMar>
          </w:tcPr>
          <w:p>
            <w:r>
              <w:rPr>
                <w:rFonts w:ascii="Arial" w:cs="Arial" w:eastAsia="Arial" w:hAnsi="Arial"/>
                <w:sz w:val="18"/>
                <w:szCs w:val="18"/>
              </w:rPr>
              <w:t xml:space="preserve">Fidele Anexei 9: 12/18/25 km; centru 700/900/1.500 cu relaxări; fiscal ≥150 lei și 40–50% din maxim</w:t>
            </w:r>
          </w:p>
        </w:tc>
      </w:tr>
      <w:tr>
        <w:tc>
          <w:tcPr>
            <w:tcW w:type="dxa" w:w="2300"/>
            <w:tcMar>
              <w:top w:type="dxa" w:w="40"/>
              <w:left w:type="dxa" w:w="80"/>
              <w:bottom w:type="dxa" w:w="40"/>
              <w:right w:type="dxa" w:w="80"/>
            </w:tcMar>
          </w:tcPr>
          <w:p>
            <w:r>
              <w:rPr>
                <w:rFonts w:ascii="Arial" w:cs="Arial" w:eastAsia="Arial" w:hAnsi="Arial"/>
                <w:sz w:val="18"/>
                <w:szCs w:val="18"/>
              </w:rPr>
              <w:t xml:space="preserve">Accesibilitate</w:t>
            </w:r>
          </w:p>
        </w:tc>
        <w:tc>
          <w:tcPr>
            <w:tcW w:type="dxa" w:w="4300"/>
            <w:tcMar>
              <w:top w:type="dxa" w:w="40"/>
              <w:left w:type="dxa" w:w="80"/>
              <w:bottom w:type="dxa" w:w="40"/>
              <w:right w:type="dxa" w:w="80"/>
            </w:tcMar>
          </w:tcPr>
          <w:p>
            <w:r>
              <w:rPr>
                <w:rFonts w:ascii="Arial" w:cs="Arial" w:eastAsia="Arial" w:hAnsi="Arial"/>
                <w:sz w:val="18"/>
                <w:szCs w:val="18"/>
              </w:rPr>
              <w:t xml:space="preserve">Distanțe în linie dreaptă între centroizi</w:t>
            </w:r>
          </w:p>
        </w:tc>
        <w:tc>
          <w:tcPr>
            <w:tcW w:type="dxa" w:w="4300"/>
            <w:tcMar>
              <w:top w:type="dxa" w:w="40"/>
              <w:left w:type="dxa" w:w="80"/>
              <w:bottom w:type="dxa" w:w="40"/>
              <w:right w:type="dxa" w:w="80"/>
            </w:tcMar>
          </w:tcPr>
          <w:p>
            <w:r>
              <w:rPr>
                <w:rFonts w:ascii="Arial" w:cs="Arial" w:eastAsia="Arial" w:hAnsi="Arial"/>
                <w:sz w:val="18"/>
                <w:szCs w:val="18"/>
              </w:rPr>
              <w:t xml:space="preserve">Timpi de parcurs pe rețeaua rutieră OSM (ruta cea mai rapidă)</w:t>
            </w:r>
          </w:p>
        </w:tc>
      </w:tr>
      <w:tr>
        <w:tc>
          <w:tcPr>
            <w:tcW w:type="dxa" w:w="2300"/>
            <w:shd w:fill="F2F7FB" w:val="clear"/>
            <w:tcMar>
              <w:top w:type="dxa" w:w="40"/>
              <w:left w:type="dxa" w:w="80"/>
              <w:bottom w:type="dxa" w:w="40"/>
              <w:right w:type="dxa" w:w="80"/>
            </w:tcMar>
          </w:tcPr>
          <w:p>
            <w:r>
              <w:rPr>
                <w:rFonts w:ascii="Arial" w:cs="Arial" w:eastAsia="Arial" w:hAnsi="Arial"/>
                <w:sz w:val="18"/>
                <w:szCs w:val="18"/>
              </w:rPr>
              <w:t xml:space="preserve">Logica alocării</w:t>
            </w:r>
          </w:p>
        </w:tc>
        <w:tc>
          <w:tcPr>
            <w:tcW w:type="dxa" w:w="4300"/>
            <w:shd w:fill="F2F7FB" w:val="clear"/>
            <w:tcMar>
              <w:top w:type="dxa" w:w="40"/>
              <w:left w:type="dxa" w:w="80"/>
              <w:bottom w:type="dxa" w:w="40"/>
              <w:right w:type="dxa" w:w="80"/>
            </w:tcMar>
          </w:tcPr>
          <w:p>
            <w:r>
              <w:rPr>
                <w:rFonts w:ascii="Arial" w:cs="Arial" w:eastAsia="Arial" w:hAnsi="Arial"/>
                <w:sz w:val="18"/>
                <w:szCs w:val="18"/>
              </w:rPr>
              <w:t xml:space="preserve">Partenerii din grupul scenariului moderat 2018; centre noi ≥1.500 permise; fără barieră de raion</w:t>
            </w:r>
          </w:p>
        </w:tc>
        <w:tc>
          <w:tcPr>
            <w:tcW w:type="dxa" w:w="4300"/>
            <w:shd w:fill="F2F7FB" w:val="clear"/>
            <w:tcMar>
              <w:top w:type="dxa" w:w="40"/>
              <w:left w:type="dxa" w:w="80"/>
              <w:bottom w:type="dxa" w:w="40"/>
              <w:right w:type="dxa" w:w="80"/>
            </w:tcMar>
          </w:tcPr>
          <w:p>
            <w:r>
              <w:rPr>
                <w:rFonts w:ascii="Arial" w:cs="Arial" w:eastAsia="Arial" w:hAnsi="Arial"/>
                <w:sz w:val="18"/>
                <w:szCs w:val="18"/>
              </w:rPr>
              <w:t xml:space="preserve">Cel mai apropiat ancoraj viabil din același raion (A); excepții inter-raionale limitate (B) — restricție eliminată în V3</w:t>
            </w:r>
          </w:p>
        </w:tc>
      </w:tr>
      <w:tr>
        <w:tc>
          <w:tcPr>
            <w:tcW w:type="dxa" w:w="2300"/>
            <w:tcMar>
              <w:top w:type="dxa" w:w="40"/>
              <w:left w:type="dxa" w:w="80"/>
              <w:bottom w:type="dxa" w:w="40"/>
              <w:right w:type="dxa" w:w="80"/>
            </w:tcMar>
          </w:tcPr>
          <w:p>
            <w:r>
              <w:rPr>
                <w:rFonts w:ascii="Arial" w:cs="Arial" w:eastAsia="Arial" w:hAnsi="Arial"/>
                <w:sz w:val="18"/>
                <w:szCs w:val="18"/>
              </w:rPr>
              <w:t xml:space="preserve">Structura (272 alocări)</w:t>
            </w:r>
          </w:p>
        </w:tc>
        <w:tc>
          <w:tcPr>
            <w:tcW w:type="dxa" w:w="4300"/>
            <w:tcMar>
              <w:top w:type="dxa" w:w="40"/>
              <w:left w:type="dxa" w:w="80"/>
              <w:bottom w:type="dxa" w:w="40"/>
              <w:right w:type="dxa" w:w="80"/>
            </w:tcMar>
          </w:tcPr>
          <w:p>
            <w:r>
              <w:rPr>
                <w:rFonts w:ascii="Arial" w:cs="Arial" w:eastAsia="Arial" w:hAnsi="Arial"/>
                <w:sz w:val="18"/>
                <w:szCs w:val="18"/>
              </w:rPr>
              <w:t xml:space="preserve">162 clustere + 17 noi + 43 solo = 222</w:t>
            </w:r>
          </w:p>
        </w:tc>
        <w:tc>
          <w:tcPr>
            <w:tcW w:type="dxa" w:w="4300"/>
            <w:tcMar>
              <w:top w:type="dxa" w:w="40"/>
              <w:left w:type="dxa" w:w="80"/>
              <w:bottom w:type="dxa" w:w="40"/>
              <w:right w:type="dxa" w:w="80"/>
            </w:tcMar>
          </w:tcPr>
          <w:p>
            <w:r>
              <w:rPr>
                <w:rFonts w:ascii="Arial" w:cs="Arial" w:eastAsia="Arial" w:hAnsi="Arial"/>
                <w:sz w:val="18"/>
                <w:szCs w:val="18"/>
              </w:rPr>
              <w:t xml:space="preserve">161 clustere + 61 solo = 222</w:t>
            </w:r>
          </w:p>
        </w:tc>
      </w:tr>
      <w:tr>
        <w:tc>
          <w:tcPr>
            <w:tcW w:type="dxa" w:w="2300"/>
            <w:shd w:fill="F2F7FB" w:val="clear"/>
            <w:tcMar>
              <w:top w:type="dxa" w:w="40"/>
              <w:left w:type="dxa" w:w="80"/>
              <w:bottom w:type="dxa" w:w="40"/>
              <w:right w:type="dxa" w:w="80"/>
            </w:tcMar>
          </w:tcPr>
          <w:p>
            <w:r>
              <w:rPr>
                <w:rFonts w:ascii="Arial" w:cs="Arial" w:eastAsia="Arial" w:hAnsi="Arial"/>
                <w:sz w:val="18"/>
                <w:szCs w:val="18"/>
              </w:rPr>
              <w:t xml:space="preserve">Puncte forte</w:t>
            </w:r>
          </w:p>
        </w:tc>
        <w:tc>
          <w:tcPr>
            <w:tcW w:type="dxa" w:w="4300"/>
            <w:shd w:fill="F2F7FB" w:val="clear"/>
            <w:tcMar>
              <w:top w:type="dxa" w:w="40"/>
              <w:left w:type="dxa" w:w="80"/>
              <w:bottom w:type="dxa" w:w="40"/>
              <w:right w:type="dxa" w:w="80"/>
            </w:tcMar>
          </w:tcPr>
          <w:p>
            <w:r>
              <w:rPr>
                <w:rFonts w:ascii="Arial" w:cs="Arial" w:eastAsia="Arial" w:hAnsi="Arial"/>
                <w:sz w:val="18"/>
                <w:szCs w:val="18"/>
              </w:rPr>
              <w:t xml:space="preserve">Ancorare în designul teritorial 2018; contiguitate topologică verificată; acoperirea completă a registrului normativ</w:t>
            </w:r>
          </w:p>
        </w:tc>
        <w:tc>
          <w:tcPr>
            <w:tcW w:type="dxa" w:w="4300"/>
            <w:shd w:fill="F2F7FB" w:val="clear"/>
            <w:tcMar>
              <w:top w:type="dxa" w:w="40"/>
              <w:left w:type="dxa" w:w="80"/>
              <w:bottom w:type="dxa" w:w="40"/>
              <w:right w:type="dxa" w:w="80"/>
            </w:tcMar>
          </w:tcPr>
          <w:p>
            <w:r>
              <w:rPr>
                <w:rFonts w:ascii="Arial" w:cs="Arial" w:eastAsia="Arial" w:hAnsi="Arial"/>
                <w:sz w:val="18"/>
                <w:szCs w:val="18"/>
              </w:rPr>
              <w:t xml:space="preserve">Accesibilitate reală (rutieră); testul fiscal formalizat; QA de date detaliat (Ghindești, etichetele Criuleni)</w:t>
            </w:r>
          </w:p>
        </w:tc>
      </w:tr>
    </w:tbl>
    <w:p>
      <w:pPr>
        <w:spacing w:after="120"/>
      </w:pPr>
      <w:r>
        <w:rPr>
          <w:rFonts w:ascii="Arial" w:cs="Arial" w:eastAsia="Arial" w:hAnsi="Arial"/>
          <w:sz w:val="12"/>
          <w:szCs w:val="12"/>
        </w:rPr>
        <w:t xml:space="preserve"/>
      </w:r>
    </w:p>
    <w:p>
      <w:pPr>
        <w:spacing w:after="120"/>
        <w:jc w:val="both"/>
      </w:pPr>
      <w:r>
        <w:rPr>
          <w:rFonts w:ascii="Arial" w:cs="Arial" w:eastAsia="Arial" w:hAnsi="Arial"/>
          <w:sz w:val="21"/>
          <w:szCs w:val="21"/>
        </w:rPr>
        <w:t xml:space="preserve">Fiecare iterație este mai puternică pe o dimensiune diferită: Iterația 1 valorifică designul teritorial al studiului din 2018 (alocarea către clusterele în care se află partenerii de grup din scenariul moderat) și a extras integral registrul normativ din PowerBI (347 APL vizate față de 73 de rânduri în extrasul Iterației 2), permitând și crearea de clustere noi în jurul centrelor desemnate de studiu; Iterația 2 aduce măsurarea reală a accesibilității (timpi de parcurs pe rețeaua rutieră OpenStreetMap, nu distanțe în linie dreaptă) și aplicarea fidelă a parametrilor din Anexa 9 a studiului, inclusiv testul de capacitate fiscală (minim 150 lei/locuitor și minim 40–50% din capacitatea maximă a unității). Verificarea Anexei 9 în textul studiului confirmă acuratețea parametrilor preluați în Iterația 2. Iterațiile au fost determinate interactiv cu sprijinul modelelor de inteligență artificială Claude Fable 5 și OpenAI Sol 5.6 Extra High, sub coordonarea și validarea autorului.</w:t>
      </w:r>
    </w:p>
    <w:p>
      <w:pPr>
        <w:pStyle w:val="Heading1"/>
        <w:spacing w:after="160" w:before="280"/>
      </w:pPr>
      <w:r>
        <w:rPr>
          <w:rFonts w:ascii="Arial" w:cs="Arial" w:eastAsia="Arial" w:hAnsi="Arial"/>
          <w:b/>
          <w:bCs/>
          <w:color w:val="1F4E79"/>
          <w:sz w:val="28"/>
          <w:szCs w:val="28"/>
        </w:rPr>
        <w:t xml:space="preserve">3. Propunerea îmbunătățită V3 — consens plus arbitraj pe criterii</w:t>
      </w:r>
    </w:p>
    <w:p>
      <w:pPr>
        <w:spacing w:after="120"/>
        <w:jc w:val="both"/>
      </w:pPr>
      <w:r>
        <w:rPr>
          <w:rFonts w:ascii="Arial" w:cs="Arial" w:eastAsia="Arial" w:hAnsi="Arial"/>
          <w:sz w:val="21"/>
          <w:szCs w:val="21"/>
        </w:rPr>
        <w:t xml:space="preserve">V3 (Iterația 3) combină cele două iterații printr-o regulă de decizie explicită, aplicată fiecăreia dintre cele 272 de alocări:</w:t>
      </w:r>
    </w:p>
    <w:p>
      <w:pPr>
        <w:pStyle w:val="ListParagraph"/>
        <w:numPr>
          <w:ilvl w:val="0"/>
          <w:numId w:val="2"/>
        </w:numPr>
        <w:spacing w:after="80"/>
        <w:jc w:val="both"/>
      </w:pPr>
      <w:r>
        <w:rPr>
          <w:rFonts w:ascii="Arial" w:cs="Arial" w:eastAsia="Arial" w:hAnsi="Arial"/>
          <w:sz w:val="21"/>
          <w:szCs w:val="21"/>
        </w:rPr>
        <w:t xml:space="preserve">Consens (137 alocări): ținta identică din ambele iterații se păstrează ca atare.</w:t>
      </w:r>
    </w:p>
    <w:p>
      <w:pPr>
        <w:pStyle w:val="ListParagraph"/>
        <w:numPr>
          <w:ilvl w:val="0"/>
          <w:numId w:val="2"/>
        </w:numPr>
        <w:spacing w:after="80"/>
        <w:jc w:val="both"/>
      </w:pPr>
      <w:r>
        <w:rPr>
          <w:rFonts w:ascii="Arial" w:cs="Arial" w:eastAsia="Arial" w:hAnsi="Arial"/>
          <w:sz w:val="21"/>
          <w:szCs w:val="21"/>
        </w:rPr>
        <w:t xml:space="preserve">Arbitraj (135 divergențe): se alege ținta care satisface contiguitatea teritorială și un timp de acces de maximum 35 de minute; între opțiuni comparabile, prioritate are clusterul care conține partenerii din grupul scenariului moderat 2018 (dacă timpul de acces este comparabil, adică nu mai mult de 130% + 5 minute față de alternativă); altfel decide timpul de parcurs rutier. Conform deciziei convenite, apartenența la același raion NU este folosită drept criteriu sau barieră — 42 din cele 272 de alocări traversează hotarele raionale actuale acolo unde accesibilitatea și designul teritorial 2018 o justifică. Rezultatul arbitrajului: 68 de cazuri păstrează soluția Iterației 1, 67 preiau soluția Iterației 2.</w:t>
      </w:r>
    </w:p>
    <w:p>
      <w:pPr>
        <w:pStyle w:val="ListParagraph"/>
        <w:numPr>
          <w:ilvl w:val="0"/>
          <w:numId w:val="2"/>
        </w:numPr>
        <w:spacing w:after="80"/>
        <w:jc w:val="both"/>
      </w:pPr>
      <w:r>
        <w:rPr>
          <w:rFonts w:ascii="Arial" w:cs="Arial" w:eastAsia="Arial" w:hAnsi="Arial"/>
          <w:sz w:val="21"/>
          <w:szCs w:val="21"/>
        </w:rPr>
        <w:t xml:space="preserve">Verificări finale: integritatea partiției (fiecare din cele 890 APL apare exact o dată), viabilitatea unităților noi (minim 3.000 de locuitori), testul fiscal din Anexa 9 pe toate unitățile.</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800"/>
        <w:gridCol w:w="1800"/>
        <w:gridCol w:w="2000"/>
      </w:tblGrid>
      <w:tr>
        <w:tc>
          <w:tcPr>
            <w:tcW w:type="dxa" w:w="2800"/>
            <w:shd w:fill="1F4E79" w:val="clear"/>
            <w:tcMar>
              <w:top w:type="dxa" w:w="40"/>
              <w:left w:type="dxa" w:w="80"/>
              <w:bottom w:type="dxa" w:w="40"/>
              <w:right w:type="dxa" w:w="80"/>
            </w:tcMar>
          </w:tcPr>
          <w:p>
            <w:r>
              <w:rPr>
                <w:rFonts w:ascii="Arial" w:cs="Arial" w:eastAsia="Arial" w:hAnsi="Arial"/>
                <w:b/>
                <w:bCs/>
                <w:color w:val="FFFFFF"/>
                <w:sz w:val="18"/>
                <w:szCs w:val="18"/>
              </w:rPr>
              <w:t xml:space="preserve">Indicator</w:t>
            </w:r>
          </w:p>
        </w:tc>
        <w:tc>
          <w:tcPr>
            <w:tcW w:type="dxa" w:w="1800"/>
            <w:shd w:fill="1F4E79" w:val="clear"/>
            <w:tcMar>
              <w:top w:type="dxa" w:w="40"/>
              <w:left w:type="dxa" w:w="80"/>
              <w:bottom w:type="dxa" w:w="40"/>
              <w:right w:type="dxa" w:w="80"/>
            </w:tcMar>
          </w:tcPr>
          <w:p>
            <w:r>
              <w:rPr>
                <w:rFonts w:ascii="Arial" w:cs="Arial" w:eastAsia="Arial" w:hAnsi="Arial"/>
                <w:b/>
                <w:bCs/>
                <w:color w:val="FFFFFF"/>
                <w:sz w:val="18"/>
                <w:szCs w:val="18"/>
              </w:rPr>
              <w:t xml:space="preserve">It.1 – V1</w:t>
            </w:r>
          </w:p>
        </w:tc>
        <w:tc>
          <w:tcPr>
            <w:tcW w:type="dxa" w:w="1800"/>
            <w:shd w:fill="1F4E79" w:val="clear"/>
            <w:tcMar>
              <w:top w:type="dxa" w:w="40"/>
              <w:left w:type="dxa" w:w="80"/>
              <w:bottom w:type="dxa" w:w="40"/>
              <w:right w:type="dxa" w:w="80"/>
            </w:tcMar>
          </w:tcPr>
          <w:p>
            <w:r>
              <w:rPr>
                <w:rFonts w:ascii="Arial" w:cs="Arial" w:eastAsia="Arial" w:hAnsi="Arial"/>
                <w:b/>
                <w:bCs/>
                <w:color w:val="FFFFFF"/>
                <w:sz w:val="18"/>
                <w:szCs w:val="18"/>
              </w:rPr>
              <w:t xml:space="preserve">It.2 – A</w:t>
            </w:r>
          </w:p>
        </w:tc>
        <w:tc>
          <w:tcPr>
            <w:tcW w:type="dxa" w:w="1800"/>
            <w:shd w:fill="1F4E79" w:val="clear"/>
            <w:tcMar>
              <w:top w:type="dxa" w:w="40"/>
              <w:left w:type="dxa" w:w="80"/>
              <w:bottom w:type="dxa" w:w="40"/>
              <w:right w:type="dxa" w:w="80"/>
            </w:tcMar>
          </w:tcPr>
          <w:p>
            <w:r>
              <w:rPr>
                <w:rFonts w:ascii="Arial" w:cs="Arial" w:eastAsia="Arial" w:hAnsi="Arial"/>
                <w:b/>
                <w:bCs/>
                <w:color w:val="FFFFFF"/>
                <w:sz w:val="18"/>
                <w:szCs w:val="18"/>
              </w:rPr>
              <w:t xml:space="preserve">It.2 – B</w:t>
            </w:r>
          </w:p>
        </w:tc>
        <w:tc>
          <w:tcPr>
            <w:tcW w:type="dxa" w:w="2000"/>
            <w:shd w:fill="1F4E79" w:val="clear"/>
            <w:tcMar>
              <w:top w:type="dxa" w:w="40"/>
              <w:left w:type="dxa" w:w="80"/>
              <w:bottom w:type="dxa" w:w="40"/>
              <w:right w:type="dxa" w:w="80"/>
            </w:tcMar>
          </w:tcPr>
          <w:p>
            <w:r>
              <w:rPr>
                <w:rFonts w:ascii="Arial" w:cs="Arial" w:eastAsia="Arial" w:hAnsi="Arial"/>
                <w:b/>
                <w:bCs/>
                <w:color w:val="FFFFFF"/>
                <w:sz w:val="18"/>
                <w:szCs w:val="18"/>
              </w:rPr>
              <w:t xml:space="preserve">It.3 – V3</w:t>
            </w:r>
          </w:p>
        </w:tc>
      </w:tr>
      <w:tr>
        <w:tc>
          <w:tcPr>
            <w:tcW w:type="dxa" w:w="2800"/>
            <w:tcMar>
              <w:top w:type="dxa" w:w="40"/>
              <w:left w:type="dxa" w:w="80"/>
              <w:bottom w:type="dxa" w:w="40"/>
              <w:right w:type="dxa" w:w="80"/>
            </w:tcMar>
          </w:tcPr>
          <w:p>
            <w:r>
              <w:rPr>
                <w:rFonts w:ascii="Arial" w:cs="Arial" w:eastAsia="Arial" w:hAnsi="Arial"/>
                <w:sz w:val="18"/>
                <w:szCs w:val="18"/>
              </w:rPr>
              <w:t xml:space="preserve">Nr. unități</w:t>
            </w:r>
          </w:p>
        </w:tc>
        <w:tc>
          <w:tcPr>
            <w:tcW w:type="dxa" w:w="1800"/>
            <w:tcMar>
              <w:top w:type="dxa" w:w="40"/>
              <w:left w:type="dxa" w:w="80"/>
              <w:bottom w:type="dxa" w:w="40"/>
              <w:right w:type="dxa" w:w="80"/>
            </w:tcMar>
          </w:tcPr>
          <w:p>
            <w:r>
              <w:rPr>
                <w:rFonts w:ascii="Arial" w:cs="Arial" w:eastAsia="Arial" w:hAnsi="Arial"/>
                <w:sz w:val="18"/>
                <w:szCs w:val="18"/>
              </w:rPr>
              <w:t xml:space="preserve">222</w:t>
            </w:r>
          </w:p>
        </w:tc>
        <w:tc>
          <w:tcPr>
            <w:tcW w:type="dxa" w:w="1800"/>
            <w:tcMar>
              <w:top w:type="dxa" w:w="40"/>
              <w:left w:type="dxa" w:w="80"/>
              <w:bottom w:type="dxa" w:w="40"/>
              <w:right w:type="dxa" w:w="80"/>
            </w:tcMar>
          </w:tcPr>
          <w:p>
            <w:r>
              <w:rPr>
                <w:rFonts w:ascii="Arial" w:cs="Arial" w:eastAsia="Arial" w:hAnsi="Arial"/>
                <w:sz w:val="18"/>
                <w:szCs w:val="18"/>
              </w:rPr>
              <w:t xml:space="preserve">222</w:t>
            </w:r>
          </w:p>
        </w:tc>
        <w:tc>
          <w:tcPr>
            <w:tcW w:type="dxa" w:w="1800"/>
            <w:tcMar>
              <w:top w:type="dxa" w:w="40"/>
              <w:left w:type="dxa" w:w="80"/>
              <w:bottom w:type="dxa" w:w="40"/>
              <w:right w:type="dxa" w:w="80"/>
            </w:tcMar>
          </w:tcPr>
          <w:p>
            <w:r>
              <w:rPr>
                <w:rFonts w:ascii="Arial" w:cs="Arial" w:eastAsia="Arial" w:hAnsi="Arial"/>
                <w:sz w:val="18"/>
                <w:szCs w:val="18"/>
              </w:rPr>
              <w:t xml:space="preserve">222</w:t>
            </w:r>
          </w:p>
        </w:tc>
        <w:tc>
          <w:tcPr>
            <w:tcW w:type="dxa" w:w="2000"/>
            <w:tcMar>
              <w:top w:type="dxa" w:w="40"/>
              <w:left w:type="dxa" w:w="80"/>
              <w:bottom w:type="dxa" w:w="40"/>
              <w:right w:type="dxa" w:w="80"/>
            </w:tcMar>
          </w:tcPr>
          <w:p>
            <w:r>
              <w:rPr>
                <w:rFonts w:ascii="Arial" w:cs="Arial" w:eastAsia="Arial" w:hAnsi="Arial"/>
                <w:sz w:val="18"/>
                <w:szCs w:val="18"/>
              </w:rPr>
              <w:t xml:space="preserve">222</w:t>
            </w:r>
          </w:p>
        </w:tc>
      </w:tr>
      <w:tr>
        <w:tc>
          <w:tcPr>
            <w:tcW w:type="dxa" w:w="2800"/>
            <w:shd w:fill="F2F7FB" w:val="clear"/>
            <w:tcMar>
              <w:top w:type="dxa" w:w="40"/>
              <w:left w:type="dxa" w:w="80"/>
              <w:bottom w:type="dxa" w:w="40"/>
              <w:right w:type="dxa" w:w="80"/>
            </w:tcMar>
          </w:tcPr>
          <w:p>
            <w:r>
              <w:rPr>
                <w:rFonts w:ascii="Arial" w:cs="Arial" w:eastAsia="Arial" w:hAnsi="Arial"/>
                <w:sz w:val="18"/>
                <w:szCs w:val="18"/>
              </w:rPr>
              <w:t xml:space="preserve">Unități &lt;5.000 loc.</w:t>
            </w:r>
          </w:p>
        </w:tc>
        <w:tc>
          <w:tcPr>
            <w:tcW w:type="dxa" w:w="1800"/>
            <w:shd w:fill="F2F7FB" w:val="clear"/>
            <w:tcMar>
              <w:top w:type="dxa" w:w="40"/>
              <w:left w:type="dxa" w:w="80"/>
              <w:bottom w:type="dxa" w:w="40"/>
              <w:right w:type="dxa" w:w="80"/>
            </w:tcMar>
          </w:tcPr>
          <w:p>
            <w:r>
              <w:rPr>
                <w:rFonts w:ascii="Arial" w:cs="Arial" w:eastAsia="Arial" w:hAnsi="Arial"/>
                <w:sz w:val="18"/>
                <w:szCs w:val="18"/>
              </w:rPr>
              <w:t xml:space="preserve">83</w:t>
            </w:r>
          </w:p>
        </w:tc>
        <w:tc>
          <w:tcPr>
            <w:tcW w:type="dxa" w:w="1800"/>
            <w:shd w:fill="F2F7FB" w:val="clear"/>
            <w:tcMar>
              <w:top w:type="dxa" w:w="40"/>
              <w:left w:type="dxa" w:w="80"/>
              <w:bottom w:type="dxa" w:w="40"/>
              <w:right w:type="dxa" w:w="80"/>
            </w:tcMar>
          </w:tcPr>
          <w:p>
            <w:r>
              <w:rPr>
                <w:rFonts w:ascii="Arial" w:cs="Arial" w:eastAsia="Arial" w:hAnsi="Arial"/>
                <w:sz w:val="18"/>
                <w:szCs w:val="18"/>
              </w:rPr>
              <w:t xml:space="preserve">82</w:t>
            </w:r>
          </w:p>
        </w:tc>
        <w:tc>
          <w:tcPr>
            <w:tcW w:type="dxa" w:w="1800"/>
            <w:shd w:fill="F2F7FB" w:val="clear"/>
            <w:tcMar>
              <w:top w:type="dxa" w:w="40"/>
              <w:left w:type="dxa" w:w="80"/>
              <w:bottom w:type="dxa" w:w="40"/>
              <w:right w:type="dxa" w:w="80"/>
            </w:tcMar>
          </w:tcPr>
          <w:p>
            <w:r>
              <w:rPr>
                <w:rFonts w:ascii="Arial" w:cs="Arial" w:eastAsia="Arial" w:hAnsi="Arial"/>
                <w:sz w:val="18"/>
                <w:szCs w:val="18"/>
              </w:rPr>
              <w:t xml:space="preserve">~82</w:t>
            </w:r>
          </w:p>
        </w:tc>
        <w:tc>
          <w:tcPr>
            <w:tcW w:type="dxa" w:w="2000"/>
            <w:shd w:fill="F2F7FB" w:val="clear"/>
            <w:tcMar>
              <w:top w:type="dxa" w:w="40"/>
              <w:left w:type="dxa" w:w="80"/>
              <w:bottom w:type="dxa" w:w="40"/>
              <w:right w:type="dxa" w:w="80"/>
            </w:tcMar>
          </w:tcPr>
          <w:p>
            <w:r>
              <w:rPr>
                <w:rFonts w:ascii="Arial" w:cs="Arial" w:eastAsia="Arial" w:hAnsi="Arial"/>
                <w:sz w:val="18"/>
                <w:szCs w:val="18"/>
              </w:rPr>
              <w:t xml:space="preserve">76</w:t>
            </w:r>
          </w:p>
        </w:tc>
      </w:tr>
      <w:tr>
        <w:tc>
          <w:tcPr>
            <w:tcW w:type="dxa" w:w="2800"/>
            <w:tcMar>
              <w:top w:type="dxa" w:w="40"/>
              <w:left w:type="dxa" w:w="80"/>
              <w:bottom w:type="dxa" w:w="40"/>
              <w:right w:type="dxa" w:w="80"/>
            </w:tcMar>
          </w:tcPr>
          <w:p>
            <w:r>
              <w:rPr>
                <w:rFonts w:ascii="Arial" w:cs="Arial" w:eastAsia="Arial" w:hAnsi="Arial"/>
                <w:sz w:val="18"/>
                <w:szCs w:val="18"/>
              </w:rPr>
              <w:t xml:space="preserve">Timp mediu de acces</w:t>
            </w:r>
          </w:p>
        </w:tc>
        <w:tc>
          <w:tcPr>
            <w:tcW w:type="dxa" w:w="1800"/>
            <w:tcMar>
              <w:top w:type="dxa" w:w="40"/>
              <w:left w:type="dxa" w:w="80"/>
              <w:bottom w:type="dxa" w:w="40"/>
              <w:right w:type="dxa" w:w="80"/>
            </w:tcMar>
          </w:tcPr>
          <w:p>
            <w:r>
              <w:rPr>
                <w:rFonts w:ascii="Arial" w:cs="Arial" w:eastAsia="Arial" w:hAnsi="Arial"/>
                <w:sz w:val="18"/>
                <w:szCs w:val="18"/>
              </w:rPr>
              <w:t xml:space="preserve">n/a (aer)</w:t>
            </w:r>
          </w:p>
        </w:tc>
        <w:tc>
          <w:tcPr>
            <w:tcW w:type="dxa" w:w="1800"/>
            <w:tcMar>
              <w:top w:type="dxa" w:w="40"/>
              <w:left w:type="dxa" w:w="80"/>
              <w:bottom w:type="dxa" w:w="40"/>
              <w:right w:type="dxa" w:w="80"/>
            </w:tcMar>
          </w:tcPr>
          <w:p>
            <w:r>
              <w:rPr>
                <w:rFonts w:ascii="Arial" w:cs="Arial" w:eastAsia="Arial" w:hAnsi="Arial"/>
                <w:sz w:val="18"/>
                <w:szCs w:val="18"/>
              </w:rPr>
              <w:t xml:space="preserve">14,8 min</w:t>
            </w:r>
          </w:p>
        </w:tc>
        <w:tc>
          <w:tcPr>
            <w:tcW w:type="dxa" w:w="1800"/>
            <w:tcMar>
              <w:top w:type="dxa" w:w="40"/>
              <w:left w:type="dxa" w:w="80"/>
              <w:bottom w:type="dxa" w:w="40"/>
              <w:right w:type="dxa" w:w="80"/>
            </w:tcMar>
          </w:tcPr>
          <w:p>
            <w:r>
              <w:rPr>
                <w:rFonts w:ascii="Arial" w:cs="Arial" w:eastAsia="Arial" w:hAnsi="Arial"/>
                <w:sz w:val="18"/>
                <w:szCs w:val="18"/>
              </w:rPr>
              <w:t xml:space="preserve">14,3 min</w:t>
            </w:r>
          </w:p>
        </w:tc>
        <w:tc>
          <w:tcPr>
            <w:tcW w:type="dxa" w:w="2000"/>
            <w:tcMar>
              <w:top w:type="dxa" w:w="40"/>
              <w:left w:type="dxa" w:w="80"/>
              <w:bottom w:type="dxa" w:w="40"/>
              <w:right w:type="dxa" w:w="80"/>
            </w:tcMar>
          </w:tcPr>
          <w:p>
            <w:r>
              <w:rPr>
                <w:rFonts w:ascii="Arial" w:cs="Arial" w:eastAsia="Arial" w:hAnsi="Arial"/>
                <w:sz w:val="18"/>
                <w:szCs w:val="18"/>
              </w:rPr>
              <w:t xml:space="preserve">13,7 min</w:t>
            </w:r>
          </w:p>
        </w:tc>
      </w:tr>
      <w:tr>
        <w:tc>
          <w:tcPr>
            <w:tcW w:type="dxa" w:w="2800"/>
            <w:shd w:fill="F2F7FB" w:val="clear"/>
            <w:tcMar>
              <w:top w:type="dxa" w:w="40"/>
              <w:left w:type="dxa" w:w="80"/>
              <w:bottom w:type="dxa" w:w="40"/>
              <w:right w:type="dxa" w:w="80"/>
            </w:tcMar>
          </w:tcPr>
          <w:p>
            <w:r>
              <w:rPr>
                <w:rFonts w:ascii="Arial" w:cs="Arial" w:eastAsia="Arial" w:hAnsi="Arial"/>
                <w:sz w:val="18"/>
                <w:szCs w:val="18"/>
              </w:rPr>
              <w:t xml:space="preserve">Alocări &gt;30 min</w:t>
            </w:r>
          </w:p>
        </w:tc>
        <w:tc>
          <w:tcPr>
            <w:tcW w:type="dxa" w:w="1800"/>
            <w:shd w:fill="F2F7FB" w:val="clear"/>
            <w:tcMar>
              <w:top w:type="dxa" w:w="40"/>
              <w:left w:type="dxa" w:w="80"/>
              <w:bottom w:type="dxa" w:w="40"/>
              <w:right w:type="dxa" w:w="80"/>
            </w:tcMar>
          </w:tcPr>
          <w:p>
            <w:r>
              <w:rPr>
                <w:rFonts w:ascii="Arial" w:cs="Arial" w:eastAsia="Arial" w:hAnsi="Arial"/>
                <w:sz w:val="18"/>
                <w:szCs w:val="18"/>
              </w:rPr>
              <w:t xml:space="preserve">n/a</w:t>
            </w:r>
          </w:p>
        </w:tc>
        <w:tc>
          <w:tcPr>
            <w:tcW w:type="dxa" w:w="1800"/>
            <w:shd w:fill="F2F7FB" w:val="clear"/>
            <w:tcMar>
              <w:top w:type="dxa" w:w="40"/>
              <w:left w:type="dxa" w:w="80"/>
              <w:bottom w:type="dxa" w:w="40"/>
              <w:right w:type="dxa" w:w="80"/>
            </w:tcMar>
          </w:tcPr>
          <w:p>
            <w:r>
              <w:rPr>
                <w:rFonts w:ascii="Arial" w:cs="Arial" w:eastAsia="Arial" w:hAnsi="Arial"/>
                <w:sz w:val="18"/>
                <w:szCs w:val="18"/>
              </w:rPr>
              <w:t xml:space="preserve">14</w:t>
            </w:r>
          </w:p>
        </w:tc>
        <w:tc>
          <w:tcPr>
            <w:tcW w:type="dxa" w:w="1800"/>
            <w:shd w:fill="F2F7FB" w:val="clear"/>
            <w:tcMar>
              <w:top w:type="dxa" w:w="40"/>
              <w:left w:type="dxa" w:w="80"/>
              <w:bottom w:type="dxa" w:w="40"/>
              <w:right w:type="dxa" w:w="80"/>
            </w:tcMar>
          </w:tcPr>
          <w:p>
            <w:r>
              <w:rPr>
                <w:rFonts w:ascii="Arial" w:cs="Arial" w:eastAsia="Arial" w:hAnsi="Arial"/>
                <w:sz w:val="18"/>
                <w:szCs w:val="18"/>
              </w:rPr>
              <w:t xml:space="preserve">11</w:t>
            </w:r>
          </w:p>
        </w:tc>
        <w:tc>
          <w:tcPr>
            <w:tcW w:type="dxa" w:w="2000"/>
            <w:shd w:fill="F2F7FB" w:val="clear"/>
            <w:tcMar>
              <w:top w:type="dxa" w:w="40"/>
              <w:left w:type="dxa" w:w="80"/>
              <w:bottom w:type="dxa" w:w="40"/>
              <w:right w:type="dxa" w:w="80"/>
            </w:tcMar>
          </w:tcPr>
          <w:p>
            <w:r>
              <w:rPr>
                <w:rFonts w:ascii="Arial" w:cs="Arial" w:eastAsia="Arial" w:hAnsi="Arial"/>
                <w:sz w:val="18"/>
                <w:szCs w:val="18"/>
              </w:rPr>
              <w:t xml:space="preserve">5</w:t>
            </w:r>
          </w:p>
        </w:tc>
      </w:tr>
      <w:tr>
        <w:tc>
          <w:tcPr>
            <w:tcW w:type="dxa" w:w="2800"/>
            <w:tcMar>
              <w:top w:type="dxa" w:w="40"/>
              <w:left w:type="dxa" w:w="80"/>
              <w:bottom w:type="dxa" w:w="40"/>
              <w:right w:type="dxa" w:w="80"/>
            </w:tcMar>
          </w:tcPr>
          <w:p>
            <w:r>
              <w:rPr>
                <w:rFonts w:ascii="Arial" w:cs="Arial" w:eastAsia="Arial" w:hAnsi="Arial"/>
                <w:sz w:val="18"/>
                <w:szCs w:val="18"/>
              </w:rPr>
              <w:t xml:space="preserve">Test fiscal Anexa 9 (unități)</w:t>
            </w:r>
          </w:p>
        </w:tc>
        <w:tc>
          <w:tcPr>
            <w:tcW w:type="dxa" w:w="1800"/>
            <w:tcMar>
              <w:top w:type="dxa" w:w="40"/>
              <w:left w:type="dxa" w:w="80"/>
              <w:bottom w:type="dxa" w:w="40"/>
              <w:right w:type="dxa" w:w="80"/>
            </w:tcMar>
          </w:tcPr>
          <w:p>
            <w:r>
              <w:rPr>
                <w:rFonts w:ascii="Arial" w:cs="Arial" w:eastAsia="Arial" w:hAnsi="Arial"/>
                <w:sz w:val="18"/>
                <w:szCs w:val="18"/>
              </w:rPr>
              <w:t xml:space="preserve">n/a</w:t>
            </w:r>
          </w:p>
        </w:tc>
        <w:tc>
          <w:tcPr>
            <w:tcW w:type="dxa" w:w="1800"/>
            <w:tcMar>
              <w:top w:type="dxa" w:w="40"/>
              <w:left w:type="dxa" w:w="80"/>
              <w:bottom w:type="dxa" w:w="40"/>
              <w:right w:type="dxa" w:w="80"/>
            </w:tcMar>
          </w:tcPr>
          <w:p>
            <w:r>
              <w:rPr>
                <w:rFonts w:ascii="Arial" w:cs="Arial" w:eastAsia="Arial" w:hAnsi="Arial"/>
                <w:sz w:val="18"/>
                <w:szCs w:val="18"/>
              </w:rPr>
              <w:t xml:space="preserve">215/222</w:t>
            </w:r>
          </w:p>
        </w:tc>
        <w:tc>
          <w:tcPr>
            <w:tcW w:type="dxa" w:w="1800"/>
            <w:tcMar>
              <w:top w:type="dxa" w:w="40"/>
              <w:left w:type="dxa" w:w="80"/>
              <w:bottom w:type="dxa" w:w="40"/>
              <w:right w:type="dxa" w:w="80"/>
            </w:tcMar>
          </w:tcPr>
          <w:p>
            <w:r>
              <w:rPr>
                <w:rFonts w:ascii="Arial" w:cs="Arial" w:eastAsia="Arial" w:hAnsi="Arial"/>
                <w:sz w:val="18"/>
                <w:szCs w:val="18"/>
              </w:rPr>
              <w:t xml:space="preserve">215/222</w:t>
            </w:r>
          </w:p>
        </w:tc>
        <w:tc>
          <w:tcPr>
            <w:tcW w:type="dxa" w:w="2000"/>
            <w:tcMar>
              <w:top w:type="dxa" w:w="40"/>
              <w:left w:type="dxa" w:w="80"/>
              <w:bottom w:type="dxa" w:w="40"/>
              <w:right w:type="dxa" w:w="80"/>
            </w:tcMar>
          </w:tcPr>
          <w:p>
            <w:r>
              <w:rPr>
                <w:rFonts w:ascii="Arial" w:cs="Arial" w:eastAsia="Arial" w:hAnsi="Arial"/>
                <w:sz w:val="18"/>
                <w:szCs w:val="18"/>
              </w:rPr>
              <w:t xml:space="preserve">206/222*</w:t>
            </w:r>
          </w:p>
        </w:tc>
      </w:tr>
      <w:tr>
        <w:tc>
          <w:tcPr>
            <w:tcW w:type="dxa" w:w="2800"/>
            <w:shd w:fill="F2F7FB" w:val="clear"/>
            <w:tcMar>
              <w:top w:type="dxa" w:w="40"/>
              <w:left w:type="dxa" w:w="80"/>
              <w:bottom w:type="dxa" w:w="40"/>
              <w:right w:type="dxa" w:w="80"/>
            </w:tcMar>
          </w:tcPr>
          <w:p>
            <w:r>
              <w:rPr>
                <w:rFonts w:ascii="Arial" w:cs="Arial" w:eastAsia="Arial" w:hAnsi="Arial"/>
                <w:sz w:val="18"/>
                <w:szCs w:val="18"/>
              </w:rPr>
              <w:t xml:space="preserve">Alocări inter-raionale</w:t>
            </w:r>
          </w:p>
        </w:tc>
        <w:tc>
          <w:tcPr>
            <w:tcW w:type="dxa" w:w="1800"/>
            <w:shd w:fill="F2F7FB" w:val="clear"/>
            <w:tcMar>
              <w:top w:type="dxa" w:w="40"/>
              <w:left w:type="dxa" w:w="80"/>
              <w:bottom w:type="dxa" w:w="40"/>
              <w:right w:type="dxa" w:w="80"/>
            </w:tcMar>
          </w:tcPr>
          <w:p>
            <w:r>
              <w:rPr>
                <w:rFonts w:ascii="Arial" w:cs="Arial" w:eastAsia="Arial" w:hAnsi="Arial"/>
                <w:sz w:val="18"/>
                <w:szCs w:val="18"/>
              </w:rPr>
              <w:t xml:space="preserve">permise</w:t>
            </w:r>
          </w:p>
        </w:tc>
        <w:tc>
          <w:tcPr>
            <w:tcW w:type="dxa" w:w="1800"/>
            <w:shd w:fill="F2F7FB" w:val="clear"/>
            <w:tcMar>
              <w:top w:type="dxa" w:w="40"/>
              <w:left w:type="dxa" w:w="80"/>
              <w:bottom w:type="dxa" w:w="40"/>
              <w:right w:type="dxa" w:w="80"/>
            </w:tcMar>
          </w:tcPr>
          <w:p>
            <w:r>
              <w:rPr>
                <w:rFonts w:ascii="Arial" w:cs="Arial" w:eastAsia="Arial" w:hAnsi="Arial"/>
                <w:sz w:val="18"/>
                <w:szCs w:val="18"/>
              </w:rPr>
              <w:t xml:space="preserve">restricționate</w:t>
            </w:r>
          </w:p>
        </w:tc>
        <w:tc>
          <w:tcPr>
            <w:tcW w:type="dxa" w:w="1800"/>
            <w:shd w:fill="F2F7FB" w:val="clear"/>
            <w:tcMar>
              <w:top w:type="dxa" w:w="40"/>
              <w:left w:type="dxa" w:w="80"/>
              <w:bottom w:type="dxa" w:w="40"/>
              <w:right w:type="dxa" w:w="80"/>
            </w:tcMar>
          </w:tcPr>
          <w:p>
            <w:r>
              <w:rPr>
                <w:rFonts w:ascii="Arial" w:cs="Arial" w:eastAsia="Arial" w:hAnsi="Arial"/>
                <w:sz w:val="18"/>
                <w:szCs w:val="18"/>
              </w:rPr>
              <w:t xml:space="preserve">limitate</w:t>
            </w:r>
          </w:p>
        </w:tc>
        <w:tc>
          <w:tcPr>
            <w:tcW w:type="dxa" w:w="2000"/>
            <w:shd w:fill="F2F7FB" w:val="clear"/>
            <w:tcMar>
              <w:top w:type="dxa" w:w="40"/>
              <w:left w:type="dxa" w:w="80"/>
              <w:bottom w:type="dxa" w:w="40"/>
              <w:right w:type="dxa" w:w="80"/>
            </w:tcMar>
          </w:tcPr>
          <w:p>
            <w:r>
              <w:rPr>
                <w:rFonts w:ascii="Arial" w:cs="Arial" w:eastAsia="Arial" w:hAnsi="Arial"/>
                <w:sz w:val="18"/>
                <w:szCs w:val="18"/>
              </w:rPr>
              <w:t xml:space="preserve">42 (fără barieră)</w:t>
            </w:r>
          </w:p>
        </w:tc>
      </w:tr>
    </w:tbl>
    <w:p>
      <w:pPr>
        <w:spacing w:after="200" w:before="80"/>
      </w:pPr>
      <w:r>
        <w:rPr>
          <w:rFonts w:ascii="Arial" w:cs="Arial" w:eastAsia="Arial" w:hAnsi="Arial"/>
          <w:i/>
          <w:iCs/>
          <w:color w:val="555555"/>
          <w:sz w:val="18"/>
          <w:szCs w:val="18"/>
        </w:rPr>
        <w:t xml:space="preserve">* Testul fiscal V3 aplică pragul mai strict (50% din maxim) inclusiv centrelor voluntare deja decise; cele 17 neconformități sunt aproape toate centre voluntare — de revizuit prin politici, nu de înlocuit automat (abordare comună ambelor pachete).</w:t>
      </w:r>
    </w:p>
    <w:p>
      <w:pPr>
        <w:spacing w:after="120"/>
        <w:jc w:val="both"/>
      </w:pPr>
      <w:r>
        <w:rPr>
          <w:rFonts w:ascii="Arial" w:cs="Arial" w:eastAsia="Arial" w:hAnsi="Arial"/>
          <w:sz w:val="21"/>
          <w:szCs w:val="21"/>
        </w:rPr>
        <w:t xml:space="preserve">Față de fiecare pachet în parte, V3: reduce timpul mediu de acces la 13,7 minute (față de 14,8 în Opțiunea A) pentru că preia timpii rutieri acolo unde sunt mai buni; reduce alocările cu acces peste 30 de minute de la 14 (respectiv 11) la 5; scade numărul unităților sub 5.000 de locuitori la 76 (față de 82–83), pentru că menține clusterele noi formate în jurul centrelor desemnate de studiul 2018 acolo unde acestea sunt mai coerente decât alocarea la cel mai apropiat ancoraj; și păstrează trasabilitatea completă — fiecare alocare are sursa deciziei (consens / arbitraj) și criteriul decisiv înregistrate în registrul Excel.</w:t>
      </w:r>
    </w:p>
    <w:p>
      <w:pPr>
        <w:pStyle w:val="Heading1"/>
        <w:spacing w:after="160" w:before="280"/>
      </w:pPr>
      <w:r>
        <w:rPr>
          <w:rFonts w:ascii="Arial" w:cs="Arial" w:eastAsia="Arial" w:hAnsi="Arial"/>
          <w:b/>
          <w:bCs/>
          <w:color w:val="1F4E79"/>
          <w:sz w:val="28"/>
          <w:szCs w:val="28"/>
        </w:rPr>
        <w:t xml:space="preserve">4. Harta propunerii V3</w:t>
      </w:r>
    </w:p>
    <w:p>
      <w:pPr>
        <w:spacing w:after="60"/>
        <w:jc w:val="center"/>
      </w:pPr>
      <w:r>
        <w:drawing>
          <wp:inline distT="0" distB="0" distL="0" distR="0">
            <wp:extent cx="4095750" cy="5267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95750" cy="5267325"/>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Propunerea îmbunătățită V3 — 222 unități; hașură = APL alocate normativ</w:t>
      </w:r>
    </w:p>
    <w:p>
      <w:pPr>
        <w:pStyle w:val="Heading1"/>
        <w:spacing w:after="160" w:before="280"/>
      </w:pPr>
      <w:r>
        <w:rPr>
          <w:rFonts w:ascii="Arial" w:cs="Arial" w:eastAsia="Arial" w:hAnsi="Arial"/>
          <w:b/>
          <w:bCs/>
          <w:color w:val="1F4E79"/>
          <w:sz w:val="28"/>
          <w:szCs w:val="28"/>
        </w:rPr>
        <w:t xml:space="preserve">5. Recomandări</w:t>
      </w:r>
    </w:p>
    <w:p>
      <w:pPr>
        <w:pStyle w:val="ListParagraph"/>
        <w:numPr>
          <w:ilvl w:val="0"/>
          <w:numId w:val="2"/>
        </w:numPr>
        <w:spacing w:after="80"/>
        <w:jc w:val="both"/>
      </w:pPr>
      <w:r>
        <w:rPr>
          <w:rFonts w:ascii="Arial" w:cs="Arial" w:eastAsia="Arial" w:hAnsi="Arial"/>
          <w:sz w:val="21"/>
          <w:szCs w:val="21"/>
        </w:rPr>
        <w:t xml:space="preserve">Folosiți V3 ca propunere de lucru pentru faza normativă: cele 137 de alocări de consens pot fi promovate cu încredere maximă; cele 135 arbitrate au justificare documentată, iar cele 5 cu timp de acces peste 30 de minute necesită verificare rutieră de teren.</w:t>
      </w:r>
    </w:p>
    <w:p>
      <w:pPr>
        <w:pStyle w:val="ListParagraph"/>
        <w:numPr>
          <w:ilvl w:val="0"/>
          <w:numId w:val="2"/>
        </w:numPr>
        <w:spacing w:after="80"/>
        <w:jc w:val="both"/>
      </w:pPr>
      <w:r>
        <w:rPr>
          <w:rFonts w:ascii="Arial" w:cs="Arial" w:eastAsia="Arial" w:hAnsi="Arial"/>
          <w:sz w:val="21"/>
          <w:szCs w:val="21"/>
        </w:rPr>
        <w:t xml:space="preserve">Preluați din Iterația 2, ca pas următor: verificarea serviciilor (școli, asistență medicală primară, urgențe) pe catchment-ul fiecărei unități propuse și validarea rutieră a rutelor de rezervă.</w:t>
      </w:r>
    </w:p>
    <w:p>
      <w:pPr>
        <w:pStyle w:val="ListParagraph"/>
        <w:numPr>
          <w:ilvl w:val="0"/>
          <w:numId w:val="2"/>
        </w:numPr>
        <w:spacing w:after="80"/>
        <w:jc w:val="both"/>
      </w:pPr>
      <w:r>
        <w:rPr>
          <w:rFonts w:ascii="Arial" w:cs="Arial" w:eastAsia="Arial" w:hAnsi="Arial"/>
          <w:sz w:val="21"/>
          <w:szCs w:val="21"/>
        </w:rPr>
        <w:t xml:space="preserve">Cele 17 unități care nu trec testul fiscal al Anexei 9 (aproape toate cu centre voluntare deja decise) și cele 104 clustere voluntare sub 5.000 de locuitori rămân candidatele prioritare pentru Stimulentul 2 și pentru eventuale consolidări ulterioare.</w:t>
      </w:r>
    </w:p>
    <w:p>
      <w:pPr>
        <w:pStyle w:val="ListParagraph"/>
        <w:numPr>
          <w:ilvl w:val="0"/>
          <w:numId w:val="2"/>
        </w:numPr>
        <w:spacing w:after="80"/>
        <w:jc w:val="both"/>
      </w:pPr>
      <w:r>
        <w:rPr>
          <w:rFonts w:ascii="Arial" w:cs="Arial" w:eastAsia="Arial" w:hAnsi="Arial"/>
          <w:sz w:val="21"/>
          <w:szCs w:val="21"/>
        </w:rPr>
        <w:t xml:space="preserve">Înainte de decizia formală, reîmprospătați extracția din PowerBI — tabloul de bord este dinamic, iar procesul de notificare (287 N1/114 N2) avansează săptămânal.</w:t>
      </w:r>
    </w:p>
    <w:sectPr>
      <w:pgSz w:w="11906" w:h="16838"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1ea05099eb08a806fde4e3685f7874dcc3017e1.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2026-08-18T09:02:00.881Z</dcterms:created>
  <dcterms:modified xsi:type="dcterms:W3CDTF">2026-08-18T09:02:00.881Z</dcterms:modified>
</cp:coreProperties>
</file>

<file path=docProps/custom.xml><?xml version="1.0" encoding="utf-8"?>
<Properties xmlns="http://schemas.openxmlformats.org/officeDocument/2006/custom-properties" xmlns:vt="http://schemas.openxmlformats.org/officeDocument/2006/docPropsVTypes"/>
</file>