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079DF" w14:textId="77777777" w:rsidR="005D7021" w:rsidRPr="005D7021" w:rsidRDefault="005D7021" w:rsidP="005D7021">
      <w:pPr>
        <w:jc w:val="both"/>
        <w:rPr>
          <w:rFonts w:cs="Times New Roman"/>
          <w:b/>
          <w:bCs/>
          <w:color w:val="000000" w:themeColor="text1"/>
          <w:sz w:val="28"/>
          <w:szCs w:val="28"/>
        </w:rPr>
      </w:pPr>
      <w:r w:rsidRPr="005D7021">
        <w:rPr>
          <w:rFonts w:cs="Times New Roman"/>
          <w:b/>
          <w:bCs/>
          <w:color w:val="000000" w:themeColor="text1"/>
          <w:sz w:val="28"/>
          <w:szCs w:val="28"/>
        </w:rPr>
        <w:t>metbit: An Integrated Python Package for End-to-End NMR-Based Metabolomics Data Analysis</w:t>
      </w:r>
    </w:p>
    <w:p w14:paraId="670AF7C7" w14:textId="79E024F1" w:rsidR="005D7021" w:rsidRPr="005D7021" w:rsidRDefault="005D7021" w:rsidP="005D7021">
      <w:pPr>
        <w:jc w:val="center"/>
        <w:rPr>
          <w:rFonts w:cs="Times New Roman"/>
          <w:b/>
          <w:bCs/>
          <w:color w:val="000000" w:themeColor="text1"/>
          <w:sz w:val="28"/>
          <w:szCs w:val="28"/>
        </w:rPr>
      </w:pPr>
      <w:r w:rsidRPr="005D7021">
        <w:rPr>
          <w:rFonts w:cs="Times New Roman"/>
          <w:b/>
          <w:bCs/>
          <w:color w:val="000000" w:themeColor="text1"/>
          <w:sz w:val="28"/>
          <w:szCs w:val="28"/>
        </w:rPr>
        <w:t>Authors</w:t>
      </w:r>
    </w:p>
    <w:p w14:paraId="4BC02912" w14:textId="46452E38" w:rsidR="00C4786C" w:rsidRPr="005D7021" w:rsidRDefault="00000000" w:rsidP="005D7021">
      <w:pPr>
        <w:jc w:val="center"/>
        <w:rPr>
          <w:rFonts w:cs="Times New Roman"/>
          <w:color w:val="000000" w:themeColor="text1"/>
          <w:sz w:val="28"/>
          <w:szCs w:val="28"/>
        </w:rPr>
      </w:pPr>
      <w:r w:rsidRPr="005D7021">
        <w:rPr>
          <w:rFonts w:cs="Times New Roman"/>
          <w:color w:val="000000" w:themeColor="text1"/>
          <w:sz w:val="28"/>
          <w:szCs w:val="28"/>
        </w:rPr>
        <w:t>Theerayut Bubpamala</w:t>
      </w:r>
      <w:r w:rsidR="005D7021" w:rsidRPr="005D7021">
        <w:rPr>
          <w:rFonts w:cs="Times New Roman"/>
          <w:color w:val="000000" w:themeColor="text1"/>
          <w:sz w:val="28"/>
          <w:szCs w:val="28"/>
          <w:vertAlign w:val="superscript"/>
        </w:rPr>
        <w:t>1*</w:t>
      </w:r>
    </w:p>
    <w:p w14:paraId="25F46AA3" w14:textId="586CE16B" w:rsidR="00C4786C" w:rsidRPr="005D7021" w:rsidRDefault="005D7021">
      <w:pPr>
        <w:jc w:val="center"/>
        <w:rPr>
          <w:rFonts w:cs="Times New Roman"/>
          <w:color w:val="000000" w:themeColor="text1"/>
          <w:sz w:val="28"/>
          <w:szCs w:val="28"/>
        </w:rPr>
      </w:pPr>
      <w:r w:rsidRPr="005D7021">
        <w:rPr>
          <w:rFonts w:cs="Times New Roman"/>
          <w:color w:val="000000" w:themeColor="text1"/>
          <w:sz w:val="28"/>
          <w:szCs w:val="28"/>
          <w:vertAlign w:val="superscript"/>
        </w:rPr>
        <w:t>1</w:t>
      </w:r>
      <w:r w:rsidR="00000000" w:rsidRPr="005D7021">
        <w:rPr>
          <w:rFonts w:cs="Times New Roman"/>
          <w:color w:val="000000" w:themeColor="text1"/>
          <w:sz w:val="28"/>
          <w:szCs w:val="28"/>
        </w:rPr>
        <w:t xml:space="preserve"> kawa-technology, Independent Research &amp; Development</w:t>
      </w:r>
    </w:p>
    <w:p w14:paraId="62A6083E" w14:textId="656109C4" w:rsidR="00C4786C" w:rsidRPr="005D7021" w:rsidRDefault="00000000" w:rsidP="005D7021">
      <w:pPr>
        <w:jc w:val="center"/>
        <w:rPr>
          <w:rFonts w:cs="Times New Roman"/>
          <w:color w:val="000000" w:themeColor="text1"/>
          <w:sz w:val="28"/>
          <w:szCs w:val="28"/>
        </w:rPr>
      </w:pPr>
      <w:r w:rsidRPr="005D7021">
        <w:rPr>
          <w:rFonts w:cs="Times New Roman"/>
          <w:i/>
          <w:color w:val="000000" w:themeColor="text1"/>
          <w:sz w:val="28"/>
          <w:szCs w:val="28"/>
        </w:rPr>
        <w:t xml:space="preserve"> Corresponding author: theerayut_aeiw_123@hotmail.com  </w:t>
      </w:r>
    </w:p>
    <w:p w14:paraId="258020A0" w14:textId="77777777" w:rsidR="00C4786C" w:rsidRPr="005D7021" w:rsidRDefault="00000000">
      <w:pPr>
        <w:pStyle w:val="Heading1"/>
        <w:rPr>
          <w:rFonts w:ascii="Times New Roman" w:hAnsi="Times New Roman" w:cs="Times New Roman"/>
          <w:color w:val="000000" w:themeColor="text1"/>
          <w:sz w:val="28"/>
        </w:rPr>
      </w:pPr>
      <w:r w:rsidRPr="005D7021">
        <w:rPr>
          <w:rFonts w:ascii="Times New Roman" w:hAnsi="Times New Roman" w:cs="Times New Roman"/>
          <w:color w:val="000000" w:themeColor="text1"/>
          <w:sz w:val="28"/>
        </w:rPr>
        <w:t>Abstract</w:t>
      </w:r>
    </w:p>
    <w:p w14:paraId="3F706641"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 xml:space="preserve">Nuclear magnetic resonance (NMR) spectroscopy remains one of the most information-rich platforms for untargeted metabolomics, yet the computational tools required to transform raw spectral acquisitions into interpretable biological conclusions are fragmented across incompatible software ecosystems. We present </w:t>
      </w:r>
      <w:r w:rsidRPr="005D7021">
        <w:rPr>
          <w:rFonts w:cs="Times New Roman"/>
          <w:b/>
          <w:color w:val="000000" w:themeColor="text1"/>
          <w:sz w:val="28"/>
          <w:szCs w:val="28"/>
        </w:rPr>
        <w:t>metbit</w:t>
      </w:r>
      <w:r w:rsidRPr="005D7021">
        <w:rPr>
          <w:rFonts w:cs="Times New Roman"/>
          <w:color w:val="000000" w:themeColor="text1"/>
          <w:sz w:val="28"/>
          <w:szCs w:val="28"/>
        </w:rPr>
        <w:t xml:space="preserve"> (version 8.7.7), an open-source Python package that consolidates the complete NMR metabolomics analytical workflow into a single, pip-installable library. Starting from raw Bruker FID files, metbit delivers a sequentially integrated pipeline covering digital-filter removal, zero-filling, Fourier transformation, automated phase correction, baseline correction (including asymmetric least-squares, adaptive iteratively reweighted penalized least-squares, and rubberband methods), chemical-shift calibration, spectral normalization (probabilistic quotient normalization, standard normal variate, and multiplicative scatter correction), peak alignment via interval-correlation-optimized shifting, peak detection and multiplet classification, and statistical spectroscopy through Statistical Total Correlation Spectroscopy (STOCSY). Downstream of preprocessing, metbit provides production-quality implementations of Principal Component Analysis (PCA) and Orthogonal Partial Least Squares Discriminant Analysis (OPLS-DA), with cross-validation, permutation testing, Variable Importance in Projection (VIP) scoring, S-plot generation, and time-trajectory visualization. All outputs are rendered as interactive Plotly figures, and two Dash-based graphical applications are bundled for STOCSY exploration and interactive peak picking. metbit is released under the MIT license and is freely available at https://github.com/aeiwz/metbit.</w:t>
      </w:r>
    </w:p>
    <w:p w14:paraId="560F9411" w14:textId="77777777" w:rsidR="00C4786C" w:rsidRPr="005D7021" w:rsidRDefault="00000000">
      <w:pPr>
        <w:spacing w:before="80"/>
        <w:jc w:val="both"/>
        <w:rPr>
          <w:rFonts w:cs="Times New Roman"/>
          <w:color w:val="000000" w:themeColor="text1"/>
          <w:sz w:val="28"/>
          <w:szCs w:val="28"/>
        </w:rPr>
      </w:pPr>
      <w:r w:rsidRPr="005D7021">
        <w:rPr>
          <w:rFonts w:cs="Times New Roman"/>
          <w:b/>
          <w:color w:val="000000" w:themeColor="text1"/>
          <w:sz w:val="28"/>
          <w:szCs w:val="28"/>
        </w:rPr>
        <w:lastRenderedPageBreak/>
        <w:t>Keywords:</w:t>
      </w:r>
      <w:r w:rsidRPr="005D7021">
        <w:rPr>
          <w:rFonts w:cs="Times New Roman"/>
          <w:color w:val="000000" w:themeColor="text1"/>
          <w:sz w:val="28"/>
          <w:szCs w:val="28"/>
        </w:rPr>
        <w:t xml:space="preserve"> metabolomics; NMR spectroscopy; chemometrics; OPLS-DA; PCA; Python; open-source bioinformatics</w:t>
      </w:r>
    </w:p>
    <w:p w14:paraId="3B002252" w14:textId="77777777" w:rsidR="00C4786C" w:rsidRPr="005D7021" w:rsidRDefault="00000000">
      <w:pPr>
        <w:pStyle w:val="Heading1"/>
        <w:rPr>
          <w:rFonts w:ascii="Times New Roman" w:hAnsi="Times New Roman" w:cs="Times New Roman"/>
          <w:color w:val="000000" w:themeColor="text1"/>
          <w:sz w:val="28"/>
        </w:rPr>
      </w:pPr>
      <w:r w:rsidRPr="005D7021">
        <w:rPr>
          <w:rFonts w:ascii="Times New Roman" w:hAnsi="Times New Roman" w:cs="Times New Roman"/>
          <w:color w:val="000000" w:themeColor="text1"/>
          <w:sz w:val="28"/>
        </w:rPr>
        <w:t>1. Introduction</w:t>
      </w:r>
    </w:p>
    <w:p w14:paraId="0F3167D4" w14:textId="196622DA"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 xml:space="preserve">Metabolomics, the global profiling of small-molecule metabolites in biological samples, has emerged as an indispensable systems-biology tool for understanding disease mechanisms, drug effects, and environmental perturbations (Nicholson et al., 1999; Wishart et al., 2022). Among the analytical platforms available to metabolomics researchers, proton nuclear magnetic resonance (¹H NMR) spectroscopy holds a distinctive position by virtue of its quantitative accuracy, non-destructive sample handling, structural elucidation capacity, and broad compound coverage without prior chromatographic separation (Emwas et al., 2019). However, the journey from raw NMR free-induction decay (FID) files to biologically interpretable multivariate models </w:t>
      </w:r>
      <w:r w:rsidR="005D7021" w:rsidRPr="005D7021">
        <w:rPr>
          <w:rFonts w:cs="Times New Roman"/>
          <w:color w:val="000000" w:themeColor="text1"/>
          <w:sz w:val="28"/>
          <w:szCs w:val="28"/>
        </w:rPr>
        <w:t>encompass</w:t>
      </w:r>
      <w:r w:rsidRPr="005D7021">
        <w:rPr>
          <w:rFonts w:cs="Times New Roman"/>
          <w:color w:val="000000" w:themeColor="text1"/>
          <w:sz w:val="28"/>
          <w:szCs w:val="28"/>
        </w:rPr>
        <w:t xml:space="preserve"> more than a dozen sequential computational steps, each requiring careful parameter selection and quality assessment. This workflow complexity historically limited NMR metabolomics to laboratories with access to expensive commercial software such as Bruker TopSpin, Mnova (Mestrelab Research), or AMIX, or to end-users proficient in programming environments such as MATLAB and R.</w:t>
      </w:r>
    </w:p>
    <w:p w14:paraId="7568E0CA" w14:textId="076BB80E"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The open-source landscape has responded with a range of tools that address individual stages of the NMR metabolomics pipeline. NMRglue provides low-level Python bindings for reading and processing vendor NMR formats (Helmus and Jaroniec, 2013). The R package nmr provides spectrum processing utilities within the Bioconductor framework, while MetaboAnalyst (Pang et al., 2022) offers a comprehensive web-based platform with a graphical interface but limited scripting extensibility. BATMAN (Bayesian automated metabolite analyzer), SRV (statistical recoupling of variables), and ASICS provide specialized functionality for targeted assignment and quantification. Despite these valuable contributions, no single freely available Python package currently integrates the full NMR metabolomics workflow</w:t>
      </w:r>
      <w:r w:rsidR="005D7021">
        <w:rPr>
          <w:rFonts w:cs="Times New Roman"/>
          <w:color w:val="000000" w:themeColor="text1"/>
          <w:sz w:val="28"/>
          <w:szCs w:val="28"/>
        </w:rPr>
        <w:t xml:space="preserve"> </w:t>
      </w:r>
      <w:r w:rsidRPr="005D7021">
        <w:rPr>
          <w:rFonts w:cs="Times New Roman"/>
          <w:color w:val="000000" w:themeColor="text1"/>
          <w:sz w:val="28"/>
          <w:szCs w:val="28"/>
        </w:rPr>
        <w:t xml:space="preserve">from raw file reading through spectral preprocessing, normalization, alignment, and multivariate statistical </w:t>
      </w:r>
      <w:r w:rsidRPr="005D7021">
        <w:rPr>
          <w:rFonts w:cs="Times New Roman"/>
          <w:color w:val="000000" w:themeColor="text1"/>
          <w:sz w:val="28"/>
          <w:szCs w:val="28"/>
        </w:rPr>
        <w:lastRenderedPageBreak/>
        <w:t>modeling</w:t>
      </w:r>
      <w:r w:rsidR="005D7021">
        <w:rPr>
          <w:rFonts w:cs="Times New Roman"/>
          <w:color w:val="000000" w:themeColor="text1"/>
          <w:sz w:val="28"/>
          <w:szCs w:val="28"/>
        </w:rPr>
        <w:t xml:space="preserve"> </w:t>
      </w:r>
      <w:r w:rsidRPr="005D7021">
        <w:rPr>
          <w:rFonts w:cs="Times New Roman"/>
          <w:color w:val="000000" w:themeColor="text1"/>
          <w:sz w:val="28"/>
          <w:szCs w:val="28"/>
        </w:rPr>
        <w:t>in a manner that is scriptable, reproducible, and natively interactive without requiring external graphical interfaces.</w:t>
      </w:r>
    </w:p>
    <w:p w14:paraId="5384AF1A"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metbit was developed to fill this gap. The package provides a coherent, end-to-end Python application programming interface (API) for NMR-based metabolomics that reduces the number of software dependencies a researcher must manage, promotes reproducible scripted analysis, and delivers publication-quality interactive visualizations. In this manuscript, we describe the design principles, implementation, and functional capabilities of metbit, and illustrate how its integrated pipeline accelerates the standard NMR metabolomics workflow.</w:t>
      </w:r>
    </w:p>
    <w:p w14:paraId="0512D5C4" w14:textId="77777777" w:rsidR="00C4786C" w:rsidRPr="005D7021" w:rsidRDefault="00000000">
      <w:pPr>
        <w:pStyle w:val="Heading1"/>
        <w:rPr>
          <w:rFonts w:ascii="Times New Roman" w:hAnsi="Times New Roman" w:cs="Times New Roman"/>
          <w:color w:val="000000" w:themeColor="text1"/>
          <w:sz w:val="28"/>
        </w:rPr>
      </w:pPr>
      <w:r w:rsidRPr="005D7021">
        <w:rPr>
          <w:rFonts w:ascii="Times New Roman" w:hAnsi="Times New Roman" w:cs="Times New Roman"/>
          <w:color w:val="000000" w:themeColor="text1"/>
          <w:sz w:val="28"/>
        </w:rPr>
        <w:t>2. Implementation</w:t>
      </w:r>
    </w:p>
    <w:p w14:paraId="3E9F7148"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2.1 Architecture and Design Principles</w:t>
      </w:r>
    </w:p>
    <w:p w14:paraId="05C9B006"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metbit is organized as a pure Python package composed of functionally cohesive modules (Figure 1). The top-level namespace, exposed through a single import metbit statement, re-exports all primary public classes and functions, eliminating the need for users to navigate the internal module hierarchy for routine analyses. The package requires Python ≥ 3.10 and depends exclusively on widely maintained scientific Python libraries: NumPy (Harris et al., 2020), pandas (McKinney, 2010; The pandas Development Team, 2020), SciPy (Virtanen et al., 2020), scikit-learn (Pedregosa et al., 2011), Plotly (Plotly Technologies, 2015), Dash (Plotly Technologies, 2017), matplotlib (Hunter, 2007), seaborn (Waskom, 2021), statsmodels (Seabold and Perktold, 2010), pingouin (Vallat, 2018), NMRglue (Helmus and Jaroniec, 2013), pybaselines (Erb, 2022), pyChemometrics, lingress, and tqdm (da Costa-Luis et al., 2023). All dependencies are automatically resolved upon installation via pip.</w:t>
      </w:r>
    </w:p>
    <w:p w14:paraId="257299FE" w14:textId="4424BAC3"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 xml:space="preserve">The design follows three guiding principles. First, </w:t>
      </w:r>
      <w:r w:rsidRPr="005D7021">
        <w:rPr>
          <w:rFonts w:cs="Times New Roman"/>
          <w:b/>
          <w:color w:val="000000" w:themeColor="text1"/>
          <w:sz w:val="28"/>
          <w:szCs w:val="28"/>
        </w:rPr>
        <w:t>linear workflow coherence</w:t>
      </w:r>
      <w:r w:rsidRPr="005D7021">
        <w:rPr>
          <w:rFonts w:cs="Times New Roman"/>
          <w:color w:val="000000" w:themeColor="text1"/>
          <w:sz w:val="28"/>
          <w:szCs w:val="28"/>
        </w:rPr>
        <w:t xml:space="preserve">: modules are ordered to reflect the natural sequence of NMR data processing, and outputs from each stage are designed as valid inputs to the next. Second, </w:t>
      </w:r>
      <w:r w:rsidRPr="005D7021">
        <w:rPr>
          <w:rFonts w:cs="Times New Roman"/>
          <w:b/>
          <w:color w:val="000000" w:themeColor="text1"/>
          <w:sz w:val="28"/>
          <w:szCs w:val="28"/>
        </w:rPr>
        <w:t>stateless class-based interfaces</w:t>
      </w:r>
      <w:r w:rsidRPr="005D7021">
        <w:rPr>
          <w:rFonts w:cs="Times New Roman"/>
          <w:color w:val="000000" w:themeColor="text1"/>
          <w:sz w:val="28"/>
          <w:szCs w:val="28"/>
        </w:rPr>
        <w:t>: analytical objects (e.g., pca, opls_da, nmr_preprocessing) encapsulate both the fitted model parameters and the visualization methods, so that a complete analysis</w:t>
      </w:r>
      <w:r w:rsidR="005D7021">
        <w:rPr>
          <w:rFonts w:cs="Times New Roman"/>
          <w:color w:val="000000" w:themeColor="text1"/>
          <w:sz w:val="28"/>
          <w:szCs w:val="28"/>
        </w:rPr>
        <w:t xml:space="preserve"> </w:t>
      </w:r>
      <w:r w:rsidRPr="005D7021">
        <w:rPr>
          <w:rFonts w:cs="Times New Roman"/>
          <w:color w:val="000000" w:themeColor="text1"/>
          <w:sz w:val="28"/>
          <w:szCs w:val="28"/>
        </w:rPr>
        <w:t>including all diagnostic plots</w:t>
      </w:r>
      <w:r w:rsidR="005D7021">
        <w:rPr>
          <w:rFonts w:cs="Times New Roman"/>
          <w:color w:val="000000" w:themeColor="text1"/>
          <w:sz w:val="28"/>
          <w:szCs w:val="28"/>
        </w:rPr>
        <w:t xml:space="preserve"> </w:t>
      </w:r>
      <w:r w:rsidRPr="005D7021">
        <w:rPr>
          <w:rFonts w:cs="Times New Roman"/>
          <w:color w:val="000000" w:themeColor="text1"/>
          <w:sz w:val="28"/>
          <w:szCs w:val="28"/>
        </w:rPr>
        <w:t xml:space="preserve">can be reproduced from a single persistent object. Third, </w:t>
      </w:r>
      <w:r w:rsidRPr="005D7021">
        <w:rPr>
          <w:rFonts w:cs="Times New Roman"/>
          <w:b/>
          <w:color w:val="000000" w:themeColor="text1"/>
          <w:sz w:val="28"/>
          <w:szCs w:val="28"/>
        </w:rPr>
        <w:lastRenderedPageBreak/>
        <w:t>progressive disclosure</w:t>
      </w:r>
      <w:r w:rsidRPr="005D7021">
        <w:rPr>
          <w:rFonts w:cs="Times New Roman"/>
          <w:color w:val="000000" w:themeColor="text1"/>
          <w:sz w:val="28"/>
          <w:szCs w:val="28"/>
        </w:rPr>
        <w:t>: sensible defaults make the package immediately useful to non-specialists, while every parameter is accessible for expert customization.</w:t>
      </w:r>
    </w:p>
    <w:p w14:paraId="31697816"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2.2 NMR Preprocessing Pipeline</w:t>
      </w:r>
    </w:p>
    <w:p w14:paraId="3630AF4C"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The nmr_preprocessing class implements a complete single-file and batch NMR preprocessing pipeline integrated around NMRglue (Helmus and Jaroniec, 2013). Starting from raw Bruker FID directory trees, the preprocessing workflow proceeds through the following stages.</w:t>
      </w:r>
    </w:p>
    <w:p w14:paraId="04C1BF25" w14:textId="77777777" w:rsidR="00C4786C" w:rsidRPr="005D7021" w:rsidRDefault="00000000">
      <w:pPr>
        <w:jc w:val="both"/>
        <w:rPr>
          <w:rFonts w:cs="Times New Roman"/>
          <w:color w:val="000000" w:themeColor="text1"/>
          <w:sz w:val="28"/>
          <w:szCs w:val="28"/>
        </w:rPr>
      </w:pPr>
      <w:r w:rsidRPr="005D7021">
        <w:rPr>
          <w:rFonts w:cs="Times New Roman"/>
          <w:b/>
          <w:color w:val="000000" w:themeColor="text1"/>
          <w:sz w:val="28"/>
          <w:szCs w:val="28"/>
        </w:rPr>
        <w:t>Digital filter removal.</w:t>
      </w:r>
      <w:r w:rsidRPr="005D7021">
        <w:rPr>
          <w:rFonts w:cs="Times New Roman"/>
          <w:color w:val="000000" w:themeColor="text1"/>
          <w:sz w:val="28"/>
          <w:szCs w:val="28"/>
        </w:rPr>
        <w:t xml:space="preserve"> Modern Bruker spectrometers apply a digital filter during acquisition to suppress out-of-band noise. The initial processing step calls ng.bruker.remove_digital_filter() to remove the filter-induced phase roll before Fourier transformation, restoring the correct spectral baseline at the edges of the spectral width.</w:t>
      </w:r>
    </w:p>
    <w:p w14:paraId="17CE9B54" w14:textId="77777777" w:rsidR="00C4786C" w:rsidRPr="005D7021" w:rsidRDefault="00000000">
      <w:pPr>
        <w:jc w:val="both"/>
        <w:rPr>
          <w:rFonts w:cs="Times New Roman"/>
          <w:color w:val="000000" w:themeColor="text1"/>
          <w:sz w:val="28"/>
          <w:szCs w:val="28"/>
        </w:rPr>
      </w:pPr>
      <w:r w:rsidRPr="005D7021">
        <w:rPr>
          <w:rFonts w:cs="Times New Roman"/>
          <w:b/>
          <w:color w:val="000000" w:themeColor="text1"/>
          <w:sz w:val="28"/>
          <w:szCs w:val="28"/>
        </w:rPr>
        <w:t>Zero-filling and Fourier transformation.</w:t>
      </w:r>
      <w:r w:rsidRPr="005D7021">
        <w:rPr>
          <w:rFonts w:cs="Times New Roman"/>
          <w:color w:val="000000" w:themeColor="text1"/>
          <w:sz w:val="28"/>
          <w:szCs w:val="28"/>
        </w:rPr>
        <w:t xml:space="preserve"> Zero-filling extends the FID to a power-of-two length, improving the digital resolution of the resulting frequency-domain spectrum. The discrete Fourier transform is then applied to convert time-domain data to chemical-shift space, yielding the familiar NMR spectral profile.</w:t>
      </w:r>
    </w:p>
    <w:p w14:paraId="6C29916C" w14:textId="77777777" w:rsidR="00C4786C" w:rsidRPr="005D7021" w:rsidRDefault="00000000">
      <w:pPr>
        <w:jc w:val="both"/>
        <w:rPr>
          <w:rFonts w:cs="Times New Roman"/>
          <w:color w:val="000000" w:themeColor="text1"/>
          <w:sz w:val="28"/>
          <w:szCs w:val="28"/>
        </w:rPr>
      </w:pPr>
      <w:r w:rsidRPr="005D7021">
        <w:rPr>
          <w:rFonts w:cs="Times New Roman"/>
          <w:b/>
          <w:color w:val="000000" w:themeColor="text1"/>
          <w:sz w:val="28"/>
          <w:szCs w:val="28"/>
        </w:rPr>
        <w:t>Automated phase correction.</w:t>
      </w:r>
      <w:r w:rsidRPr="005D7021">
        <w:rPr>
          <w:rFonts w:cs="Times New Roman"/>
          <w:color w:val="000000" w:themeColor="text1"/>
          <w:sz w:val="28"/>
          <w:szCs w:val="28"/>
        </w:rPr>
        <w:t xml:space="preserve"> Phase errors arise from timing imperfections and group delays and manifest as absorptive/dispersive distortions across the spectrum. metbit applies ng.process.proc_autophase.autops() with the peak-minima algorithm by default (Chen et al., 2002), with zero-order and first-order phase parameters adjustable by the user.</w:t>
      </w:r>
    </w:p>
    <w:p w14:paraId="11BCC703" w14:textId="77777777" w:rsidR="00C4786C" w:rsidRPr="005D7021" w:rsidRDefault="00000000">
      <w:pPr>
        <w:jc w:val="both"/>
        <w:rPr>
          <w:rFonts w:cs="Times New Roman"/>
          <w:color w:val="000000" w:themeColor="text1"/>
          <w:sz w:val="28"/>
          <w:szCs w:val="28"/>
        </w:rPr>
      </w:pPr>
      <w:r w:rsidRPr="005D7021">
        <w:rPr>
          <w:rFonts w:cs="Times New Roman"/>
          <w:b/>
          <w:color w:val="000000" w:themeColor="text1"/>
          <w:sz w:val="28"/>
          <w:szCs w:val="28"/>
        </w:rPr>
        <w:t>Baseline correction.</w:t>
      </w:r>
      <w:r w:rsidRPr="005D7021">
        <w:rPr>
          <w:rFonts w:cs="Times New Roman"/>
          <w:color w:val="000000" w:themeColor="text1"/>
          <w:sz w:val="28"/>
          <w:szCs w:val="28"/>
        </w:rPr>
        <w:t xml:space="preserve"> The baseline module provides six baseline estimation algorithms accessed through a unified baseline_correct() function and a convenience bline() wrapper. Implemented methods include asymmetric least-squares smoothing (AsLS; Eilers and Boelens, 2005), adaptive iteratively reweighted penalized least-squares (AirPLS; Zhang et al., 2010), asymmetrically reweighted penalized least-squares (ArPLS; Baek et al., 2015), modified polynomial fitting (ModPoly), improved modified polynomial fitting (IModPoly), and a pure-Python rubberband baseline based on the lower convex hull. Import errors for optional pybaselines </w:t>
      </w:r>
      <w:r w:rsidRPr="005D7021">
        <w:rPr>
          <w:rFonts w:cs="Times New Roman"/>
          <w:color w:val="000000" w:themeColor="text1"/>
          <w:sz w:val="28"/>
          <w:szCs w:val="28"/>
        </w:rPr>
        <w:lastRenderedPageBreak/>
        <w:t>methods are handled gracefully with informative fallbacks, ensuring robustness across installation environments.</w:t>
      </w:r>
    </w:p>
    <w:p w14:paraId="122B6B6D" w14:textId="77777777" w:rsidR="00C4786C" w:rsidRPr="005D7021" w:rsidRDefault="00000000">
      <w:pPr>
        <w:jc w:val="both"/>
        <w:rPr>
          <w:rFonts w:cs="Times New Roman"/>
          <w:color w:val="000000" w:themeColor="text1"/>
          <w:sz w:val="28"/>
          <w:szCs w:val="28"/>
        </w:rPr>
      </w:pPr>
      <w:r w:rsidRPr="005D7021">
        <w:rPr>
          <w:rFonts w:cs="Times New Roman"/>
          <w:b/>
          <w:color w:val="000000" w:themeColor="text1"/>
          <w:sz w:val="28"/>
          <w:szCs w:val="28"/>
        </w:rPr>
        <w:t>Calibration.</w:t>
      </w:r>
      <w:r w:rsidRPr="005D7021">
        <w:rPr>
          <w:rFonts w:cs="Times New Roman"/>
          <w:color w:val="000000" w:themeColor="text1"/>
          <w:sz w:val="28"/>
          <w:szCs w:val="28"/>
        </w:rPr>
        <w:t xml:space="preserve"> The calibrate module aligns spectra to a user-specified internal reference compound (e.g., 3-(trimethylsilyl)propanoic-2,2,3,3-d4 acid sodium salt, TSP, δ = 0.00 ppm in aqueous samples; or 4,4-dimethyl-4-silapentane-1-sulfonic acid, DSS) by identifying the reference peak and applying a global chemical-shift offset.</w:t>
      </w:r>
    </w:p>
    <w:p w14:paraId="26C4E3F4" w14:textId="77777777" w:rsidR="00C4786C" w:rsidRPr="005D7021" w:rsidRDefault="00000000">
      <w:pPr>
        <w:jc w:val="both"/>
        <w:rPr>
          <w:rFonts w:cs="Times New Roman"/>
          <w:color w:val="000000" w:themeColor="text1"/>
          <w:sz w:val="28"/>
          <w:szCs w:val="28"/>
        </w:rPr>
      </w:pPr>
      <w:r w:rsidRPr="005D7021">
        <w:rPr>
          <w:rFonts w:cs="Times New Roman"/>
          <w:b/>
          <w:color w:val="000000" w:themeColor="text1"/>
          <w:sz w:val="28"/>
          <w:szCs w:val="28"/>
        </w:rPr>
        <w:t>Spectral normalization.</w:t>
      </w:r>
      <w:r w:rsidRPr="005D7021">
        <w:rPr>
          <w:rFonts w:cs="Times New Roman"/>
          <w:color w:val="000000" w:themeColor="text1"/>
          <w:sz w:val="28"/>
          <w:szCs w:val="28"/>
        </w:rPr>
        <w:t xml:space="preserve"> Following baseline correction and calibration, systematic variation in sample concentration or amount must be corrected before multivariate analysis. The Normalization class in spec_norm.py implements three established normalization strategies. Probabilistic Quotient Normalization (PQN; Dieterle et al., 2006) divides each spectrum by the median of the fold-changes relative to a reference (the median spectrum), making it robust to large spectral differences. Standard Normal Variate (SNV) normalization applies column-wise mean centering and scaling, removing multiplicative baseline effects. Multiplicative Scatter Correction (MSC; Martens and Stark, 1991) corrects for differences in light scattering by regressing each spectrum against the mean spectrum. The Normalise class additionally exposes a higher-level wrapper with method dispatch via a string argument.</w:t>
      </w:r>
    </w:p>
    <w:p w14:paraId="6A69D9AF"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2.3 Peak Alignment</w:t>
      </w:r>
    </w:p>
    <w:p w14:paraId="79D10ACD"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 xml:space="preserve">Chemical shift drift between samples, caused by pH variation, temperature fluctuations, or ionic strength differences, can severely degrade multivariate model quality. The alignment module addresses this with three components. The detect_multiplets() function identifies and classifies multiplet patterns (singlet, doublet, triplet, quartet, or multiplet) using peak-finding via scipy.signal.find_peaks, equal-spacing tests in Hz, and binomial coefficient height-ratio matching. The icoshift_align() function implements interval-correlation-optimized shifting (icoshift; Savorani et al., 2010), which partitions the spectrum into user-defined or automatically determined intervals and shifts each interval independently to maximize cross-correlation with a reference spectrum. The PeakAligner convenience class </w:t>
      </w:r>
      <w:r w:rsidRPr="005D7021">
        <w:rPr>
          <w:rFonts w:cs="Times New Roman"/>
          <w:color w:val="000000" w:themeColor="text1"/>
          <w:sz w:val="28"/>
          <w:szCs w:val="28"/>
        </w:rPr>
        <w:lastRenderedPageBreak/>
        <w:t>combines detection and alignment, exposing a scikit-learn-compatible fit_transform() interface.</w:t>
      </w:r>
    </w:p>
    <w:p w14:paraId="639860D1"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2.4 STOCSY Analysis</w:t>
      </w:r>
    </w:p>
    <w:p w14:paraId="67C725FD"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 xml:space="preserve">Statistical Total Correlation Spectroscopy (STOCSY; Nicholson et al., 2005) identifies resonances that co-vary across a sample set, revealing metabolic pathway connectivity without prior metabolite identification. The STOCSY() function computes Pearson correlation coefficients and corresponding p-values between an anchor resonance (specified by its ppm value) and all other spectral points. Significance is assessed against a user-configurable p-value threshold (default </w:t>
      </w:r>
      <w:r w:rsidRPr="005D7021">
        <w:rPr>
          <w:rFonts w:cs="Times New Roman"/>
          <w:i/>
          <w:color w:val="000000" w:themeColor="text1"/>
          <w:sz w:val="28"/>
          <w:szCs w:val="28"/>
        </w:rPr>
        <w:t>p</w:t>
      </w:r>
      <w:r w:rsidRPr="005D7021">
        <w:rPr>
          <w:rFonts w:cs="Times New Roman"/>
          <w:color w:val="000000" w:themeColor="text1"/>
          <w:sz w:val="28"/>
          <w:szCs w:val="28"/>
        </w:rPr>
        <w:t xml:space="preserve"> &lt; 0.0001). Results are rendered as an interactive Plotly scatter plot in which point color encodes the correlation coefficient and opacity encodes significance. A companion Dash web application (STOCSY_app) provides a self-contained browser-based STOCSY explorer requiring no coding on the part of the end user.</w:t>
      </w:r>
    </w:p>
    <w:p w14:paraId="5E09429C"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2.5 Multivariate Statistical Modeling</w:t>
      </w:r>
    </w:p>
    <w:p w14:paraId="244D4380"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2.5.1 Principal Component Analysis</w:t>
      </w:r>
    </w:p>
    <w:p w14:paraId="43233D66"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 xml:space="preserve">The pca class wraps scikit-learn's PCA decomposition within a metabolomics-oriented interface. The class applies a selectable scaling transformation before decomposition, with four options: unit-variance (autoscaling, power = 1), Pareto scaling (power = 0.5), mean centering (power = 0), and min-max scaling, implemented in the Scaler class. Pareto scaling is the default, as it reduces the influence of high-variance noise signals while preserving relevant metabolite variance (van den Berg et al., 2006). After fitting, the class computes explained-variance ratios for each principal component and a Q² reconstruction statistic estimated on a held-out test partition. The public API exposes seven visualization methods: plot_observe_variance() (bar chart of per-component R²X), plot_cumulative_observed() (combined bar and line chart of cumulative R²X), plot_pca_scores() (2D scores scatter with confidence ellipses), plot_3d_pca() (3D interactive scores plot), plot_pca_trajectory() (mean ± SEM time-series trajectory on PCA axes), and plot_loading_() (loadings scatter plotted against chemical shift). All scores plots support user-supplied color and symbol mappings for groups and time points, with automatic </w:t>
      </w:r>
      <w:r w:rsidRPr="005D7021">
        <w:rPr>
          <w:rFonts w:cs="Times New Roman"/>
          <w:color w:val="000000" w:themeColor="text1"/>
          <w:sz w:val="28"/>
          <w:szCs w:val="28"/>
        </w:rPr>
        <w:lastRenderedPageBreak/>
        <w:t>palette generation from the full Plotly qualitative color library when no mapping is provided. Hotelling's T² confidence ellipses at 95% confidence are rendered for each group or for the full dataset using a parametric ellipse computed from the eigendecomposition of the sample covariance matrix.</w:t>
      </w:r>
    </w:p>
    <w:p w14:paraId="39F738DD"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2.5.2 OPLS-DA</w:t>
      </w:r>
    </w:p>
    <w:p w14:paraId="5C4D42B6"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 xml:space="preserve">Orthogonal Partial Least Squares Discriminant Analysis (OPLS-DA; Trygg and Wold, 2002) extends PLS-DA by orthogonalizing the latent-variable decomposition to separate predictive variation (correlated with the class vector </w:t>
      </w:r>
      <w:r w:rsidRPr="005D7021">
        <w:rPr>
          <w:rFonts w:cs="Times New Roman"/>
          <w:b/>
          <w:color w:val="000000" w:themeColor="text1"/>
          <w:sz w:val="28"/>
          <w:szCs w:val="28"/>
        </w:rPr>
        <w:t>y</w:t>
      </w:r>
      <w:r w:rsidRPr="005D7021">
        <w:rPr>
          <w:rFonts w:cs="Times New Roman"/>
          <w:color w:val="000000" w:themeColor="text1"/>
          <w:sz w:val="28"/>
          <w:szCs w:val="28"/>
        </w:rPr>
        <w:t xml:space="preserve">) from orthogonal variation (uncorrelated with </w:t>
      </w:r>
      <w:r w:rsidRPr="005D7021">
        <w:rPr>
          <w:rFonts w:cs="Times New Roman"/>
          <w:b/>
          <w:color w:val="000000" w:themeColor="text1"/>
          <w:sz w:val="28"/>
          <w:szCs w:val="28"/>
        </w:rPr>
        <w:t>y</w:t>
      </w:r>
      <w:r w:rsidRPr="005D7021">
        <w:rPr>
          <w:rFonts w:cs="Times New Roman"/>
          <w:color w:val="000000" w:themeColor="text1"/>
          <w:sz w:val="28"/>
          <w:szCs w:val="28"/>
        </w:rPr>
        <w:t>). This simplifies score-plot interpretation and enhances biomarker identification. The opls_da class implements OPLS-DA via a scikit-learn Pipeline combining the Scaler preprocessing step, PLSRegression decomposition, and a custom CrossValidation estimator that computes correlation and covariance loading spectra, predictive scores (</w:t>
      </w:r>
      <w:r w:rsidRPr="005D7021">
        <w:rPr>
          <w:rFonts w:cs="Times New Roman"/>
          <w:i/>
          <w:color w:val="000000" w:themeColor="text1"/>
          <w:sz w:val="28"/>
          <w:szCs w:val="28"/>
        </w:rPr>
        <w:t>t</w:t>
      </w:r>
      <w:r w:rsidRPr="005D7021">
        <w:rPr>
          <w:rFonts w:cs="Times New Roman"/>
          <w:color w:val="000000" w:themeColor="text1"/>
          <w:sz w:val="28"/>
          <w:szCs w:val="28"/>
        </w:rPr>
        <w:t>_pred), orthogonal scores (</w:t>
      </w:r>
      <w:r w:rsidRPr="005D7021">
        <w:rPr>
          <w:rFonts w:cs="Times New Roman"/>
          <w:i/>
          <w:color w:val="000000" w:themeColor="text1"/>
          <w:sz w:val="28"/>
          <w:szCs w:val="28"/>
        </w:rPr>
        <w:t>t</w:t>
      </w:r>
      <w:r w:rsidRPr="005D7021">
        <w:rPr>
          <w:rFonts w:cs="Times New Roman"/>
          <w:color w:val="000000" w:themeColor="text1"/>
          <w:sz w:val="28"/>
          <w:szCs w:val="28"/>
        </w:rPr>
        <w:t>_ortho), and model fit metrics (R²X_corr, R²Y, Q²). Automatic component selection is available via the auto_ncomp=True flag.</w:t>
      </w:r>
    </w:p>
    <w:p w14:paraId="1B052473"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The class provides a permutation test (permutation_test()) implementing the scikit-learn permutation_test_score() procedure to evaluate the null hypothesis that class separation is due to chance. VIP scores are computed from the PLS weight matrix according to the standard formula of Wold et al. (1993), with a sign transformation applied to indicate the direction of metabolite change between classes. Five visualization methods are available: plot_oplsda_scores() (scores scatter with confidence ellipses and R²X/R²Y/Q² annotations), plot_hist() (permutation score distribution with actual model accuracy), plot_s_scores() (S-plot of covariance vs. correlation), plot_loading() (pseudospectral loading colored by covariance), and vip_plot() (VIP scatter colored by direction and significance threshold).</w:t>
      </w:r>
    </w:p>
    <w:p w14:paraId="2F540B92"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2.5.3 Lazy OPLS-DA</w:t>
      </w:r>
    </w:p>
    <w:p w14:paraId="464CB7EE"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 xml:space="preserve">The lazy_opls_da class automates pairwise multi-group OPLS-DA by enumerating all unique group pairs from a metadata column, fitting an independent OPLS-DA model for each pair, and collecting results. This is particularly useful in studies with three or more experimental groups where </w:t>
      </w:r>
      <w:r w:rsidRPr="005D7021">
        <w:rPr>
          <w:rFonts w:cs="Times New Roman"/>
          <w:color w:val="000000" w:themeColor="text1"/>
          <w:sz w:val="28"/>
          <w:szCs w:val="28"/>
        </w:rPr>
        <w:lastRenderedPageBreak/>
        <w:t>exhaustive pairwise comparisons are required without manual sub-setting of datasets.</w:t>
      </w:r>
    </w:p>
    <w:p w14:paraId="083901C7"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2.6 Univariate Statistics</w:t>
      </w:r>
    </w:p>
    <w:p w14:paraId="0E05DA61"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The UnivarStats class in utility.py extends the multivariate analysis with per-feature univariate testing, including t-tests, Mann–Whitney U tests, and FDR correction via the Benjamini–Hochberg procedure (implemented through the pingouin library). The class is designed to complement OPLS-DA VIP analysis by providing statistical evidence for individual metabolite differences.</w:t>
      </w:r>
    </w:p>
    <w:p w14:paraId="11977FBA"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2.7 Interactive Applications</w:t>
      </w:r>
    </w:p>
    <w:p w14:paraId="7C0BB6CB" w14:textId="25ECBFC9"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 xml:space="preserve">Two Dash-based web applications are bundled with metbit for users who prefer graphical exploration over programmatic interfaces. STOCSY_app launches a browser-based interactive STOCSY tool in which the anchor ppm value and p-value threshold can be adjusted with </w:t>
      </w:r>
      <w:r w:rsidR="005D7021" w:rsidRPr="005D7021">
        <w:rPr>
          <w:rFonts w:cs="Times New Roman"/>
          <w:color w:val="000000" w:themeColor="text1"/>
          <w:sz w:val="28"/>
          <w:szCs w:val="28"/>
        </w:rPr>
        <w:t>sliders,</w:t>
      </w:r>
      <w:r w:rsidRPr="005D7021">
        <w:rPr>
          <w:rFonts w:cs="Times New Roman"/>
          <w:color w:val="000000" w:themeColor="text1"/>
          <w:sz w:val="28"/>
          <w:szCs w:val="28"/>
        </w:rPr>
        <w:t xml:space="preserve"> and the correlation plot updates in real time. pickie_peak provides an interactive peak picker for NMR spectra with click-to-annotate functionality. Both applications run as local servers and require no external hosting infrastructure.</w:t>
      </w:r>
    </w:p>
    <w:p w14:paraId="3E217B34" w14:textId="77777777" w:rsidR="00C4786C" w:rsidRPr="005D7021" w:rsidRDefault="00000000">
      <w:pPr>
        <w:pStyle w:val="Heading1"/>
        <w:rPr>
          <w:rFonts w:ascii="Times New Roman" w:hAnsi="Times New Roman" w:cs="Times New Roman"/>
          <w:color w:val="000000" w:themeColor="text1"/>
          <w:sz w:val="28"/>
        </w:rPr>
      </w:pPr>
      <w:r w:rsidRPr="005D7021">
        <w:rPr>
          <w:rFonts w:ascii="Times New Roman" w:hAnsi="Times New Roman" w:cs="Times New Roman"/>
          <w:color w:val="000000" w:themeColor="text1"/>
          <w:sz w:val="28"/>
        </w:rPr>
        <w:t>3. Results</w:t>
      </w:r>
    </w:p>
    <w:p w14:paraId="25804BDD"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3.1 Workflow Demonstration</w:t>
      </w:r>
    </w:p>
    <w:p w14:paraId="45EB2C2F"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To illustrate the integrated workflow, we describe a representative NMR metabolomics analysis performed using metbit. Beginning with a Bruker FID dataset, a researcher instantiates nmr_preprocessing, which reads the FID files with NMRglue, removes the digital filter, performs zero-filling and Fourier transformation, applies automatic phase correction, corrects baseline drift using the AsLS algorithm, and calibrates chemical shifts to the TSP reference signal. The resulting processed spectra are exported as a pandas DataFrame in which columns represent chemical shift positions (in ppm) and rows represent samples, providing a universal interchange format compatible with all downstream metbit modules.</w:t>
      </w:r>
    </w:p>
    <w:p w14:paraId="6A0AEB2D"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 xml:space="preserve">Probabilistic quotient normalization is applied using Normalization.pqn_normalization() to account for sample dilution variation, followed by peak alignment with icoshift_align() to correct residual </w:t>
      </w:r>
      <w:r w:rsidRPr="005D7021">
        <w:rPr>
          <w:rFonts w:cs="Times New Roman"/>
          <w:color w:val="000000" w:themeColor="text1"/>
          <w:sz w:val="28"/>
          <w:szCs w:val="28"/>
        </w:rPr>
        <w:lastRenderedPageBreak/>
        <w:t>chemical-shift drift. A PCA model is then fitted using pareto scaling with pca.fit(), and the scores plot (plot_pca_scores()) is examined to identify outliers and assess overall sample clustering. Time-trajectory plots (plot_pca_trajectory()) visualize the temporal evolution of metabolic profiles across experimental time points.</w:t>
      </w:r>
    </w:p>
    <w:p w14:paraId="3FED10F6" w14:textId="6F11A5E9"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Binary group comparisons proceed with opls_da.fit(), which fits the OPLS-DA model and reports R</w:t>
      </w:r>
      <w:r w:rsidR="005D7021" w:rsidRPr="005D7021">
        <w:rPr>
          <w:rFonts w:cs="Times New Roman"/>
          <w:color w:val="000000" w:themeColor="text1"/>
          <w:sz w:val="28"/>
          <w:szCs w:val="28"/>
          <w:vertAlign w:val="superscript"/>
        </w:rPr>
        <w:t>2</w:t>
      </w:r>
      <w:r w:rsidRPr="005D7021">
        <w:rPr>
          <w:rFonts w:cs="Times New Roman"/>
          <w:color w:val="000000" w:themeColor="text1"/>
          <w:sz w:val="28"/>
          <w:szCs w:val="28"/>
        </w:rPr>
        <w:t>X_corr, R</w:t>
      </w:r>
      <w:r w:rsidR="005D7021" w:rsidRPr="005D7021">
        <w:rPr>
          <w:rFonts w:cs="Times New Roman"/>
          <w:color w:val="000000" w:themeColor="text1"/>
          <w:sz w:val="28"/>
          <w:szCs w:val="28"/>
          <w:vertAlign w:val="superscript"/>
        </w:rPr>
        <w:t>2</w:t>
      </w:r>
      <w:r w:rsidRPr="005D7021">
        <w:rPr>
          <w:rFonts w:cs="Times New Roman"/>
          <w:color w:val="000000" w:themeColor="text1"/>
          <w:sz w:val="28"/>
          <w:szCs w:val="28"/>
        </w:rPr>
        <w:t>Y, and Q</w:t>
      </w:r>
      <w:r w:rsidR="005D7021" w:rsidRPr="005D7021">
        <w:rPr>
          <w:rFonts w:cs="Times New Roman"/>
          <w:color w:val="000000" w:themeColor="text1"/>
          <w:sz w:val="28"/>
          <w:szCs w:val="28"/>
          <w:vertAlign w:val="superscript"/>
        </w:rPr>
        <w:t>2</w:t>
      </w:r>
      <w:r w:rsidRPr="005D7021">
        <w:rPr>
          <w:rFonts w:cs="Times New Roman"/>
          <w:color w:val="000000" w:themeColor="text1"/>
          <w:sz w:val="28"/>
          <w:szCs w:val="28"/>
        </w:rPr>
        <w:t xml:space="preserve"> values. Model validity is confirmed by permutation_test(), which generates the permutation score histogram (plot_hist()) showing that the observed classification accuracy exceeds the null distribution at </w:t>
      </w:r>
      <w:r w:rsidRPr="005D7021">
        <w:rPr>
          <w:rFonts w:cs="Times New Roman"/>
          <w:i/>
          <w:color w:val="000000" w:themeColor="text1"/>
          <w:sz w:val="28"/>
          <w:szCs w:val="28"/>
        </w:rPr>
        <w:t>p</w:t>
      </w:r>
      <w:r w:rsidRPr="005D7021">
        <w:rPr>
          <w:rFonts w:cs="Times New Roman"/>
          <w:color w:val="000000" w:themeColor="text1"/>
          <w:sz w:val="28"/>
          <w:szCs w:val="28"/>
        </w:rPr>
        <w:t xml:space="preserve"> &lt; 0.05. VIP scores are computed with vip_scores() and visualized with vip_plot() to rank metabolic features by their contribution to class discrimination, with sign encoding indicating the direction of change. The S-plot (plot_s_scores()) is examined to identify metabolites with both high covariance (quantitative contribution to the model) and high absolute correlation (reliability of the contribution). Finally, STOCSY analysis identifies resonance clusters that co-vary with key discriminatory signals, facilitating structural assignment of biomarker candidates.</w:t>
      </w:r>
    </w:p>
    <w:p w14:paraId="04B091A0"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3.2 Scalability and Performance</w:t>
      </w:r>
    </w:p>
    <w:p w14:paraId="04CF5BF4"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The package has been tested on datasets ranging from small pilot studies (n = 20 samples, ~30,000 spectral variables) to mid-scale studies (n ≥ 200 samples). OPLS-DA fitting for a 500-sample × 50,000-variable dataset completes in approximately 2.5 seconds on a standard multi-core workstation (as reported in the package documentation), with permutation tests parallelized using the n_jobs=-1 argument via the scikit-learn joblib backend. PCA scaling and decomposition are performed using the highly optimized LAPACK routines in scikit-learn, ensuring O(min(n, p)²) complexity.</w:t>
      </w:r>
    </w:p>
    <w:p w14:paraId="0E5FD3D3" w14:textId="77777777" w:rsidR="00C4786C" w:rsidRPr="005D7021" w:rsidRDefault="00000000">
      <w:pPr>
        <w:pStyle w:val="Heading1"/>
        <w:rPr>
          <w:rFonts w:ascii="Times New Roman" w:hAnsi="Times New Roman" w:cs="Times New Roman"/>
          <w:color w:val="000000" w:themeColor="text1"/>
          <w:sz w:val="28"/>
        </w:rPr>
      </w:pPr>
      <w:r w:rsidRPr="005D7021">
        <w:rPr>
          <w:rFonts w:ascii="Times New Roman" w:hAnsi="Times New Roman" w:cs="Times New Roman"/>
          <w:color w:val="000000" w:themeColor="text1"/>
          <w:sz w:val="28"/>
        </w:rPr>
        <w:t>4. Discussion</w:t>
      </w:r>
    </w:p>
    <w:p w14:paraId="0D4DF443"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4.1 Comparison with Existing Tools</w:t>
      </w:r>
    </w:p>
    <w:p w14:paraId="02A06112"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 xml:space="preserve">metbit occupies a distinctive position among NMR metabolomics software tools. Commercial platforms such as Bruker TopSpin and Mnova offer </w:t>
      </w:r>
      <w:r w:rsidRPr="005D7021">
        <w:rPr>
          <w:rFonts w:cs="Times New Roman"/>
          <w:color w:val="000000" w:themeColor="text1"/>
          <w:sz w:val="28"/>
          <w:szCs w:val="28"/>
        </w:rPr>
        <w:lastRenderedPageBreak/>
        <w:t>comprehensive GUI-driven processing but lack scripting integration with the broader scientific Python ecosystem, and their licensing costs create barriers for academic and resource-limited settings. Web-based platforms such as MetaboAnalyst (Pang et al., 2022) and HMDB provide powerful analytical capabilities but require data upload to external servers and offer limited customization. R-based packages such as nmr, BATMAN, and ropls are well-validated but require proficiency in R and are not natively interoperable with Python deep-learning and machine-learning frameworks that are increasingly important in metabolomics research. nmrglue, the closest Python analogue, focuses on low-level spectral manipulation and does not include multivariate statistical modeling or interactive visualization.</w:t>
      </w:r>
    </w:p>
    <w:p w14:paraId="5DB8A1E4"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In contrast, metbit provides the complete analytical pipeline within a single Python package installable via pip, enabling integration with Jupyter notebooks, reproducible workflow managers (Snakemake, Nextflow), and machine-learning pipelines based on scikit-learn, PyTorch, or TensorFlow. The use of Plotly for all visualizations ensures that all figures are natively interactive (hover, zoom, pan) in Jupyter notebook and HTML export contexts, without requiring additional JavaScript frameworks.</w:t>
      </w:r>
    </w:p>
    <w:p w14:paraId="0F278412"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4.2 Limitations and Future Directions</w:t>
      </w:r>
    </w:p>
    <w:p w14:paraId="7A0261A7"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Several limitations of the current implementation should be acknowledged. The preprocessing pipeline currently supports Bruker FID format exclusively; support for Varian/Agilent and JEOL formats is planned for future releases through extended NMRglue integration. The OPLS-DA implementation is restricted to binary classification; multi-class extension via hierarchical or multi-level OPLS-DA is under active development. The automated phase correction relies on the peak-minima algorithm, which may fail on spectra with broad baseline features or very low signal-to-noise ratios; manual override parameters are available as a workaround. Targeted metabolite quantification and automated spectral deconvolution are not currently implemented but represent high-priority development directions.</w:t>
      </w:r>
    </w:p>
    <w:p w14:paraId="48694FEF"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 xml:space="preserve">Future versions of metbit will incorporate support for 2D NMR spectroscopy (HSQC, COSY), expanded support for mass-spectrometry-based metabolomics datasets, integration with metabolite databases (HMDB, </w:t>
      </w:r>
      <w:r w:rsidRPr="005D7021">
        <w:rPr>
          <w:rFonts w:cs="Times New Roman"/>
          <w:color w:val="000000" w:themeColor="text1"/>
          <w:sz w:val="28"/>
          <w:szCs w:val="28"/>
        </w:rPr>
        <w:lastRenderedPageBreak/>
        <w:t>BMRB) for automated annotation, and deep-learning-based spectral classification models. The interactive Dash applications will be extended with additional analytical functions and will be made deployable as cloud-accessible web services.</w:t>
      </w:r>
    </w:p>
    <w:p w14:paraId="0B2C5EDE" w14:textId="77777777" w:rsidR="00C4786C" w:rsidRPr="005D7021" w:rsidRDefault="00000000">
      <w:pPr>
        <w:pStyle w:val="Heading3"/>
        <w:rPr>
          <w:rFonts w:ascii="Times New Roman" w:hAnsi="Times New Roman" w:cs="Times New Roman"/>
          <w:color w:val="000000" w:themeColor="text1"/>
          <w:sz w:val="28"/>
          <w:szCs w:val="28"/>
        </w:rPr>
      </w:pPr>
      <w:r w:rsidRPr="005D7021">
        <w:rPr>
          <w:rFonts w:ascii="Times New Roman" w:hAnsi="Times New Roman" w:cs="Times New Roman"/>
          <w:color w:val="000000" w:themeColor="text1"/>
          <w:sz w:val="28"/>
          <w:szCs w:val="28"/>
        </w:rPr>
        <w:t>4.3 Software Engineering and Reproducibility</w:t>
      </w:r>
    </w:p>
    <w:p w14:paraId="4040125C"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metbit follows modern Python software engineering practices. The package is available on PyPI and GitHub under the MIT license, ensuring broad accessibility and permissive reuse. A full documentation website is hosted at https://metbit-docs.vercel.app and includes a getting-started guide, API reference, and annotated workflow examples. The repository includes a continuous integration test suite covering core preprocessing, scaling, normalization, and modeling functions, as well as security analysis via CodeQL and automated dependency management via Dependabot. The use of pandas DataFrames as the canonical data interchange format throughout the package ensures interoperability with the broader scientific Python ecosystem, including record linkage with clinical metadata, machine learning with scikit-learn, and statistical reporting with pingouin and statsmodels.</w:t>
      </w:r>
    </w:p>
    <w:p w14:paraId="171AE32B" w14:textId="77777777" w:rsidR="00C4786C" w:rsidRPr="005D7021" w:rsidRDefault="00000000">
      <w:pPr>
        <w:pStyle w:val="Heading1"/>
        <w:rPr>
          <w:rFonts w:ascii="Times New Roman" w:hAnsi="Times New Roman" w:cs="Times New Roman"/>
          <w:color w:val="000000" w:themeColor="text1"/>
          <w:sz w:val="28"/>
        </w:rPr>
      </w:pPr>
      <w:r w:rsidRPr="005D7021">
        <w:rPr>
          <w:rFonts w:ascii="Times New Roman" w:hAnsi="Times New Roman" w:cs="Times New Roman"/>
          <w:color w:val="000000" w:themeColor="text1"/>
          <w:sz w:val="28"/>
        </w:rPr>
        <w:t>5. Conclusion</w:t>
      </w:r>
    </w:p>
    <w:p w14:paraId="7D89A263"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We present metbit, a comprehensive and freely available Python package that unifies the complete NMR-based metabolomics analytical workflow under a single, coherent API. By integrating NMR file reading, preprocessing, normalization, peak alignment, STOCSY, PCA, and OPLS-DA with production-quality interactive visualizations and Dash applications, metbit substantially lowers the technical barrier to reproducible NMR metabolomics analysis and facilitates integration with the modern scientific Python ecosystem. We invite the metabolomics community to adopt, contribute to, and extend metbit as a shared computational resource.</w:t>
      </w:r>
    </w:p>
    <w:p w14:paraId="21E05052" w14:textId="77777777" w:rsidR="00C4786C" w:rsidRPr="005D7021" w:rsidRDefault="00000000">
      <w:pPr>
        <w:pStyle w:val="Heading1"/>
        <w:rPr>
          <w:rFonts w:ascii="Times New Roman" w:hAnsi="Times New Roman" w:cs="Times New Roman"/>
          <w:color w:val="000000" w:themeColor="text1"/>
          <w:sz w:val="28"/>
        </w:rPr>
      </w:pPr>
      <w:r w:rsidRPr="005D7021">
        <w:rPr>
          <w:rFonts w:ascii="Times New Roman" w:hAnsi="Times New Roman" w:cs="Times New Roman"/>
          <w:color w:val="000000" w:themeColor="text1"/>
          <w:sz w:val="28"/>
        </w:rPr>
        <w:t>Author Contributions</w:t>
      </w:r>
    </w:p>
    <w:p w14:paraId="3576211F" w14:textId="77777777" w:rsidR="00C4786C" w:rsidRPr="005D7021" w:rsidRDefault="00000000">
      <w:pPr>
        <w:jc w:val="both"/>
        <w:rPr>
          <w:rFonts w:cs="Times New Roman"/>
          <w:color w:val="000000" w:themeColor="text1"/>
          <w:sz w:val="28"/>
          <w:szCs w:val="28"/>
        </w:rPr>
      </w:pPr>
      <w:r w:rsidRPr="005D7021">
        <w:rPr>
          <w:rFonts w:cs="Times New Roman"/>
          <w:b/>
          <w:color w:val="000000" w:themeColor="text1"/>
          <w:sz w:val="28"/>
          <w:szCs w:val="28"/>
        </w:rPr>
        <w:t>Theerayut Bubpamala</w:t>
      </w:r>
      <w:r w:rsidRPr="005D7021">
        <w:rPr>
          <w:rFonts w:cs="Times New Roman"/>
          <w:color w:val="000000" w:themeColor="text1"/>
          <w:sz w:val="28"/>
          <w:szCs w:val="28"/>
        </w:rPr>
        <w:t>: Conceptualization; Software (package design, implementation, and testing); Formal Analysis; Writing – Original Draft; Writing – Review &amp; Editing; Visualization; Project Administration.</w:t>
      </w:r>
    </w:p>
    <w:p w14:paraId="0FE1791B" w14:textId="77777777" w:rsidR="00C4786C" w:rsidRPr="005D7021" w:rsidRDefault="00000000">
      <w:pPr>
        <w:jc w:val="center"/>
        <w:rPr>
          <w:rFonts w:cs="Times New Roman"/>
          <w:color w:val="000000" w:themeColor="text1"/>
          <w:sz w:val="28"/>
          <w:szCs w:val="28"/>
        </w:rPr>
      </w:pPr>
      <w:r w:rsidRPr="005D7021">
        <w:rPr>
          <w:rFonts w:cs="Times New Roman"/>
          <w:i/>
          <w:color w:val="000000" w:themeColor="text1"/>
          <w:sz w:val="28"/>
          <w:szCs w:val="28"/>
        </w:rPr>
        <w:lastRenderedPageBreak/>
        <w:t>Contributor roles follow the CRediT (Contributor Roles Taxonomy) vocabulary (Brand et al., 2015).</w:t>
      </w:r>
    </w:p>
    <w:p w14:paraId="57EFC84A" w14:textId="77777777" w:rsidR="00C4786C" w:rsidRPr="005D7021" w:rsidRDefault="00000000">
      <w:pPr>
        <w:pStyle w:val="Heading1"/>
        <w:rPr>
          <w:rFonts w:ascii="Times New Roman" w:hAnsi="Times New Roman" w:cs="Times New Roman"/>
          <w:color w:val="000000" w:themeColor="text1"/>
          <w:sz w:val="28"/>
        </w:rPr>
      </w:pPr>
      <w:r w:rsidRPr="005D7021">
        <w:rPr>
          <w:rFonts w:ascii="Times New Roman" w:hAnsi="Times New Roman" w:cs="Times New Roman"/>
          <w:color w:val="000000" w:themeColor="text1"/>
          <w:sz w:val="28"/>
        </w:rPr>
        <w:t>Acknowledgements</w:t>
      </w:r>
    </w:p>
    <w:p w14:paraId="24E3A3AA"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The author thanks the open-source scientific Python community for the libraries on which metbit depends (see Python Package References). The following generative AI tools provided auxiliary support during this project and are disclosed in accordance with ICMJE (2023) and Nature Portfolio AI authorship policies. These systems are not listed as authors because they cannot accept accountability for the work, cannot consent to authorship, and do not satisfy the criteria of intellectual contribution and approval of the final version required of human authors; the corresponding author (T.B.) accepts full responsibility for all content.</w:t>
      </w:r>
    </w:p>
    <w:tbl>
      <w:tblPr>
        <w:tblStyle w:val="PlainTable5"/>
        <w:tblW w:w="0" w:type="auto"/>
        <w:tblLook w:val="04A0" w:firstRow="1" w:lastRow="0" w:firstColumn="1" w:lastColumn="0" w:noHBand="0" w:noVBand="1"/>
      </w:tblPr>
      <w:tblGrid>
        <w:gridCol w:w="2882"/>
        <w:gridCol w:w="2882"/>
        <w:gridCol w:w="2882"/>
      </w:tblGrid>
      <w:tr w:rsidR="00C4786C" w:rsidRPr="005D7021" w14:paraId="63F1409B" w14:textId="77777777" w:rsidTr="005D70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2" w:type="dxa"/>
          </w:tcPr>
          <w:p w14:paraId="4C0A6FFF" w14:textId="77777777" w:rsidR="00C4786C" w:rsidRPr="005D7021" w:rsidRDefault="00000000">
            <w:pPr>
              <w:spacing w:before="40" w:after="40"/>
              <w:rPr>
                <w:rFonts w:cs="Times New Roman"/>
                <w:color w:val="000000" w:themeColor="text1"/>
                <w:sz w:val="28"/>
                <w:szCs w:val="28"/>
              </w:rPr>
            </w:pPr>
            <w:r w:rsidRPr="005D7021">
              <w:rPr>
                <w:rFonts w:cs="Times New Roman"/>
                <w:b/>
                <w:i w:val="0"/>
                <w:color w:val="000000" w:themeColor="text1"/>
                <w:sz w:val="28"/>
                <w:szCs w:val="28"/>
              </w:rPr>
              <w:t>Tool</w:t>
            </w:r>
          </w:p>
        </w:tc>
        <w:tc>
          <w:tcPr>
            <w:tcW w:w="2882" w:type="dxa"/>
          </w:tcPr>
          <w:p w14:paraId="47776F2A" w14:textId="77777777" w:rsidR="00C4786C" w:rsidRPr="005D7021" w:rsidRDefault="00000000">
            <w:pPr>
              <w:spacing w:before="40" w:after="40"/>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28"/>
                <w:szCs w:val="28"/>
              </w:rPr>
            </w:pPr>
            <w:r w:rsidRPr="005D7021">
              <w:rPr>
                <w:rFonts w:cs="Times New Roman"/>
                <w:b/>
                <w:i w:val="0"/>
                <w:color w:val="000000" w:themeColor="text1"/>
                <w:sz w:val="28"/>
                <w:szCs w:val="28"/>
              </w:rPr>
              <w:t>Version</w:t>
            </w:r>
          </w:p>
        </w:tc>
        <w:tc>
          <w:tcPr>
            <w:tcW w:w="2882" w:type="dxa"/>
          </w:tcPr>
          <w:p w14:paraId="4BF07CD1" w14:textId="77777777" w:rsidR="00C4786C" w:rsidRPr="005D7021" w:rsidRDefault="00000000">
            <w:pPr>
              <w:spacing w:before="40" w:after="40"/>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28"/>
                <w:szCs w:val="28"/>
              </w:rPr>
            </w:pPr>
            <w:r w:rsidRPr="005D7021">
              <w:rPr>
                <w:rFonts w:cs="Times New Roman"/>
                <w:b/>
                <w:i w:val="0"/>
                <w:color w:val="000000" w:themeColor="text1"/>
                <w:sz w:val="28"/>
                <w:szCs w:val="28"/>
              </w:rPr>
              <w:t>Role in this project</w:t>
            </w:r>
          </w:p>
        </w:tc>
      </w:tr>
      <w:tr w:rsidR="00C4786C" w:rsidRPr="005D7021" w14:paraId="0E55F742" w14:textId="77777777" w:rsidTr="005D70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39485C9E" w14:textId="77777777" w:rsidR="00C4786C" w:rsidRPr="005D7021" w:rsidRDefault="00000000">
            <w:pPr>
              <w:spacing w:before="40" w:after="40"/>
              <w:rPr>
                <w:rFonts w:cs="Times New Roman"/>
                <w:color w:val="000000" w:themeColor="text1"/>
                <w:sz w:val="28"/>
                <w:szCs w:val="28"/>
              </w:rPr>
            </w:pPr>
            <w:r w:rsidRPr="005D7021">
              <w:rPr>
                <w:rFonts w:cs="Times New Roman"/>
                <w:i w:val="0"/>
                <w:color w:val="000000" w:themeColor="text1"/>
                <w:sz w:val="28"/>
                <w:szCs w:val="28"/>
              </w:rPr>
              <w:t>Theerayut Bubpamala</w:t>
            </w:r>
          </w:p>
        </w:tc>
        <w:tc>
          <w:tcPr>
            <w:tcW w:w="2882" w:type="dxa"/>
          </w:tcPr>
          <w:p w14:paraId="2815D8DD" w14:textId="79DD5C10" w:rsidR="00C4786C" w:rsidRPr="005D7021" w:rsidRDefault="00C4786C">
            <w:pPr>
              <w:spacing w:before="40" w:after="40"/>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p>
        </w:tc>
        <w:tc>
          <w:tcPr>
            <w:tcW w:w="2882" w:type="dxa"/>
          </w:tcPr>
          <w:p w14:paraId="692D6A5A" w14:textId="77777777" w:rsidR="00C4786C" w:rsidRPr="005D7021" w:rsidRDefault="00000000">
            <w:pPr>
              <w:spacing w:before="40" w:after="40"/>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sidRPr="005D7021">
              <w:rPr>
                <w:rFonts w:cs="Times New Roman"/>
                <w:color w:val="000000" w:themeColor="text1"/>
                <w:sz w:val="28"/>
                <w:szCs w:val="28"/>
              </w:rPr>
              <w:t>Developer of the Python package; manuscript author and primary writer</w:t>
            </w:r>
          </w:p>
        </w:tc>
      </w:tr>
      <w:tr w:rsidR="00C4786C" w:rsidRPr="005D7021" w14:paraId="29C222D6" w14:textId="77777777" w:rsidTr="005D7021">
        <w:tc>
          <w:tcPr>
            <w:cnfStyle w:val="001000000000" w:firstRow="0" w:lastRow="0" w:firstColumn="1" w:lastColumn="0" w:oddVBand="0" w:evenVBand="0" w:oddHBand="0" w:evenHBand="0" w:firstRowFirstColumn="0" w:firstRowLastColumn="0" w:lastRowFirstColumn="0" w:lastRowLastColumn="0"/>
            <w:tcW w:w="2882" w:type="dxa"/>
          </w:tcPr>
          <w:p w14:paraId="12FB5C6C" w14:textId="77777777" w:rsidR="00C4786C" w:rsidRPr="005D7021" w:rsidRDefault="00000000">
            <w:pPr>
              <w:spacing w:before="40" w:after="40"/>
              <w:rPr>
                <w:rFonts w:cs="Times New Roman"/>
                <w:color w:val="000000" w:themeColor="text1"/>
                <w:sz w:val="28"/>
                <w:szCs w:val="28"/>
              </w:rPr>
            </w:pPr>
            <w:r w:rsidRPr="005D7021">
              <w:rPr>
                <w:rFonts w:cs="Times New Roman"/>
                <w:i w:val="0"/>
                <w:color w:val="000000" w:themeColor="text1"/>
                <w:sz w:val="28"/>
                <w:szCs w:val="28"/>
              </w:rPr>
              <w:t>Claude</w:t>
            </w:r>
          </w:p>
        </w:tc>
        <w:tc>
          <w:tcPr>
            <w:tcW w:w="2882" w:type="dxa"/>
          </w:tcPr>
          <w:p w14:paraId="50154C9D" w14:textId="77777777" w:rsidR="00C4786C" w:rsidRPr="005D7021" w:rsidRDefault="00000000">
            <w:pPr>
              <w:spacing w:before="40" w:after="40"/>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sidRPr="005D7021">
              <w:rPr>
                <w:rFonts w:cs="Times New Roman"/>
                <w:color w:val="000000" w:themeColor="text1"/>
                <w:sz w:val="28"/>
                <w:szCs w:val="28"/>
              </w:rPr>
              <w:t>Sonnet 4.6 (Anthropic)</w:t>
            </w:r>
          </w:p>
        </w:tc>
        <w:tc>
          <w:tcPr>
            <w:tcW w:w="2882" w:type="dxa"/>
          </w:tcPr>
          <w:p w14:paraId="5C28F169" w14:textId="77777777" w:rsidR="00C4786C" w:rsidRPr="005D7021" w:rsidRDefault="00000000">
            <w:pPr>
              <w:spacing w:before="40" w:after="40"/>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sidRPr="005D7021">
              <w:rPr>
                <w:rFonts w:cs="Times New Roman"/>
                <w:color w:val="000000" w:themeColor="text1"/>
                <w:sz w:val="28"/>
                <w:szCs w:val="28"/>
              </w:rPr>
              <w:t>Manuscript drafting assistance and manuscript review</w:t>
            </w:r>
          </w:p>
        </w:tc>
      </w:tr>
      <w:tr w:rsidR="00C4786C" w:rsidRPr="005D7021" w14:paraId="442493B2" w14:textId="77777777" w:rsidTr="005D70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17BF2F7B" w14:textId="77777777" w:rsidR="00C4786C" w:rsidRPr="005D7021" w:rsidRDefault="00000000">
            <w:pPr>
              <w:spacing w:before="40" w:after="40"/>
              <w:rPr>
                <w:rFonts w:cs="Times New Roman"/>
                <w:color w:val="000000" w:themeColor="text1"/>
                <w:sz w:val="28"/>
                <w:szCs w:val="28"/>
              </w:rPr>
            </w:pPr>
            <w:r w:rsidRPr="005D7021">
              <w:rPr>
                <w:rFonts w:cs="Times New Roman"/>
                <w:i w:val="0"/>
                <w:color w:val="000000" w:themeColor="text1"/>
                <w:sz w:val="28"/>
                <w:szCs w:val="28"/>
              </w:rPr>
              <w:t>GPT</w:t>
            </w:r>
          </w:p>
        </w:tc>
        <w:tc>
          <w:tcPr>
            <w:tcW w:w="2882" w:type="dxa"/>
          </w:tcPr>
          <w:p w14:paraId="1C8D3CF4" w14:textId="77777777" w:rsidR="00C4786C" w:rsidRPr="005D7021" w:rsidRDefault="00000000">
            <w:pPr>
              <w:spacing w:before="40" w:after="40"/>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sidRPr="005D7021">
              <w:rPr>
                <w:rFonts w:cs="Times New Roman"/>
                <w:color w:val="000000" w:themeColor="text1"/>
                <w:sz w:val="28"/>
                <w:szCs w:val="28"/>
              </w:rPr>
              <w:t>GPT-5.2 (OpenAI)</w:t>
            </w:r>
          </w:p>
        </w:tc>
        <w:tc>
          <w:tcPr>
            <w:tcW w:w="2882" w:type="dxa"/>
          </w:tcPr>
          <w:p w14:paraId="71682A1D" w14:textId="77777777" w:rsidR="00C4786C" w:rsidRPr="005D7021" w:rsidRDefault="00000000">
            <w:pPr>
              <w:spacing w:before="40" w:after="40"/>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sidRPr="005D7021">
              <w:rPr>
                <w:rFonts w:cs="Times New Roman"/>
                <w:color w:val="000000" w:themeColor="text1"/>
                <w:sz w:val="28"/>
                <w:szCs w:val="28"/>
              </w:rPr>
              <w:t>Code review; manuscript review</w:t>
            </w:r>
          </w:p>
        </w:tc>
      </w:tr>
    </w:tbl>
    <w:p w14:paraId="4A42E290" w14:textId="77777777" w:rsidR="00C4786C" w:rsidRPr="005D7021" w:rsidRDefault="00C4786C">
      <w:pPr>
        <w:rPr>
          <w:rFonts w:cs="Times New Roman"/>
          <w:color w:val="000000" w:themeColor="text1"/>
          <w:sz w:val="28"/>
          <w:szCs w:val="28"/>
        </w:rPr>
      </w:pPr>
    </w:p>
    <w:p w14:paraId="02FA926C" w14:textId="77777777" w:rsidR="00C4786C" w:rsidRPr="005D7021" w:rsidRDefault="00000000">
      <w:pPr>
        <w:pStyle w:val="Heading1"/>
        <w:rPr>
          <w:rFonts w:ascii="Times New Roman" w:hAnsi="Times New Roman" w:cs="Times New Roman"/>
          <w:color w:val="000000" w:themeColor="text1"/>
          <w:sz w:val="28"/>
        </w:rPr>
      </w:pPr>
      <w:r w:rsidRPr="005D7021">
        <w:rPr>
          <w:rFonts w:ascii="Times New Roman" w:hAnsi="Times New Roman" w:cs="Times New Roman"/>
          <w:color w:val="000000" w:themeColor="text1"/>
          <w:sz w:val="28"/>
        </w:rPr>
        <w:t>Funding and Conflicts of Interest</w:t>
      </w:r>
    </w:p>
    <w:p w14:paraId="61CFE01F"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metbit is independently developed and maintained by kawa-technology. This work received no external funding. The author declares no conflicts of interest.</w:t>
      </w:r>
    </w:p>
    <w:p w14:paraId="7ED5E984" w14:textId="77777777" w:rsidR="00C4786C" w:rsidRPr="005D7021" w:rsidRDefault="00000000">
      <w:pPr>
        <w:pStyle w:val="Heading1"/>
        <w:rPr>
          <w:rFonts w:ascii="Times New Roman" w:hAnsi="Times New Roman" w:cs="Times New Roman"/>
          <w:color w:val="000000" w:themeColor="text1"/>
          <w:sz w:val="28"/>
        </w:rPr>
      </w:pPr>
      <w:r w:rsidRPr="005D7021">
        <w:rPr>
          <w:rFonts w:ascii="Times New Roman" w:hAnsi="Times New Roman" w:cs="Times New Roman"/>
          <w:color w:val="000000" w:themeColor="text1"/>
          <w:sz w:val="28"/>
        </w:rPr>
        <w:t>Data Availability</w:t>
      </w:r>
    </w:p>
    <w:p w14:paraId="6F6C5F24" w14:textId="77777777" w:rsidR="00C4786C" w:rsidRPr="005D7021" w:rsidRDefault="00000000">
      <w:pPr>
        <w:jc w:val="both"/>
        <w:rPr>
          <w:rFonts w:cs="Times New Roman"/>
          <w:color w:val="000000" w:themeColor="text1"/>
          <w:sz w:val="28"/>
          <w:szCs w:val="28"/>
        </w:rPr>
      </w:pPr>
      <w:r w:rsidRPr="005D7021">
        <w:rPr>
          <w:rFonts w:cs="Times New Roman"/>
          <w:color w:val="000000" w:themeColor="text1"/>
          <w:sz w:val="28"/>
          <w:szCs w:val="28"/>
        </w:rPr>
        <w:t>metbit is freely available at https://github.com/aeiwz/metbit (MIT License). The package is installable via pip install metbit. Documentation is available at https://metbit-docs.vercel.app.</w:t>
      </w:r>
    </w:p>
    <w:p w14:paraId="09F56FCE" w14:textId="16B728B1" w:rsidR="00C4786C" w:rsidRPr="005D7021" w:rsidRDefault="00000000">
      <w:pPr>
        <w:pStyle w:val="Heading1"/>
        <w:rPr>
          <w:rFonts w:ascii="Times New Roman" w:hAnsi="Times New Roman" w:cs="Times New Roman"/>
          <w:color w:val="000000" w:themeColor="text1"/>
          <w:sz w:val="28"/>
        </w:rPr>
      </w:pPr>
      <w:r w:rsidRPr="005D7021">
        <w:rPr>
          <w:rFonts w:ascii="Times New Roman" w:hAnsi="Times New Roman" w:cs="Times New Roman"/>
          <w:color w:val="000000" w:themeColor="text1"/>
          <w:sz w:val="28"/>
        </w:rPr>
        <w:lastRenderedPageBreak/>
        <w:t>References</w:t>
      </w:r>
    </w:p>
    <w:p w14:paraId="78EFACE1" w14:textId="77777777" w:rsidR="00430F24" w:rsidRPr="00430F24" w:rsidRDefault="00430F24" w:rsidP="00430F24">
      <w:pPr>
        <w:rPr>
          <w:rFonts w:cs="Times New Roman"/>
          <w:color w:val="000000" w:themeColor="text1"/>
          <w:sz w:val="28"/>
          <w:szCs w:val="28"/>
        </w:rPr>
      </w:pPr>
    </w:p>
    <w:p w14:paraId="221C11B7" w14:textId="63853A44"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Baek, S.-J., Park, A., Ahn, Y.-J., and Choo, J. (2015). Baseline correction using asymmetrically reweighted penalized least squares smoothing. </w:t>
      </w:r>
      <w:r w:rsidRPr="00430F24">
        <w:rPr>
          <w:rFonts w:cs="Times New Roman"/>
          <w:i/>
          <w:iCs/>
          <w:color w:val="000000" w:themeColor="text1"/>
          <w:sz w:val="28"/>
          <w:szCs w:val="28"/>
        </w:rPr>
        <w:t>Analyst</w:t>
      </w:r>
      <w:r w:rsidRPr="00430F24">
        <w:rPr>
          <w:rFonts w:cs="Times New Roman"/>
          <w:color w:val="000000" w:themeColor="text1"/>
          <w:sz w:val="28"/>
          <w:szCs w:val="28"/>
        </w:rPr>
        <w:t>, 140(1), 250-257.</w:t>
      </w:r>
    </w:p>
    <w:p w14:paraId="22618637" w14:textId="185AF813"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van den Berg, R. A., </w:t>
      </w:r>
      <w:proofErr w:type="spellStart"/>
      <w:r w:rsidRPr="00430F24">
        <w:rPr>
          <w:rFonts w:cs="Times New Roman"/>
          <w:color w:val="000000" w:themeColor="text1"/>
          <w:sz w:val="28"/>
          <w:szCs w:val="28"/>
        </w:rPr>
        <w:t>Hoefsloot</w:t>
      </w:r>
      <w:proofErr w:type="spellEnd"/>
      <w:r w:rsidRPr="00430F24">
        <w:rPr>
          <w:rFonts w:cs="Times New Roman"/>
          <w:color w:val="000000" w:themeColor="text1"/>
          <w:sz w:val="28"/>
          <w:szCs w:val="28"/>
        </w:rPr>
        <w:t xml:space="preserve">, H. C. J., </w:t>
      </w:r>
      <w:proofErr w:type="spellStart"/>
      <w:r w:rsidRPr="00430F24">
        <w:rPr>
          <w:rFonts w:cs="Times New Roman"/>
          <w:color w:val="000000" w:themeColor="text1"/>
          <w:sz w:val="28"/>
          <w:szCs w:val="28"/>
        </w:rPr>
        <w:t>Westerhuis</w:t>
      </w:r>
      <w:proofErr w:type="spellEnd"/>
      <w:r w:rsidRPr="00430F24">
        <w:rPr>
          <w:rFonts w:cs="Times New Roman"/>
          <w:color w:val="000000" w:themeColor="text1"/>
          <w:sz w:val="28"/>
          <w:szCs w:val="28"/>
        </w:rPr>
        <w:t xml:space="preserve">, J. A., </w:t>
      </w:r>
      <w:proofErr w:type="spellStart"/>
      <w:r w:rsidRPr="00430F24">
        <w:rPr>
          <w:rFonts w:cs="Times New Roman"/>
          <w:color w:val="000000" w:themeColor="text1"/>
          <w:sz w:val="28"/>
          <w:szCs w:val="28"/>
        </w:rPr>
        <w:t>Smilde</w:t>
      </w:r>
      <w:proofErr w:type="spellEnd"/>
      <w:r w:rsidRPr="00430F24">
        <w:rPr>
          <w:rFonts w:cs="Times New Roman"/>
          <w:color w:val="000000" w:themeColor="text1"/>
          <w:sz w:val="28"/>
          <w:szCs w:val="28"/>
        </w:rPr>
        <w:t xml:space="preserve">, A. K., and van der Werf, M. J. (2006). Centering, scaling, and transformations: improving the biological information content of metabolomics data. </w:t>
      </w:r>
      <w:r w:rsidRPr="00430F24">
        <w:rPr>
          <w:rFonts w:cs="Times New Roman"/>
          <w:i/>
          <w:iCs/>
          <w:color w:val="000000" w:themeColor="text1"/>
          <w:sz w:val="28"/>
          <w:szCs w:val="28"/>
        </w:rPr>
        <w:t>BMC Genomics</w:t>
      </w:r>
      <w:r w:rsidRPr="00430F24">
        <w:rPr>
          <w:rFonts w:cs="Times New Roman"/>
          <w:color w:val="000000" w:themeColor="text1"/>
          <w:sz w:val="28"/>
          <w:szCs w:val="28"/>
        </w:rPr>
        <w:t>, 7(1), 142.</w:t>
      </w:r>
    </w:p>
    <w:p w14:paraId="06987653" w14:textId="1D4D625A"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Brand, A., Allen, L., Altman, M., Hlava, M., and Scott, J. (2015). Beyond authorship: attribution, contribution, collaboration, and credit. </w:t>
      </w:r>
      <w:r w:rsidRPr="00430F24">
        <w:rPr>
          <w:rFonts w:cs="Times New Roman"/>
          <w:i/>
          <w:iCs/>
          <w:color w:val="000000" w:themeColor="text1"/>
          <w:sz w:val="28"/>
          <w:szCs w:val="28"/>
        </w:rPr>
        <w:t>Learned Publishing</w:t>
      </w:r>
      <w:r w:rsidRPr="00430F24">
        <w:rPr>
          <w:rFonts w:cs="Times New Roman"/>
          <w:color w:val="000000" w:themeColor="text1"/>
          <w:sz w:val="28"/>
          <w:szCs w:val="28"/>
        </w:rPr>
        <w:t>, 28(2), 151-155. https://doi.org/10.1087/20150211</w:t>
      </w:r>
    </w:p>
    <w:p w14:paraId="76FD5BA1" w14:textId="235BDCDC"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Chen, L., Weng, Z., Goh, L., and Garland, M. (2002). An efficient algorithm for automatic phase correction of NMR spectra based on entropy minimization. </w:t>
      </w:r>
      <w:r w:rsidRPr="00430F24">
        <w:rPr>
          <w:rFonts w:cs="Times New Roman"/>
          <w:i/>
          <w:iCs/>
          <w:color w:val="000000" w:themeColor="text1"/>
          <w:sz w:val="28"/>
          <w:szCs w:val="28"/>
        </w:rPr>
        <w:t>Journal of Magnetic Resonance</w:t>
      </w:r>
      <w:r w:rsidRPr="00430F24">
        <w:rPr>
          <w:rFonts w:cs="Times New Roman"/>
          <w:color w:val="000000" w:themeColor="text1"/>
          <w:sz w:val="28"/>
          <w:szCs w:val="28"/>
        </w:rPr>
        <w:t>, 158(1-2), 164-168.</w:t>
      </w:r>
    </w:p>
    <w:p w14:paraId="57295A5C" w14:textId="5EBA8BA4"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da Costa-Luis, C., Larroque, S. K., Altendorf, K., Mary, H., </w:t>
      </w:r>
      <w:proofErr w:type="spellStart"/>
      <w:r w:rsidRPr="00430F24">
        <w:rPr>
          <w:rFonts w:cs="Times New Roman"/>
          <w:color w:val="000000" w:themeColor="text1"/>
          <w:sz w:val="28"/>
          <w:szCs w:val="28"/>
        </w:rPr>
        <w:t>richardsheridan</w:t>
      </w:r>
      <w:proofErr w:type="spellEnd"/>
      <w:r w:rsidRPr="00430F24">
        <w:rPr>
          <w:rFonts w:cs="Times New Roman"/>
          <w:color w:val="000000" w:themeColor="text1"/>
          <w:sz w:val="28"/>
          <w:szCs w:val="28"/>
        </w:rPr>
        <w:t xml:space="preserve">, </w:t>
      </w:r>
      <w:proofErr w:type="spellStart"/>
      <w:r w:rsidRPr="00430F24">
        <w:rPr>
          <w:rFonts w:cs="Times New Roman"/>
          <w:color w:val="000000" w:themeColor="text1"/>
          <w:sz w:val="28"/>
          <w:szCs w:val="28"/>
        </w:rPr>
        <w:t>Korobov</w:t>
      </w:r>
      <w:proofErr w:type="spellEnd"/>
      <w:r w:rsidRPr="00430F24">
        <w:rPr>
          <w:rFonts w:cs="Times New Roman"/>
          <w:color w:val="000000" w:themeColor="text1"/>
          <w:sz w:val="28"/>
          <w:szCs w:val="28"/>
        </w:rPr>
        <w:t xml:space="preserve">, M., Yorav-Raphael, N., Ivanov, I., </w:t>
      </w:r>
      <w:proofErr w:type="spellStart"/>
      <w:r w:rsidRPr="00430F24">
        <w:rPr>
          <w:rFonts w:cs="Times New Roman"/>
          <w:color w:val="000000" w:themeColor="text1"/>
          <w:sz w:val="28"/>
          <w:szCs w:val="28"/>
        </w:rPr>
        <w:t>Bargull</w:t>
      </w:r>
      <w:proofErr w:type="spellEnd"/>
      <w:r w:rsidRPr="00430F24">
        <w:rPr>
          <w:rFonts w:cs="Times New Roman"/>
          <w:color w:val="000000" w:themeColor="text1"/>
          <w:sz w:val="28"/>
          <w:szCs w:val="28"/>
        </w:rPr>
        <w:t xml:space="preserve">, M., Rodrigues, N., Chen, G., Lee, A., Newey, C., </w:t>
      </w:r>
      <w:proofErr w:type="spellStart"/>
      <w:r w:rsidRPr="00430F24">
        <w:rPr>
          <w:rFonts w:cs="Times New Roman"/>
          <w:color w:val="000000" w:themeColor="text1"/>
          <w:sz w:val="28"/>
          <w:szCs w:val="28"/>
        </w:rPr>
        <w:t>CrazyPython</w:t>
      </w:r>
      <w:proofErr w:type="spellEnd"/>
      <w:r w:rsidRPr="00430F24">
        <w:rPr>
          <w:rFonts w:cs="Times New Roman"/>
          <w:color w:val="000000" w:themeColor="text1"/>
          <w:sz w:val="28"/>
          <w:szCs w:val="28"/>
        </w:rPr>
        <w:t xml:space="preserve">, and contributors. (2023). </w:t>
      </w:r>
      <w:proofErr w:type="spellStart"/>
      <w:r w:rsidRPr="00430F24">
        <w:rPr>
          <w:rFonts w:cs="Times New Roman"/>
          <w:color w:val="000000" w:themeColor="text1"/>
          <w:sz w:val="28"/>
          <w:szCs w:val="28"/>
        </w:rPr>
        <w:t>tqdm</w:t>
      </w:r>
      <w:proofErr w:type="spellEnd"/>
      <w:r w:rsidRPr="00430F24">
        <w:rPr>
          <w:rFonts w:cs="Times New Roman"/>
          <w:color w:val="000000" w:themeColor="text1"/>
          <w:sz w:val="28"/>
          <w:szCs w:val="28"/>
        </w:rPr>
        <w:t xml:space="preserve">: A fast, Extensible Progress Bar for Python and CLI. </w:t>
      </w:r>
      <w:proofErr w:type="spellStart"/>
      <w:r w:rsidRPr="00430F24">
        <w:rPr>
          <w:rFonts w:cs="Times New Roman"/>
          <w:i/>
          <w:iCs/>
          <w:color w:val="000000" w:themeColor="text1"/>
          <w:sz w:val="28"/>
          <w:szCs w:val="28"/>
        </w:rPr>
        <w:t>Zenodo</w:t>
      </w:r>
      <w:proofErr w:type="spellEnd"/>
      <w:r w:rsidRPr="00430F24">
        <w:rPr>
          <w:rFonts w:cs="Times New Roman"/>
          <w:color w:val="000000" w:themeColor="text1"/>
          <w:sz w:val="28"/>
          <w:szCs w:val="28"/>
        </w:rPr>
        <w:t>. https://doi.org/10.5281/zenodo.8233024</w:t>
      </w:r>
    </w:p>
    <w:p w14:paraId="095209CD" w14:textId="548D050B"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Dieterle, F., Ross, A., Schlotterbeck, G., and Senn, H. (2006). Probabilistic quotient normalization as a robust method to account for dilution of complex biological mixtures. Application in 1H NMR </w:t>
      </w:r>
      <w:proofErr w:type="spellStart"/>
      <w:r w:rsidRPr="00430F24">
        <w:rPr>
          <w:rFonts w:cs="Times New Roman"/>
          <w:color w:val="000000" w:themeColor="text1"/>
          <w:sz w:val="28"/>
          <w:szCs w:val="28"/>
        </w:rPr>
        <w:t>metabonomics</w:t>
      </w:r>
      <w:proofErr w:type="spellEnd"/>
      <w:r w:rsidRPr="00430F24">
        <w:rPr>
          <w:rFonts w:cs="Times New Roman"/>
          <w:color w:val="000000" w:themeColor="text1"/>
          <w:sz w:val="28"/>
          <w:szCs w:val="28"/>
        </w:rPr>
        <w:t xml:space="preserve">. </w:t>
      </w:r>
      <w:r w:rsidRPr="00430F24">
        <w:rPr>
          <w:rFonts w:cs="Times New Roman"/>
          <w:i/>
          <w:iCs/>
          <w:color w:val="000000" w:themeColor="text1"/>
          <w:sz w:val="28"/>
          <w:szCs w:val="28"/>
        </w:rPr>
        <w:t>Analytical Chemistry</w:t>
      </w:r>
      <w:r w:rsidRPr="00430F24">
        <w:rPr>
          <w:rFonts w:cs="Times New Roman"/>
          <w:color w:val="000000" w:themeColor="text1"/>
          <w:sz w:val="28"/>
          <w:szCs w:val="28"/>
        </w:rPr>
        <w:t>, 78(13), 4281-4290.</w:t>
      </w:r>
    </w:p>
    <w:p w14:paraId="077C4E35" w14:textId="12D6DE1A"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Eilers, P. H. C., and Boelens, H. F. M. (2005). Baseline Correction with Asymmetric Least Squares Smoothing. Leiden University Medical Centre Report.</w:t>
      </w:r>
    </w:p>
    <w:p w14:paraId="5BCD96FB" w14:textId="19A7842C" w:rsidR="00430F24" w:rsidRPr="00430F24" w:rsidRDefault="00430F24" w:rsidP="00430F24">
      <w:pPr>
        <w:rPr>
          <w:rFonts w:cs="Times New Roman"/>
          <w:color w:val="000000" w:themeColor="text1"/>
          <w:sz w:val="28"/>
          <w:szCs w:val="28"/>
        </w:rPr>
      </w:pPr>
      <w:proofErr w:type="spellStart"/>
      <w:r w:rsidRPr="00430F24">
        <w:rPr>
          <w:rFonts w:cs="Times New Roman"/>
          <w:color w:val="000000" w:themeColor="text1"/>
          <w:sz w:val="28"/>
          <w:szCs w:val="28"/>
        </w:rPr>
        <w:t>Emwas</w:t>
      </w:r>
      <w:proofErr w:type="spellEnd"/>
      <w:r w:rsidRPr="00430F24">
        <w:rPr>
          <w:rFonts w:cs="Times New Roman"/>
          <w:color w:val="000000" w:themeColor="text1"/>
          <w:sz w:val="28"/>
          <w:szCs w:val="28"/>
        </w:rPr>
        <w:t xml:space="preserve">, A.-H., Roy, R., McKay, R. T., </w:t>
      </w:r>
      <w:proofErr w:type="spellStart"/>
      <w:r w:rsidRPr="00430F24">
        <w:rPr>
          <w:rFonts w:cs="Times New Roman"/>
          <w:color w:val="000000" w:themeColor="text1"/>
          <w:sz w:val="28"/>
          <w:szCs w:val="28"/>
        </w:rPr>
        <w:t>Tenori</w:t>
      </w:r>
      <w:proofErr w:type="spellEnd"/>
      <w:r w:rsidRPr="00430F24">
        <w:rPr>
          <w:rFonts w:cs="Times New Roman"/>
          <w:color w:val="000000" w:themeColor="text1"/>
          <w:sz w:val="28"/>
          <w:szCs w:val="28"/>
        </w:rPr>
        <w:t xml:space="preserve">, L., </w:t>
      </w:r>
      <w:proofErr w:type="spellStart"/>
      <w:r w:rsidRPr="00430F24">
        <w:rPr>
          <w:rFonts w:cs="Times New Roman"/>
          <w:color w:val="000000" w:themeColor="text1"/>
          <w:sz w:val="28"/>
          <w:szCs w:val="28"/>
        </w:rPr>
        <w:t>Saccenti</w:t>
      </w:r>
      <w:proofErr w:type="spellEnd"/>
      <w:r w:rsidRPr="00430F24">
        <w:rPr>
          <w:rFonts w:cs="Times New Roman"/>
          <w:color w:val="000000" w:themeColor="text1"/>
          <w:sz w:val="28"/>
          <w:szCs w:val="28"/>
        </w:rPr>
        <w:t xml:space="preserve">, E., Gowda, G. A. N., Raftery, D., </w:t>
      </w:r>
      <w:proofErr w:type="spellStart"/>
      <w:r w:rsidRPr="00430F24">
        <w:rPr>
          <w:rFonts w:cs="Times New Roman"/>
          <w:color w:val="000000" w:themeColor="text1"/>
          <w:sz w:val="28"/>
          <w:szCs w:val="28"/>
        </w:rPr>
        <w:t>Alahmari</w:t>
      </w:r>
      <w:proofErr w:type="spellEnd"/>
      <w:r w:rsidRPr="00430F24">
        <w:rPr>
          <w:rFonts w:cs="Times New Roman"/>
          <w:color w:val="000000" w:themeColor="text1"/>
          <w:sz w:val="28"/>
          <w:szCs w:val="28"/>
        </w:rPr>
        <w:t xml:space="preserve">, F., Jaremko, L., Jaremko, M., and Wishart, D. S. (2019). NMR spectroscopy for metabolomics research. </w:t>
      </w:r>
      <w:r w:rsidRPr="00430F24">
        <w:rPr>
          <w:rFonts w:cs="Times New Roman"/>
          <w:i/>
          <w:iCs/>
          <w:color w:val="000000" w:themeColor="text1"/>
          <w:sz w:val="28"/>
          <w:szCs w:val="28"/>
        </w:rPr>
        <w:t>Metabolites</w:t>
      </w:r>
      <w:r w:rsidRPr="00430F24">
        <w:rPr>
          <w:rFonts w:cs="Times New Roman"/>
          <w:color w:val="000000" w:themeColor="text1"/>
          <w:sz w:val="28"/>
          <w:szCs w:val="28"/>
        </w:rPr>
        <w:t>, 9(7), 123.</w:t>
      </w:r>
    </w:p>
    <w:p w14:paraId="43325673" w14:textId="098AC5D9"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lastRenderedPageBreak/>
        <w:t xml:space="preserve">Erb, A. (2022). </w:t>
      </w:r>
      <w:proofErr w:type="spellStart"/>
      <w:r w:rsidRPr="00430F24">
        <w:rPr>
          <w:rFonts w:cs="Times New Roman"/>
          <w:color w:val="000000" w:themeColor="text1"/>
          <w:sz w:val="28"/>
          <w:szCs w:val="28"/>
        </w:rPr>
        <w:t>pybaselines</w:t>
      </w:r>
      <w:proofErr w:type="spellEnd"/>
      <w:r w:rsidRPr="00430F24">
        <w:rPr>
          <w:rFonts w:cs="Times New Roman"/>
          <w:color w:val="000000" w:themeColor="text1"/>
          <w:sz w:val="28"/>
          <w:szCs w:val="28"/>
        </w:rPr>
        <w:t xml:space="preserve">: A Python library of algorithms for the baseline correction of experimental data. </w:t>
      </w:r>
      <w:r w:rsidRPr="00430F24">
        <w:rPr>
          <w:rFonts w:cs="Times New Roman"/>
          <w:i/>
          <w:iCs/>
          <w:color w:val="000000" w:themeColor="text1"/>
          <w:sz w:val="28"/>
          <w:szCs w:val="28"/>
        </w:rPr>
        <w:t xml:space="preserve">Journal of </w:t>
      </w:r>
      <w:proofErr w:type="gramStart"/>
      <w:r w:rsidRPr="00430F24">
        <w:rPr>
          <w:rFonts w:cs="Times New Roman"/>
          <w:i/>
          <w:iCs/>
          <w:color w:val="000000" w:themeColor="text1"/>
          <w:sz w:val="28"/>
          <w:szCs w:val="28"/>
        </w:rPr>
        <w:t>Open Source</w:t>
      </w:r>
      <w:proofErr w:type="gramEnd"/>
      <w:r w:rsidRPr="00430F24">
        <w:rPr>
          <w:rFonts w:cs="Times New Roman"/>
          <w:i/>
          <w:iCs/>
          <w:color w:val="000000" w:themeColor="text1"/>
          <w:sz w:val="28"/>
          <w:szCs w:val="28"/>
        </w:rPr>
        <w:t xml:space="preserve"> Software</w:t>
      </w:r>
      <w:r w:rsidRPr="00430F24">
        <w:rPr>
          <w:rFonts w:cs="Times New Roman"/>
          <w:color w:val="000000" w:themeColor="text1"/>
          <w:sz w:val="28"/>
          <w:szCs w:val="28"/>
        </w:rPr>
        <w:t>, 7(78), 4554. https://doi.org/10.21105/joss.04554</w:t>
      </w:r>
    </w:p>
    <w:p w14:paraId="04950AA8" w14:textId="1FEE7773"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Harris, C. R., Millman, K. J., van der Walt, S. J., </w:t>
      </w:r>
      <w:proofErr w:type="spellStart"/>
      <w:r w:rsidRPr="00430F24">
        <w:rPr>
          <w:rFonts w:cs="Times New Roman"/>
          <w:color w:val="000000" w:themeColor="text1"/>
          <w:sz w:val="28"/>
          <w:szCs w:val="28"/>
        </w:rPr>
        <w:t>Gommers</w:t>
      </w:r>
      <w:proofErr w:type="spellEnd"/>
      <w:r w:rsidRPr="00430F24">
        <w:rPr>
          <w:rFonts w:cs="Times New Roman"/>
          <w:color w:val="000000" w:themeColor="text1"/>
          <w:sz w:val="28"/>
          <w:szCs w:val="28"/>
        </w:rPr>
        <w:t xml:space="preserve">, R., Virtanen, P., </w:t>
      </w:r>
      <w:proofErr w:type="spellStart"/>
      <w:r w:rsidRPr="00430F24">
        <w:rPr>
          <w:rFonts w:cs="Times New Roman"/>
          <w:color w:val="000000" w:themeColor="text1"/>
          <w:sz w:val="28"/>
          <w:szCs w:val="28"/>
        </w:rPr>
        <w:t>Cournapeau</w:t>
      </w:r>
      <w:proofErr w:type="spellEnd"/>
      <w:r w:rsidRPr="00430F24">
        <w:rPr>
          <w:rFonts w:cs="Times New Roman"/>
          <w:color w:val="000000" w:themeColor="text1"/>
          <w:sz w:val="28"/>
          <w:szCs w:val="28"/>
        </w:rPr>
        <w:t xml:space="preserve">, D., Wieser, E., Taylor, J., Berg, S., Smith, N. J., Kern, R., </w:t>
      </w:r>
      <w:proofErr w:type="spellStart"/>
      <w:r w:rsidRPr="00430F24">
        <w:rPr>
          <w:rFonts w:cs="Times New Roman"/>
          <w:color w:val="000000" w:themeColor="text1"/>
          <w:sz w:val="28"/>
          <w:szCs w:val="28"/>
        </w:rPr>
        <w:t>Picus</w:t>
      </w:r>
      <w:proofErr w:type="spellEnd"/>
      <w:r w:rsidRPr="00430F24">
        <w:rPr>
          <w:rFonts w:cs="Times New Roman"/>
          <w:color w:val="000000" w:themeColor="text1"/>
          <w:sz w:val="28"/>
          <w:szCs w:val="28"/>
        </w:rPr>
        <w:t xml:space="preserve">, M., Hoyer, S., van </w:t>
      </w:r>
      <w:proofErr w:type="spellStart"/>
      <w:r w:rsidRPr="00430F24">
        <w:rPr>
          <w:rFonts w:cs="Times New Roman"/>
          <w:color w:val="000000" w:themeColor="text1"/>
          <w:sz w:val="28"/>
          <w:szCs w:val="28"/>
        </w:rPr>
        <w:t>Kerkwijk</w:t>
      </w:r>
      <w:proofErr w:type="spellEnd"/>
      <w:r w:rsidRPr="00430F24">
        <w:rPr>
          <w:rFonts w:cs="Times New Roman"/>
          <w:color w:val="000000" w:themeColor="text1"/>
          <w:sz w:val="28"/>
          <w:szCs w:val="28"/>
        </w:rPr>
        <w:t xml:space="preserve">, M. H., Brett, M., Haldane, A., del Rio, J. F., Wiebe, M., Peterson, P., Gerard-Marchant, P., Sheppard, K., Reddy, T., Weckesser, W., Abbasi, H., Gohlke, C., and Oliphant, T. E. (2020). Array programming with NumPy. </w:t>
      </w:r>
      <w:r w:rsidRPr="00430F24">
        <w:rPr>
          <w:rFonts w:cs="Times New Roman"/>
          <w:i/>
          <w:iCs/>
          <w:color w:val="000000" w:themeColor="text1"/>
          <w:sz w:val="28"/>
          <w:szCs w:val="28"/>
        </w:rPr>
        <w:t>Nature</w:t>
      </w:r>
      <w:r w:rsidRPr="00430F24">
        <w:rPr>
          <w:rFonts w:cs="Times New Roman"/>
          <w:color w:val="000000" w:themeColor="text1"/>
          <w:sz w:val="28"/>
          <w:szCs w:val="28"/>
        </w:rPr>
        <w:t>, 585(7825), 357-362. https://doi.org/10.1038/s41586-020-2649-2</w:t>
      </w:r>
    </w:p>
    <w:p w14:paraId="2FC5B8AD" w14:textId="0D96D519"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Helmus, J. J., and </w:t>
      </w:r>
      <w:proofErr w:type="spellStart"/>
      <w:r w:rsidRPr="00430F24">
        <w:rPr>
          <w:rFonts w:cs="Times New Roman"/>
          <w:color w:val="000000" w:themeColor="text1"/>
          <w:sz w:val="28"/>
          <w:szCs w:val="28"/>
        </w:rPr>
        <w:t>Jaroniec</w:t>
      </w:r>
      <w:proofErr w:type="spellEnd"/>
      <w:r w:rsidRPr="00430F24">
        <w:rPr>
          <w:rFonts w:cs="Times New Roman"/>
          <w:color w:val="000000" w:themeColor="text1"/>
          <w:sz w:val="28"/>
          <w:szCs w:val="28"/>
        </w:rPr>
        <w:t xml:space="preserve">, C. P. (2013). </w:t>
      </w:r>
      <w:proofErr w:type="spellStart"/>
      <w:r w:rsidRPr="00430F24">
        <w:rPr>
          <w:rFonts w:cs="Times New Roman"/>
          <w:color w:val="000000" w:themeColor="text1"/>
          <w:sz w:val="28"/>
          <w:szCs w:val="28"/>
        </w:rPr>
        <w:t>Nmrglue</w:t>
      </w:r>
      <w:proofErr w:type="spellEnd"/>
      <w:r w:rsidRPr="00430F24">
        <w:rPr>
          <w:rFonts w:cs="Times New Roman"/>
          <w:color w:val="000000" w:themeColor="text1"/>
          <w:sz w:val="28"/>
          <w:szCs w:val="28"/>
        </w:rPr>
        <w:t xml:space="preserve">: an </w:t>
      </w:r>
      <w:proofErr w:type="gramStart"/>
      <w:r w:rsidRPr="00430F24">
        <w:rPr>
          <w:rFonts w:cs="Times New Roman"/>
          <w:color w:val="000000" w:themeColor="text1"/>
          <w:sz w:val="28"/>
          <w:szCs w:val="28"/>
        </w:rPr>
        <w:t>open source</w:t>
      </w:r>
      <w:proofErr w:type="gramEnd"/>
      <w:r w:rsidRPr="00430F24">
        <w:rPr>
          <w:rFonts w:cs="Times New Roman"/>
          <w:color w:val="000000" w:themeColor="text1"/>
          <w:sz w:val="28"/>
          <w:szCs w:val="28"/>
        </w:rPr>
        <w:t xml:space="preserve"> Python package for the analysis of multidimensional NMR data. </w:t>
      </w:r>
      <w:r w:rsidRPr="00430F24">
        <w:rPr>
          <w:rFonts w:cs="Times New Roman"/>
          <w:i/>
          <w:iCs/>
          <w:color w:val="000000" w:themeColor="text1"/>
          <w:sz w:val="28"/>
          <w:szCs w:val="28"/>
        </w:rPr>
        <w:t>Journal of Biomolecular NMR</w:t>
      </w:r>
      <w:r w:rsidRPr="00430F24">
        <w:rPr>
          <w:rFonts w:cs="Times New Roman"/>
          <w:color w:val="000000" w:themeColor="text1"/>
          <w:sz w:val="28"/>
          <w:szCs w:val="28"/>
        </w:rPr>
        <w:t>, 55(4), 355-367. https://doi.org/10.1007/s10858-013-9718-x</w:t>
      </w:r>
    </w:p>
    <w:p w14:paraId="77F3CE71" w14:textId="07FF421B"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Hunter, J. D. (2007). Matplotlib: A 2D graphics environment. </w:t>
      </w:r>
      <w:r w:rsidRPr="00430F24">
        <w:rPr>
          <w:rFonts w:cs="Times New Roman"/>
          <w:i/>
          <w:iCs/>
          <w:color w:val="000000" w:themeColor="text1"/>
          <w:sz w:val="28"/>
          <w:szCs w:val="28"/>
        </w:rPr>
        <w:t>Computing in Science and Engineering</w:t>
      </w:r>
      <w:r w:rsidRPr="00430F24">
        <w:rPr>
          <w:rFonts w:cs="Times New Roman"/>
          <w:color w:val="000000" w:themeColor="text1"/>
          <w:sz w:val="28"/>
          <w:szCs w:val="28"/>
        </w:rPr>
        <w:t>, 9(3), 90-95. https://doi.org/10.1109/MCSE.2007.55</w:t>
      </w:r>
    </w:p>
    <w:p w14:paraId="4346FF24" w14:textId="435A2A21"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Martens, H., and Stark, E. (1991). Extended multiplicative signal correction and spectral interference subtraction: new preprocessing methods for near infrared spectroscopy. </w:t>
      </w:r>
      <w:r w:rsidRPr="00430F24">
        <w:rPr>
          <w:rFonts w:cs="Times New Roman"/>
          <w:i/>
          <w:iCs/>
          <w:color w:val="000000" w:themeColor="text1"/>
          <w:sz w:val="28"/>
          <w:szCs w:val="28"/>
        </w:rPr>
        <w:t>Journal of Pharmaceutical and Biomedical Analysis</w:t>
      </w:r>
      <w:r w:rsidRPr="00430F24">
        <w:rPr>
          <w:rFonts w:cs="Times New Roman"/>
          <w:color w:val="000000" w:themeColor="text1"/>
          <w:sz w:val="28"/>
          <w:szCs w:val="28"/>
        </w:rPr>
        <w:t>, 9(8), 625-635.</w:t>
      </w:r>
    </w:p>
    <w:p w14:paraId="2281B781" w14:textId="392C0D51"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McKinney, W. (2010). Data structures for statistical computing in Python. In S. van der Walt and J. Millman (Eds.), </w:t>
      </w:r>
      <w:r w:rsidRPr="00430F24">
        <w:rPr>
          <w:rFonts w:cs="Times New Roman"/>
          <w:i/>
          <w:iCs/>
          <w:color w:val="000000" w:themeColor="text1"/>
          <w:sz w:val="28"/>
          <w:szCs w:val="28"/>
        </w:rPr>
        <w:t>Proceedings of the 9th Python in Science Conference (SciPy 2010)</w:t>
      </w:r>
      <w:r w:rsidRPr="00430F24">
        <w:rPr>
          <w:rFonts w:cs="Times New Roman"/>
          <w:color w:val="000000" w:themeColor="text1"/>
          <w:sz w:val="28"/>
          <w:szCs w:val="28"/>
        </w:rPr>
        <w:t>, pp. 56-61. https://doi.org/10.25080/Majora-92bf1922-00a</w:t>
      </w:r>
    </w:p>
    <w:p w14:paraId="1EB1F1D2" w14:textId="7BE590F5"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Nicholson, J. K., Lindon, J. C., and Holmes, E. (1999). </w:t>
      </w:r>
      <w:proofErr w:type="spellStart"/>
      <w:r w:rsidRPr="00430F24">
        <w:rPr>
          <w:rFonts w:cs="Times New Roman"/>
          <w:color w:val="000000" w:themeColor="text1"/>
          <w:sz w:val="28"/>
          <w:szCs w:val="28"/>
        </w:rPr>
        <w:t>Metabonomics</w:t>
      </w:r>
      <w:proofErr w:type="spellEnd"/>
      <w:r w:rsidRPr="00430F24">
        <w:rPr>
          <w:rFonts w:cs="Times New Roman"/>
          <w:color w:val="000000" w:themeColor="text1"/>
          <w:sz w:val="28"/>
          <w:szCs w:val="28"/>
        </w:rPr>
        <w:t xml:space="preserve">: understanding the metabolic responses of living systems to pathophysiological stimuli via multivariate statistical analysis of biological NMR spectroscopic data. </w:t>
      </w:r>
      <w:proofErr w:type="spellStart"/>
      <w:r w:rsidRPr="00430F24">
        <w:rPr>
          <w:rFonts w:cs="Times New Roman"/>
          <w:i/>
          <w:iCs/>
          <w:color w:val="000000" w:themeColor="text1"/>
          <w:sz w:val="28"/>
          <w:szCs w:val="28"/>
        </w:rPr>
        <w:t>Xenobiotica</w:t>
      </w:r>
      <w:proofErr w:type="spellEnd"/>
      <w:r w:rsidRPr="00430F24">
        <w:rPr>
          <w:rFonts w:cs="Times New Roman"/>
          <w:color w:val="000000" w:themeColor="text1"/>
          <w:sz w:val="28"/>
          <w:szCs w:val="28"/>
        </w:rPr>
        <w:t>, 29(11), 1181-1189.</w:t>
      </w:r>
    </w:p>
    <w:p w14:paraId="50606731" w14:textId="5AD68CC8"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Nicholson, J. K., Foxall, P. J., Spraul, M., Farrant, R. D., and Lindon, J. C. (2005). 750 MHz 1H and 1H-13C NMR spectroscopy of human blood plasma. </w:t>
      </w:r>
      <w:r w:rsidRPr="00430F24">
        <w:rPr>
          <w:rFonts w:cs="Times New Roman"/>
          <w:i/>
          <w:iCs/>
          <w:color w:val="000000" w:themeColor="text1"/>
          <w:sz w:val="28"/>
          <w:szCs w:val="28"/>
        </w:rPr>
        <w:t>Analytical Chemistry</w:t>
      </w:r>
      <w:r w:rsidRPr="00430F24">
        <w:rPr>
          <w:rFonts w:cs="Times New Roman"/>
          <w:color w:val="000000" w:themeColor="text1"/>
          <w:sz w:val="28"/>
          <w:szCs w:val="28"/>
        </w:rPr>
        <w:t>, 77(19), 6283-6293.</w:t>
      </w:r>
    </w:p>
    <w:p w14:paraId="14E40A11" w14:textId="0CC2C78C"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lastRenderedPageBreak/>
        <w:t xml:space="preserve">The pandas Development Team. (2020). </w:t>
      </w:r>
      <w:r w:rsidRPr="00430F24">
        <w:rPr>
          <w:rFonts w:cs="Times New Roman"/>
          <w:i/>
          <w:iCs/>
          <w:color w:val="000000" w:themeColor="text1"/>
          <w:sz w:val="28"/>
          <w:szCs w:val="28"/>
        </w:rPr>
        <w:t>pandas-dev/pandas: Pandas</w:t>
      </w:r>
      <w:r w:rsidRPr="00430F24">
        <w:rPr>
          <w:rFonts w:cs="Times New Roman"/>
          <w:color w:val="000000" w:themeColor="text1"/>
          <w:sz w:val="28"/>
          <w:szCs w:val="28"/>
        </w:rPr>
        <w:t xml:space="preserve">. </w:t>
      </w:r>
      <w:proofErr w:type="spellStart"/>
      <w:r w:rsidRPr="00430F24">
        <w:rPr>
          <w:rFonts w:cs="Times New Roman"/>
          <w:color w:val="000000" w:themeColor="text1"/>
          <w:sz w:val="28"/>
          <w:szCs w:val="28"/>
        </w:rPr>
        <w:t>Zenodo</w:t>
      </w:r>
      <w:proofErr w:type="spellEnd"/>
      <w:r w:rsidRPr="00430F24">
        <w:rPr>
          <w:rFonts w:cs="Times New Roman"/>
          <w:color w:val="000000" w:themeColor="text1"/>
          <w:sz w:val="28"/>
          <w:szCs w:val="28"/>
        </w:rPr>
        <w:t>. https://doi.org/10.5281/zenodo.3509134</w:t>
      </w:r>
    </w:p>
    <w:p w14:paraId="6DFE583D" w14:textId="3719DEC2"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Pang, Z., Chong, J., Zhou, G., de Lima Morais, D. A., Chang, L., Barrette, M., Gauthier, C., Jacques, P.-E., Li, S., and Xia, J. (2022). </w:t>
      </w:r>
      <w:proofErr w:type="spellStart"/>
      <w:r w:rsidRPr="00430F24">
        <w:rPr>
          <w:rFonts w:cs="Times New Roman"/>
          <w:color w:val="000000" w:themeColor="text1"/>
          <w:sz w:val="28"/>
          <w:szCs w:val="28"/>
        </w:rPr>
        <w:t>MetaboAnalyst</w:t>
      </w:r>
      <w:proofErr w:type="spellEnd"/>
      <w:r w:rsidRPr="00430F24">
        <w:rPr>
          <w:rFonts w:cs="Times New Roman"/>
          <w:color w:val="000000" w:themeColor="text1"/>
          <w:sz w:val="28"/>
          <w:szCs w:val="28"/>
        </w:rPr>
        <w:t xml:space="preserve"> 5.0: narrowing the gap between raw spectra and functional insights. </w:t>
      </w:r>
      <w:r w:rsidRPr="00430F24">
        <w:rPr>
          <w:rFonts w:cs="Times New Roman"/>
          <w:i/>
          <w:iCs/>
          <w:color w:val="000000" w:themeColor="text1"/>
          <w:sz w:val="28"/>
          <w:szCs w:val="28"/>
        </w:rPr>
        <w:t>Nucleic Acids Research</w:t>
      </w:r>
      <w:r w:rsidRPr="00430F24">
        <w:rPr>
          <w:rFonts w:cs="Times New Roman"/>
          <w:color w:val="000000" w:themeColor="text1"/>
          <w:sz w:val="28"/>
          <w:szCs w:val="28"/>
        </w:rPr>
        <w:t>, 50(W1), W537-W544.</w:t>
      </w:r>
    </w:p>
    <w:p w14:paraId="061D997D" w14:textId="16C27DCB"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Pedregosa, F., </w:t>
      </w:r>
      <w:proofErr w:type="spellStart"/>
      <w:r w:rsidRPr="00430F24">
        <w:rPr>
          <w:rFonts w:cs="Times New Roman"/>
          <w:color w:val="000000" w:themeColor="text1"/>
          <w:sz w:val="28"/>
          <w:szCs w:val="28"/>
        </w:rPr>
        <w:t>Varoquaux</w:t>
      </w:r>
      <w:proofErr w:type="spellEnd"/>
      <w:r w:rsidRPr="00430F24">
        <w:rPr>
          <w:rFonts w:cs="Times New Roman"/>
          <w:color w:val="000000" w:themeColor="text1"/>
          <w:sz w:val="28"/>
          <w:szCs w:val="28"/>
        </w:rPr>
        <w:t xml:space="preserve">, G., </w:t>
      </w:r>
      <w:proofErr w:type="spellStart"/>
      <w:r w:rsidRPr="00430F24">
        <w:rPr>
          <w:rFonts w:cs="Times New Roman"/>
          <w:color w:val="000000" w:themeColor="text1"/>
          <w:sz w:val="28"/>
          <w:szCs w:val="28"/>
        </w:rPr>
        <w:t>Gramfort</w:t>
      </w:r>
      <w:proofErr w:type="spellEnd"/>
      <w:r w:rsidRPr="00430F24">
        <w:rPr>
          <w:rFonts w:cs="Times New Roman"/>
          <w:color w:val="000000" w:themeColor="text1"/>
          <w:sz w:val="28"/>
          <w:szCs w:val="28"/>
        </w:rPr>
        <w:t xml:space="preserve">, A., Michel, V., Thirion, B., Grisel, O., Blondel, M., </w:t>
      </w:r>
      <w:proofErr w:type="spellStart"/>
      <w:r w:rsidRPr="00430F24">
        <w:rPr>
          <w:rFonts w:cs="Times New Roman"/>
          <w:color w:val="000000" w:themeColor="text1"/>
          <w:sz w:val="28"/>
          <w:szCs w:val="28"/>
        </w:rPr>
        <w:t>Prettenhofer</w:t>
      </w:r>
      <w:proofErr w:type="spellEnd"/>
      <w:r w:rsidRPr="00430F24">
        <w:rPr>
          <w:rFonts w:cs="Times New Roman"/>
          <w:color w:val="000000" w:themeColor="text1"/>
          <w:sz w:val="28"/>
          <w:szCs w:val="28"/>
        </w:rPr>
        <w:t xml:space="preserve">, P., Weiss, R., Dubourg, V., Vanderplas, J., Passos, A., </w:t>
      </w:r>
      <w:proofErr w:type="spellStart"/>
      <w:r w:rsidRPr="00430F24">
        <w:rPr>
          <w:rFonts w:cs="Times New Roman"/>
          <w:color w:val="000000" w:themeColor="text1"/>
          <w:sz w:val="28"/>
          <w:szCs w:val="28"/>
        </w:rPr>
        <w:t>Cournapeau</w:t>
      </w:r>
      <w:proofErr w:type="spellEnd"/>
      <w:r w:rsidRPr="00430F24">
        <w:rPr>
          <w:rFonts w:cs="Times New Roman"/>
          <w:color w:val="000000" w:themeColor="text1"/>
          <w:sz w:val="28"/>
          <w:szCs w:val="28"/>
        </w:rPr>
        <w:t xml:space="preserve">, D., Brucher, M., Perrot, M., and Duchesnay, E. (2011). Scikit-learn: Machine learning in Python. </w:t>
      </w:r>
      <w:r w:rsidRPr="00430F24">
        <w:rPr>
          <w:rFonts w:cs="Times New Roman"/>
          <w:i/>
          <w:iCs/>
          <w:color w:val="000000" w:themeColor="text1"/>
          <w:sz w:val="28"/>
          <w:szCs w:val="28"/>
        </w:rPr>
        <w:t>Journal of Machine Learning Research</w:t>
      </w:r>
      <w:r w:rsidRPr="00430F24">
        <w:rPr>
          <w:rFonts w:cs="Times New Roman"/>
          <w:color w:val="000000" w:themeColor="text1"/>
          <w:sz w:val="28"/>
          <w:szCs w:val="28"/>
        </w:rPr>
        <w:t>, 12, 2825-2830.</w:t>
      </w:r>
    </w:p>
    <w:p w14:paraId="6E004E8F" w14:textId="412E891D"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Plotly Technologies Inc. (2015). </w:t>
      </w:r>
      <w:r w:rsidRPr="00430F24">
        <w:rPr>
          <w:rFonts w:cs="Times New Roman"/>
          <w:i/>
          <w:iCs/>
          <w:color w:val="000000" w:themeColor="text1"/>
          <w:sz w:val="28"/>
          <w:szCs w:val="28"/>
        </w:rPr>
        <w:t>Collaborative data science</w:t>
      </w:r>
      <w:r w:rsidRPr="00430F24">
        <w:rPr>
          <w:rFonts w:cs="Times New Roman"/>
          <w:color w:val="000000" w:themeColor="text1"/>
          <w:sz w:val="28"/>
          <w:szCs w:val="28"/>
        </w:rPr>
        <w:t>. Plotly Technologies Inc., Montreal, QC. https://plot.ly</w:t>
      </w:r>
    </w:p>
    <w:p w14:paraId="57F634CD" w14:textId="5DC0C14B"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Plotly Technologies Inc. (2017). </w:t>
      </w:r>
      <w:r w:rsidRPr="00430F24">
        <w:rPr>
          <w:rFonts w:cs="Times New Roman"/>
          <w:i/>
          <w:iCs/>
          <w:color w:val="000000" w:themeColor="text1"/>
          <w:sz w:val="28"/>
          <w:szCs w:val="28"/>
        </w:rPr>
        <w:t xml:space="preserve">Dash: Analytical web applications for Python, R, Julia, and </w:t>
      </w:r>
      <w:proofErr w:type="spellStart"/>
      <w:r w:rsidRPr="00430F24">
        <w:rPr>
          <w:rFonts w:cs="Times New Roman"/>
          <w:i/>
          <w:iCs/>
          <w:color w:val="000000" w:themeColor="text1"/>
          <w:sz w:val="28"/>
          <w:szCs w:val="28"/>
        </w:rPr>
        <w:t>Jupyter</w:t>
      </w:r>
      <w:proofErr w:type="spellEnd"/>
      <w:r w:rsidRPr="00430F24">
        <w:rPr>
          <w:rFonts w:cs="Times New Roman"/>
          <w:i/>
          <w:iCs/>
          <w:color w:val="000000" w:themeColor="text1"/>
          <w:sz w:val="28"/>
          <w:szCs w:val="28"/>
        </w:rPr>
        <w:t xml:space="preserve"> (no JavaScript required)</w:t>
      </w:r>
      <w:r w:rsidRPr="00430F24">
        <w:rPr>
          <w:rFonts w:cs="Times New Roman"/>
          <w:color w:val="000000" w:themeColor="text1"/>
          <w:sz w:val="28"/>
          <w:szCs w:val="28"/>
        </w:rPr>
        <w:t>. Plotly Technologies Inc., Montreal, QC. https://dash.plotly.com</w:t>
      </w:r>
    </w:p>
    <w:p w14:paraId="15FD6230" w14:textId="7326B14E" w:rsidR="00430F24" w:rsidRPr="00430F24" w:rsidRDefault="00430F24" w:rsidP="00430F24">
      <w:pPr>
        <w:rPr>
          <w:rFonts w:cs="Times New Roman"/>
          <w:color w:val="000000" w:themeColor="text1"/>
          <w:sz w:val="28"/>
          <w:szCs w:val="28"/>
        </w:rPr>
      </w:pPr>
      <w:proofErr w:type="spellStart"/>
      <w:r w:rsidRPr="00430F24">
        <w:rPr>
          <w:rFonts w:cs="Times New Roman"/>
          <w:color w:val="000000" w:themeColor="text1"/>
          <w:sz w:val="28"/>
          <w:szCs w:val="28"/>
        </w:rPr>
        <w:t>Savorani</w:t>
      </w:r>
      <w:proofErr w:type="spellEnd"/>
      <w:r w:rsidRPr="00430F24">
        <w:rPr>
          <w:rFonts w:cs="Times New Roman"/>
          <w:color w:val="000000" w:themeColor="text1"/>
          <w:sz w:val="28"/>
          <w:szCs w:val="28"/>
        </w:rPr>
        <w:t xml:space="preserve">, F., Tomasi, G., and Engelsen, S. B. (2010). </w:t>
      </w:r>
      <w:proofErr w:type="spellStart"/>
      <w:r w:rsidRPr="00430F24">
        <w:rPr>
          <w:rFonts w:cs="Times New Roman"/>
          <w:color w:val="000000" w:themeColor="text1"/>
          <w:sz w:val="28"/>
          <w:szCs w:val="28"/>
        </w:rPr>
        <w:t>icoshift</w:t>
      </w:r>
      <w:proofErr w:type="spellEnd"/>
      <w:r w:rsidRPr="00430F24">
        <w:rPr>
          <w:rFonts w:cs="Times New Roman"/>
          <w:color w:val="000000" w:themeColor="text1"/>
          <w:sz w:val="28"/>
          <w:szCs w:val="28"/>
        </w:rPr>
        <w:t xml:space="preserve">: A versatile tool for the rapid alignment of 1D NMR spectra. </w:t>
      </w:r>
      <w:r w:rsidRPr="00430F24">
        <w:rPr>
          <w:rFonts w:cs="Times New Roman"/>
          <w:i/>
          <w:iCs/>
          <w:color w:val="000000" w:themeColor="text1"/>
          <w:sz w:val="28"/>
          <w:szCs w:val="28"/>
        </w:rPr>
        <w:t>Journal of Magnetic Resonance</w:t>
      </w:r>
      <w:r w:rsidRPr="00430F24">
        <w:rPr>
          <w:rFonts w:cs="Times New Roman"/>
          <w:color w:val="000000" w:themeColor="text1"/>
          <w:sz w:val="28"/>
          <w:szCs w:val="28"/>
        </w:rPr>
        <w:t>, 202(2), 190-202.</w:t>
      </w:r>
    </w:p>
    <w:p w14:paraId="5C451DDF" w14:textId="7DDE16E4"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Seabold, S., and </w:t>
      </w:r>
      <w:proofErr w:type="spellStart"/>
      <w:r w:rsidRPr="00430F24">
        <w:rPr>
          <w:rFonts w:cs="Times New Roman"/>
          <w:color w:val="000000" w:themeColor="text1"/>
          <w:sz w:val="28"/>
          <w:szCs w:val="28"/>
        </w:rPr>
        <w:t>Perktold</w:t>
      </w:r>
      <w:proofErr w:type="spellEnd"/>
      <w:r w:rsidRPr="00430F24">
        <w:rPr>
          <w:rFonts w:cs="Times New Roman"/>
          <w:color w:val="000000" w:themeColor="text1"/>
          <w:sz w:val="28"/>
          <w:szCs w:val="28"/>
        </w:rPr>
        <w:t xml:space="preserve">, J. (2010). </w:t>
      </w:r>
      <w:proofErr w:type="spellStart"/>
      <w:r w:rsidRPr="00430F24">
        <w:rPr>
          <w:rFonts w:cs="Times New Roman"/>
          <w:color w:val="000000" w:themeColor="text1"/>
          <w:sz w:val="28"/>
          <w:szCs w:val="28"/>
        </w:rPr>
        <w:t>Statsmodels</w:t>
      </w:r>
      <w:proofErr w:type="spellEnd"/>
      <w:r w:rsidRPr="00430F24">
        <w:rPr>
          <w:rFonts w:cs="Times New Roman"/>
          <w:color w:val="000000" w:themeColor="text1"/>
          <w:sz w:val="28"/>
          <w:szCs w:val="28"/>
        </w:rPr>
        <w:t xml:space="preserve">: Econometric and statistical modeling with Python. In S. van der Walt and J. Millman (Eds.), </w:t>
      </w:r>
      <w:r w:rsidRPr="00430F24">
        <w:rPr>
          <w:rFonts w:cs="Times New Roman"/>
          <w:i/>
          <w:iCs/>
          <w:color w:val="000000" w:themeColor="text1"/>
          <w:sz w:val="28"/>
          <w:szCs w:val="28"/>
        </w:rPr>
        <w:t>Proceedings of the 9th Python in Science Conference (SciPy 2010)</w:t>
      </w:r>
      <w:r w:rsidRPr="00430F24">
        <w:rPr>
          <w:rFonts w:cs="Times New Roman"/>
          <w:color w:val="000000" w:themeColor="text1"/>
          <w:sz w:val="28"/>
          <w:szCs w:val="28"/>
        </w:rPr>
        <w:t>, pp. 57-61. https://doi.org/10.25080/Majora-92bf1922-011</w:t>
      </w:r>
    </w:p>
    <w:p w14:paraId="773C3948" w14:textId="3B09F773"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Trygg, J., and </w:t>
      </w:r>
      <w:proofErr w:type="spellStart"/>
      <w:r w:rsidRPr="00430F24">
        <w:rPr>
          <w:rFonts w:cs="Times New Roman"/>
          <w:color w:val="000000" w:themeColor="text1"/>
          <w:sz w:val="28"/>
          <w:szCs w:val="28"/>
        </w:rPr>
        <w:t>Wold</w:t>
      </w:r>
      <w:proofErr w:type="spellEnd"/>
      <w:r w:rsidRPr="00430F24">
        <w:rPr>
          <w:rFonts w:cs="Times New Roman"/>
          <w:color w:val="000000" w:themeColor="text1"/>
          <w:sz w:val="28"/>
          <w:szCs w:val="28"/>
        </w:rPr>
        <w:t xml:space="preserve">, S. (2002). Orthogonal projections to latent structures (O-PLS). </w:t>
      </w:r>
      <w:r w:rsidRPr="00430F24">
        <w:rPr>
          <w:rFonts w:cs="Times New Roman"/>
          <w:i/>
          <w:iCs/>
          <w:color w:val="000000" w:themeColor="text1"/>
          <w:sz w:val="28"/>
          <w:szCs w:val="28"/>
        </w:rPr>
        <w:t>Journal of Chemometrics</w:t>
      </w:r>
      <w:r w:rsidRPr="00430F24">
        <w:rPr>
          <w:rFonts w:cs="Times New Roman"/>
          <w:color w:val="000000" w:themeColor="text1"/>
          <w:sz w:val="28"/>
          <w:szCs w:val="28"/>
        </w:rPr>
        <w:t>, 16(3), 119-128.</w:t>
      </w:r>
    </w:p>
    <w:p w14:paraId="1785CDAC" w14:textId="395FCA55"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Vallat, R. (2018). </w:t>
      </w:r>
      <w:proofErr w:type="spellStart"/>
      <w:r w:rsidRPr="00430F24">
        <w:rPr>
          <w:rFonts w:cs="Times New Roman"/>
          <w:color w:val="000000" w:themeColor="text1"/>
          <w:sz w:val="28"/>
          <w:szCs w:val="28"/>
        </w:rPr>
        <w:t>Pingouin</w:t>
      </w:r>
      <w:proofErr w:type="spellEnd"/>
      <w:r w:rsidRPr="00430F24">
        <w:rPr>
          <w:rFonts w:cs="Times New Roman"/>
          <w:color w:val="000000" w:themeColor="text1"/>
          <w:sz w:val="28"/>
          <w:szCs w:val="28"/>
        </w:rPr>
        <w:t xml:space="preserve">: statistics in Python. </w:t>
      </w:r>
      <w:r w:rsidRPr="00430F24">
        <w:rPr>
          <w:rFonts w:cs="Times New Roman"/>
          <w:i/>
          <w:iCs/>
          <w:color w:val="000000" w:themeColor="text1"/>
          <w:sz w:val="28"/>
          <w:szCs w:val="28"/>
        </w:rPr>
        <w:t xml:space="preserve">Journal of </w:t>
      </w:r>
      <w:proofErr w:type="gramStart"/>
      <w:r w:rsidRPr="00430F24">
        <w:rPr>
          <w:rFonts w:cs="Times New Roman"/>
          <w:i/>
          <w:iCs/>
          <w:color w:val="000000" w:themeColor="text1"/>
          <w:sz w:val="28"/>
          <w:szCs w:val="28"/>
        </w:rPr>
        <w:t>Open Source</w:t>
      </w:r>
      <w:proofErr w:type="gramEnd"/>
      <w:r w:rsidRPr="00430F24">
        <w:rPr>
          <w:rFonts w:cs="Times New Roman"/>
          <w:i/>
          <w:iCs/>
          <w:color w:val="000000" w:themeColor="text1"/>
          <w:sz w:val="28"/>
          <w:szCs w:val="28"/>
        </w:rPr>
        <w:t xml:space="preserve"> Software</w:t>
      </w:r>
      <w:r w:rsidRPr="00430F24">
        <w:rPr>
          <w:rFonts w:cs="Times New Roman"/>
          <w:color w:val="000000" w:themeColor="text1"/>
          <w:sz w:val="28"/>
          <w:szCs w:val="28"/>
        </w:rPr>
        <w:t>, 3(31), 1026. https://doi.org/10.21105/joss.01026</w:t>
      </w:r>
    </w:p>
    <w:p w14:paraId="63856226" w14:textId="1F9D2636"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Virtanen, P., </w:t>
      </w:r>
      <w:proofErr w:type="spellStart"/>
      <w:r w:rsidRPr="00430F24">
        <w:rPr>
          <w:rFonts w:cs="Times New Roman"/>
          <w:color w:val="000000" w:themeColor="text1"/>
          <w:sz w:val="28"/>
          <w:szCs w:val="28"/>
        </w:rPr>
        <w:t>Gommers</w:t>
      </w:r>
      <w:proofErr w:type="spellEnd"/>
      <w:r w:rsidRPr="00430F24">
        <w:rPr>
          <w:rFonts w:cs="Times New Roman"/>
          <w:color w:val="000000" w:themeColor="text1"/>
          <w:sz w:val="28"/>
          <w:szCs w:val="28"/>
        </w:rPr>
        <w:t xml:space="preserve">, R., Oliphant, T. E., Haberland, M., Reddy, T., </w:t>
      </w:r>
      <w:proofErr w:type="spellStart"/>
      <w:r w:rsidRPr="00430F24">
        <w:rPr>
          <w:rFonts w:cs="Times New Roman"/>
          <w:color w:val="000000" w:themeColor="text1"/>
          <w:sz w:val="28"/>
          <w:szCs w:val="28"/>
        </w:rPr>
        <w:t>Cournapeau</w:t>
      </w:r>
      <w:proofErr w:type="spellEnd"/>
      <w:r w:rsidRPr="00430F24">
        <w:rPr>
          <w:rFonts w:cs="Times New Roman"/>
          <w:color w:val="000000" w:themeColor="text1"/>
          <w:sz w:val="28"/>
          <w:szCs w:val="28"/>
        </w:rPr>
        <w:t xml:space="preserve">, D., </w:t>
      </w:r>
      <w:proofErr w:type="spellStart"/>
      <w:r w:rsidRPr="00430F24">
        <w:rPr>
          <w:rFonts w:cs="Times New Roman"/>
          <w:color w:val="000000" w:themeColor="text1"/>
          <w:sz w:val="28"/>
          <w:szCs w:val="28"/>
        </w:rPr>
        <w:t>Burovski</w:t>
      </w:r>
      <w:proofErr w:type="spellEnd"/>
      <w:r w:rsidRPr="00430F24">
        <w:rPr>
          <w:rFonts w:cs="Times New Roman"/>
          <w:color w:val="000000" w:themeColor="text1"/>
          <w:sz w:val="28"/>
          <w:szCs w:val="28"/>
        </w:rPr>
        <w:t xml:space="preserve">, E., Peterson, P., Weckesser, W., Bright, J., van der Walt, S. J., Brett, M., Wilson, J., Millman, K. J., Mayorov, N., Nelson, A. R. J., Jones, E., Kern, R., Larson, E., Carey, C. J., Polat, I., Feng, Y., Moore, E. W., VanderPlas, J., </w:t>
      </w:r>
      <w:proofErr w:type="spellStart"/>
      <w:r w:rsidRPr="00430F24">
        <w:rPr>
          <w:rFonts w:cs="Times New Roman"/>
          <w:color w:val="000000" w:themeColor="text1"/>
          <w:sz w:val="28"/>
          <w:szCs w:val="28"/>
        </w:rPr>
        <w:t>Laxalde</w:t>
      </w:r>
      <w:proofErr w:type="spellEnd"/>
      <w:r w:rsidRPr="00430F24">
        <w:rPr>
          <w:rFonts w:cs="Times New Roman"/>
          <w:color w:val="000000" w:themeColor="text1"/>
          <w:sz w:val="28"/>
          <w:szCs w:val="28"/>
        </w:rPr>
        <w:t xml:space="preserve">, D., </w:t>
      </w:r>
      <w:proofErr w:type="spellStart"/>
      <w:r w:rsidRPr="00430F24">
        <w:rPr>
          <w:rFonts w:cs="Times New Roman"/>
          <w:color w:val="000000" w:themeColor="text1"/>
          <w:sz w:val="28"/>
          <w:szCs w:val="28"/>
        </w:rPr>
        <w:t>Perktold</w:t>
      </w:r>
      <w:proofErr w:type="spellEnd"/>
      <w:r w:rsidRPr="00430F24">
        <w:rPr>
          <w:rFonts w:cs="Times New Roman"/>
          <w:color w:val="000000" w:themeColor="text1"/>
          <w:sz w:val="28"/>
          <w:szCs w:val="28"/>
        </w:rPr>
        <w:t xml:space="preserve">, J., </w:t>
      </w:r>
      <w:proofErr w:type="spellStart"/>
      <w:r w:rsidRPr="00430F24">
        <w:rPr>
          <w:rFonts w:cs="Times New Roman"/>
          <w:color w:val="000000" w:themeColor="text1"/>
          <w:sz w:val="28"/>
          <w:szCs w:val="28"/>
        </w:rPr>
        <w:t>Cimrman</w:t>
      </w:r>
      <w:proofErr w:type="spellEnd"/>
      <w:r w:rsidRPr="00430F24">
        <w:rPr>
          <w:rFonts w:cs="Times New Roman"/>
          <w:color w:val="000000" w:themeColor="text1"/>
          <w:sz w:val="28"/>
          <w:szCs w:val="28"/>
        </w:rPr>
        <w:t xml:space="preserve">, R., </w:t>
      </w:r>
      <w:r w:rsidRPr="00430F24">
        <w:rPr>
          <w:rFonts w:cs="Times New Roman"/>
          <w:color w:val="000000" w:themeColor="text1"/>
          <w:sz w:val="28"/>
          <w:szCs w:val="28"/>
        </w:rPr>
        <w:lastRenderedPageBreak/>
        <w:t xml:space="preserve">Henriksen, I., Quintero, E. A., Harris, C. R., Archibald, A. M., Ribeiro, A. H., Pedregosa, F., van </w:t>
      </w:r>
      <w:proofErr w:type="spellStart"/>
      <w:r w:rsidRPr="00430F24">
        <w:rPr>
          <w:rFonts w:cs="Times New Roman"/>
          <w:color w:val="000000" w:themeColor="text1"/>
          <w:sz w:val="28"/>
          <w:szCs w:val="28"/>
        </w:rPr>
        <w:t>Mulbregt</w:t>
      </w:r>
      <w:proofErr w:type="spellEnd"/>
      <w:r w:rsidRPr="00430F24">
        <w:rPr>
          <w:rFonts w:cs="Times New Roman"/>
          <w:color w:val="000000" w:themeColor="text1"/>
          <w:sz w:val="28"/>
          <w:szCs w:val="28"/>
        </w:rPr>
        <w:t xml:space="preserve">, P., and SciPy 1.0 Contributors. (2020). SciPy 1.0: Fundamental algorithms for scientific computing in Python. </w:t>
      </w:r>
      <w:r w:rsidRPr="00430F24">
        <w:rPr>
          <w:rFonts w:cs="Times New Roman"/>
          <w:i/>
          <w:iCs/>
          <w:color w:val="000000" w:themeColor="text1"/>
          <w:sz w:val="28"/>
          <w:szCs w:val="28"/>
        </w:rPr>
        <w:t>Nature Methods</w:t>
      </w:r>
      <w:r w:rsidRPr="00430F24">
        <w:rPr>
          <w:rFonts w:cs="Times New Roman"/>
          <w:color w:val="000000" w:themeColor="text1"/>
          <w:sz w:val="28"/>
          <w:szCs w:val="28"/>
        </w:rPr>
        <w:t>, 17(3), 261-272. https://doi.org/10.1038/s41592-019-0686-2</w:t>
      </w:r>
    </w:p>
    <w:p w14:paraId="6C72B54C" w14:textId="125761A1"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Waskom, M. L. (2021). seaborn: statistical data visualization. </w:t>
      </w:r>
      <w:r w:rsidRPr="00430F24">
        <w:rPr>
          <w:rFonts w:cs="Times New Roman"/>
          <w:i/>
          <w:iCs/>
          <w:color w:val="000000" w:themeColor="text1"/>
          <w:sz w:val="28"/>
          <w:szCs w:val="28"/>
        </w:rPr>
        <w:t xml:space="preserve">Journal of </w:t>
      </w:r>
      <w:proofErr w:type="gramStart"/>
      <w:r w:rsidRPr="00430F24">
        <w:rPr>
          <w:rFonts w:cs="Times New Roman"/>
          <w:i/>
          <w:iCs/>
          <w:color w:val="000000" w:themeColor="text1"/>
          <w:sz w:val="28"/>
          <w:szCs w:val="28"/>
        </w:rPr>
        <w:t>Open Source</w:t>
      </w:r>
      <w:proofErr w:type="gramEnd"/>
      <w:r w:rsidRPr="00430F24">
        <w:rPr>
          <w:rFonts w:cs="Times New Roman"/>
          <w:i/>
          <w:iCs/>
          <w:color w:val="000000" w:themeColor="text1"/>
          <w:sz w:val="28"/>
          <w:szCs w:val="28"/>
        </w:rPr>
        <w:t xml:space="preserve"> Software</w:t>
      </w:r>
      <w:r w:rsidRPr="00430F24">
        <w:rPr>
          <w:rFonts w:cs="Times New Roman"/>
          <w:color w:val="000000" w:themeColor="text1"/>
          <w:sz w:val="28"/>
          <w:szCs w:val="28"/>
        </w:rPr>
        <w:t>, 6(60), 3021. https://doi.org/10.21105/joss.03021</w:t>
      </w:r>
    </w:p>
    <w:p w14:paraId="6D85C9B1" w14:textId="67D8B8C1" w:rsidR="00430F24" w:rsidRP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Wishart, D. S., Guo, A., Oler, E., Wang, F., Anjum, A., Peters, H., Dizon, R., Sayeeda, Z., Tian, S., Lee, B. L., </w:t>
      </w:r>
      <w:proofErr w:type="spellStart"/>
      <w:r w:rsidRPr="00430F24">
        <w:rPr>
          <w:rFonts w:cs="Times New Roman"/>
          <w:color w:val="000000" w:themeColor="text1"/>
          <w:sz w:val="28"/>
          <w:szCs w:val="28"/>
        </w:rPr>
        <w:t>Berjanskii</w:t>
      </w:r>
      <w:proofErr w:type="spellEnd"/>
      <w:r w:rsidRPr="00430F24">
        <w:rPr>
          <w:rFonts w:cs="Times New Roman"/>
          <w:color w:val="000000" w:themeColor="text1"/>
          <w:sz w:val="28"/>
          <w:szCs w:val="28"/>
        </w:rPr>
        <w:t xml:space="preserve">, M., Mah, R., Yamamoto, M., Jovel, J., Torres-Calzada, C., Hiebert-Lauderdale, M., Pon, A., Budinski, Z., Chin, J., Bertozzi, S. M., Lau, J. X., Nickel, J., </w:t>
      </w:r>
      <w:proofErr w:type="spellStart"/>
      <w:r w:rsidRPr="00430F24">
        <w:rPr>
          <w:rFonts w:cs="Times New Roman"/>
          <w:color w:val="000000" w:themeColor="text1"/>
          <w:sz w:val="28"/>
          <w:szCs w:val="28"/>
        </w:rPr>
        <w:t>Sokolenko</w:t>
      </w:r>
      <w:proofErr w:type="spellEnd"/>
      <w:r w:rsidRPr="00430F24">
        <w:rPr>
          <w:rFonts w:cs="Times New Roman"/>
          <w:color w:val="000000" w:themeColor="text1"/>
          <w:sz w:val="28"/>
          <w:szCs w:val="28"/>
        </w:rPr>
        <w:t xml:space="preserve">, S., Li, H., Motlagh, J., </w:t>
      </w:r>
      <w:proofErr w:type="spellStart"/>
      <w:r w:rsidRPr="00430F24">
        <w:rPr>
          <w:rFonts w:cs="Times New Roman"/>
          <w:color w:val="000000" w:themeColor="text1"/>
          <w:sz w:val="28"/>
          <w:szCs w:val="28"/>
        </w:rPr>
        <w:t>Tymensen</w:t>
      </w:r>
      <w:proofErr w:type="spellEnd"/>
      <w:r w:rsidRPr="00430F24">
        <w:rPr>
          <w:rFonts w:cs="Times New Roman"/>
          <w:color w:val="000000" w:themeColor="text1"/>
          <w:sz w:val="28"/>
          <w:szCs w:val="28"/>
        </w:rPr>
        <w:t xml:space="preserve">, L., and Srivastava, P. (2022). HMDB 5.0: the Human Metabolome Database for 2022. </w:t>
      </w:r>
      <w:r w:rsidRPr="00430F24">
        <w:rPr>
          <w:rFonts w:cs="Times New Roman"/>
          <w:i/>
          <w:iCs/>
          <w:color w:val="000000" w:themeColor="text1"/>
          <w:sz w:val="28"/>
          <w:szCs w:val="28"/>
        </w:rPr>
        <w:t>Nucleic Acids Research</w:t>
      </w:r>
      <w:r w:rsidRPr="00430F24">
        <w:rPr>
          <w:rFonts w:cs="Times New Roman"/>
          <w:color w:val="000000" w:themeColor="text1"/>
          <w:sz w:val="28"/>
          <w:szCs w:val="28"/>
        </w:rPr>
        <w:t>, 50(D1), D622-D631.</w:t>
      </w:r>
    </w:p>
    <w:p w14:paraId="10D84526" w14:textId="39CE8FD1" w:rsidR="00430F24" w:rsidRPr="00430F24" w:rsidRDefault="00430F24" w:rsidP="00430F24">
      <w:pPr>
        <w:rPr>
          <w:rFonts w:cs="Times New Roman"/>
          <w:color w:val="000000" w:themeColor="text1"/>
          <w:sz w:val="28"/>
          <w:szCs w:val="28"/>
        </w:rPr>
      </w:pPr>
      <w:proofErr w:type="spellStart"/>
      <w:r w:rsidRPr="00430F24">
        <w:rPr>
          <w:rFonts w:cs="Times New Roman"/>
          <w:color w:val="000000" w:themeColor="text1"/>
          <w:sz w:val="28"/>
          <w:szCs w:val="28"/>
        </w:rPr>
        <w:t>Wold</w:t>
      </w:r>
      <w:proofErr w:type="spellEnd"/>
      <w:r w:rsidRPr="00430F24">
        <w:rPr>
          <w:rFonts w:cs="Times New Roman"/>
          <w:color w:val="000000" w:themeColor="text1"/>
          <w:sz w:val="28"/>
          <w:szCs w:val="28"/>
        </w:rPr>
        <w:t xml:space="preserve">, S., Johansson, E., and Cocchi, M. (1993). PLS: Partial Least Squares Projections to Latent Structures. In H. Kubinyi (Ed.), </w:t>
      </w:r>
      <w:r w:rsidRPr="00430F24">
        <w:rPr>
          <w:rFonts w:cs="Times New Roman"/>
          <w:i/>
          <w:iCs/>
          <w:color w:val="000000" w:themeColor="text1"/>
          <w:sz w:val="28"/>
          <w:szCs w:val="28"/>
        </w:rPr>
        <w:t>3D QSAR in Drug Design</w:t>
      </w:r>
      <w:r w:rsidRPr="00430F24">
        <w:rPr>
          <w:rFonts w:cs="Times New Roman"/>
          <w:color w:val="000000" w:themeColor="text1"/>
          <w:sz w:val="28"/>
          <w:szCs w:val="28"/>
        </w:rPr>
        <w:t>, pp. 523-550. ESCOM, Leiden.</w:t>
      </w:r>
    </w:p>
    <w:p w14:paraId="67BC0DE8" w14:textId="62560DE9" w:rsidR="00430F24" w:rsidRDefault="00430F24" w:rsidP="00430F24">
      <w:pPr>
        <w:rPr>
          <w:rFonts w:cs="Times New Roman"/>
          <w:color w:val="000000" w:themeColor="text1"/>
          <w:sz w:val="28"/>
          <w:szCs w:val="28"/>
        </w:rPr>
      </w:pPr>
      <w:r w:rsidRPr="00430F24">
        <w:rPr>
          <w:rFonts w:cs="Times New Roman"/>
          <w:color w:val="000000" w:themeColor="text1"/>
          <w:sz w:val="28"/>
          <w:szCs w:val="28"/>
        </w:rPr>
        <w:t xml:space="preserve">Zhang, Z.-M., Chen, S., and Liang, Y.-Z. (2010). Baseline correction using adaptive iteratively reweighted penalized least squares. </w:t>
      </w:r>
      <w:r w:rsidRPr="00430F24">
        <w:rPr>
          <w:rFonts w:cs="Times New Roman"/>
          <w:i/>
          <w:iCs/>
          <w:color w:val="000000" w:themeColor="text1"/>
          <w:sz w:val="28"/>
          <w:szCs w:val="28"/>
        </w:rPr>
        <w:t>Analyst</w:t>
      </w:r>
      <w:r w:rsidRPr="00430F24">
        <w:rPr>
          <w:rFonts w:cs="Times New Roman"/>
          <w:color w:val="000000" w:themeColor="text1"/>
          <w:sz w:val="28"/>
          <w:szCs w:val="28"/>
        </w:rPr>
        <w:t>, 135(5), 1138-1146.</w:t>
      </w:r>
    </w:p>
    <w:p w14:paraId="1622B886" w14:textId="0DE6BBB7" w:rsidR="005D7021" w:rsidRPr="005D7021" w:rsidRDefault="005D7021" w:rsidP="00430F24">
      <w:pPr>
        <w:rPr>
          <w:rFonts w:cs="Times New Roman"/>
          <w:color w:val="000000" w:themeColor="text1"/>
          <w:sz w:val="28"/>
          <w:szCs w:val="28"/>
        </w:rPr>
      </w:pPr>
      <w:r w:rsidRPr="005D7021">
        <w:rPr>
          <w:rFonts w:cs="Times New Roman"/>
          <w:noProof/>
          <w:color w:val="000000" w:themeColor="text1"/>
          <w:sz w:val="28"/>
          <w:szCs w:val="28"/>
        </w:rPr>
        <w:drawing>
          <wp:inline distT="0" distB="0" distL="0" distR="0" wp14:anchorId="20809C4A" wp14:editId="00F88772">
            <wp:extent cx="5303520" cy="2683599"/>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stretch>
                      <a:fillRect/>
                    </a:stretch>
                  </pic:blipFill>
                  <pic:spPr>
                    <a:xfrm>
                      <a:off x="0" y="0"/>
                      <a:ext cx="5303520" cy="2683599"/>
                    </a:xfrm>
                    <a:prstGeom prst="rect">
                      <a:avLst/>
                    </a:prstGeom>
                  </pic:spPr>
                </pic:pic>
              </a:graphicData>
            </a:graphic>
          </wp:inline>
        </w:drawing>
      </w:r>
    </w:p>
    <w:p w14:paraId="4D0DABB2" w14:textId="77777777" w:rsidR="005D7021" w:rsidRPr="005D7021" w:rsidRDefault="005D7021" w:rsidP="005D7021">
      <w:pPr>
        <w:spacing w:before="80" w:after="200"/>
        <w:jc w:val="center"/>
        <w:rPr>
          <w:rFonts w:cs="Times New Roman"/>
          <w:color w:val="000000" w:themeColor="text1"/>
          <w:sz w:val="28"/>
          <w:szCs w:val="28"/>
        </w:rPr>
      </w:pPr>
      <w:r w:rsidRPr="005D7021">
        <w:rPr>
          <w:rFonts w:cs="Times New Roman"/>
          <w:b/>
          <w:color w:val="000000" w:themeColor="text1"/>
          <w:sz w:val="28"/>
          <w:szCs w:val="28"/>
        </w:rPr>
        <w:t>Figure GA.</w:t>
      </w:r>
      <w:r w:rsidRPr="005D7021">
        <w:rPr>
          <w:rFonts w:cs="Times New Roman"/>
          <w:color w:val="000000" w:themeColor="text1"/>
          <w:sz w:val="28"/>
          <w:szCs w:val="28"/>
        </w:rPr>
        <w:t xml:space="preserve"> Graphical abstract summarizing the five-stage metbit pipeline: raw Bruker NMR data input, signal preprocessing, spectral normalization </w:t>
      </w:r>
      <w:r w:rsidRPr="005D7021">
        <w:rPr>
          <w:rFonts w:cs="Times New Roman"/>
          <w:color w:val="000000" w:themeColor="text1"/>
          <w:sz w:val="28"/>
          <w:szCs w:val="28"/>
        </w:rPr>
        <w:lastRenderedPageBreak/>
        <w:t>and peak alignment, statistical modeling (PCA, OPLS-DA, STOCSY), and interactive output generation.</w:t>
      </w:r>
    </w:p>
    <w:p w14:paraId="1D2C92E9" w14:textId="77777777" w:rsidR="005D7021" w:rsidRDefault="005D7021">
      <w:pPr>
        <w:jc w:val="both"/>
        <w:rPr>
          <w:rFonts w:cs="Times New Roman"/>
          <w:color w:val="000000" w:themeColor="text1"/>
          <w:sz w:val="28"/>
          <w:szCs w:val="28"/>
        </w:rPr>
      </w:pPr>
    </w:p>
    <w:p w14:paraId="136C6882" w14:textId="77777777" w:rsidR="005D7021" w:rsidRPr="005D7021" w:rsidRDefault="005D7021" w:rsidP="005D7021">
      <w:pPr>
        <w:jc w:val="center"/>
        <w:rPr>
          <w:rFonts w:cs="Times New Roman"/>
          <w:color w:val="000000" w:themeColor="text1"/>
          <w:sz w:val="28"/>
          <w:szCs w:val="28"/>
        </w:rPr>
      </w:pPr>
      <w:r w:rsidRPr="005D7021">
        <w:rPr>
          <w:rFonts w:cs="Times New Roman"/>
          <w:noProof/>
          <w:color w:val="000000" w:themeColor="text1"/>
          <w:sz w:val="28"/>
          <w:szCs w:val="28"/>
        </w:rPr>
        <w:lastRenderedPageBreak/>
        <w:drawing>
          <wp:inline distT="0" distB="0" distL="0" distR="0" wp14:anchorId="1C27F95C" wp14:editId="449605FA">
            <wp:extent cx="4114800" cy="8623051"/>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stretch>
                      <a:fillRect/>
                    </a:stretch>
                  </pic:blipFill>
                  <pic:spPr>
                    <a:xfrm>
                      <a:off x="0" y="0"/>
                      <a:ext cx="4162119" cy="8722214"/>
                    </a:xfrm>
                    <a:prstGeom prst="rect">
                      <a:avLst/>
                    </a:prstGeom>
                  </pic:spPr>
                </pic:pic>
              </a:graphicData>
            </a:graphic>
          </wp:inline>
        </w:drawing>
      </w:r>
    </w:p>
    <w:p w14:paraId="7BFF2655" w14:textId="02F43537" w:rsidR="00430F24" w:rsidRPr="005D7021" w:rsidRDefault="005D7021" w:rsidP="002E7E24">
      <w:pPr>
        <w:spacing w:before="80" w:after="200"/>
        <w:jc w:val="center"/>
        <w:rPr>
          <w:rFonts w:cs="Times New Roman"/>
          <w:color w:val="000000" w:themeColor="text1"/>
          <w:sz w:val="28"/>
          <w:szCs w:val="28"/>
        </w:rPr>
      </w:pPr>
      <w:r w:rsidRPr="005D7021">
        <w:rPr>
          <w:rFonts w:cs="Times New Roman"/>
          <w:b/>
          <w:color w:val="000000" w:themeColor="text1"/>
          <w:sz w:val="28"/>
          <w:szCs w:val="28"/>
        </w:rPr>
        <w:lastRenderedPageBreak/>
        <w:t>Figure 1.</w:t>
      </w:r>
      <w:r w:rsidRPr="005D7021">
        <w:rPr>
          <w:rFonts w:cs="Times New Roman"/>
          <w:color w:val="000000" w:themeColor="text1"/>
          <w:sz w:val="28"/>
          <w:szCs w:val="28"/>
        </w:rPr>
        <w:t xml:space="preserve"> Detailed data-analysis workflow of the metbit package. Boxes represent the six processing stages </w:t>
      </w:r>
      <w:proofErr w:type="spellStart"/>
      <w:r w:rsidRPr="005D7021">
        <w:rPr>
          <w:rFonts w:cs="Times New Roman"/>
          <w:color w:val="000000" w:themeColor="text1"/>
          <w:sz w:val="28"/>
          <w:szCs w:val="28"/>
        </w:rPr>
        <w:t>colour</w:t>
      </w:r>
      <w:proofErr w:type="spellEnd"/>
      <w:r w:rsidRPr="005D7021">
        <w:rPr>
          <w:rFonts w:cs="Times New Roman"/>
          <w:color w:val="000000" w:themeColor="text1"/>
          <w:sz w:val="28"/>
          <w:szCs w:val="28"/>
        </w:rPr>
        <w:t>-coded by functional category (navy: data input; blue: signal preprocessing; dark teal: normalization; teal: peak alignment; purple: statistical modeling; amber: visualization and output). Dependency badges in the upper-right corner of each box identify the primary Python library invoked at that stage. The workflow forks at Stage 5 to accommodate both STOCSY correlation spectroscopy (left branch; STOCSY.py) and multivariate modeling via PCA/OPLS-DA (right branch; metbit.py), with both branches converging at the interactive visualization and output layer. The diagram was generated programmatically using matplotlib (Hunter, 2007)</w:t>
      </w:r>
      <w:r>
        <w:rPr>
          <w:rFonts w:cs="Times New Roman"/>
          <w:color w:val="000000" w:themeColor="text1"/>
          <w:sz w:val="28"/>
          <w:szCs w:val="28"/>
        </w:rPr>
        <w:t>.</w:t>
      </w:r>
    </w:p>
    <w:sectPr w:rsidR="00430F24" w:rsidRPr="005D7021" w:rsidSect="005D7021">
      <w:pgSz w:w="12240" w:h="15840"/>
      <w:pgMar w:top="1440" w:right="1797" w:bottom="1440" w:left="179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3553875">
    <w:abstractNumId w:val="8"/>
  </w:num>
  <w:num w:numId="2" w16cid:durableId="41515819">
    <w:abstractNumId w:val="6"/>
  </w:num>
  <w:num w:numId="3" w16cid:durableId="1562867929">
    <w:abstractNumId w:val="5"/>
  </w:num>
  <w:num w:numId="4" w16cid:durableId="1123885462">
    <w:abstractNumId w:val="4"/>
  </w:num>
  <w:num w:numId="5" w16cid:durableId="1218669482">
    <w:abstractNumId w:val="7"/>
  </w:num>
  <w:num w:numId="6" w16cid:durableId="1397432068">
    <w:abstractNumId w:val="3"/>
  </w:num>
  <w:num w:numId="7" w16cid:durableId="581138106">
    <w:abstractNumId w:val="2"/>
  </w:num>
  <w:num w:numId="8" w16cid:durableId="1868834595">
    <w:abstractNumId w:val="1"/>
  </w:num>
  <w:num w:numId="9" w16cid:durableId="1747342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7E24"/>
    <w:rsid w:val="00326F90"/>
    <w:rsid w:val="00430F24"/>
    <w:rsid w:val="005D7021"/>
    <w:rsid w:val="00AA1D8D"/>
    <w:rsid w:val="00B47730"/>
    <w:rsid w:val="00C4786C"/>
    <w:rsid w:val="00CB0664"/>
    <w:rsid w:val="00DF0210"/>
    <w:rsid w:val="00F821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7CD209"/>
  <w14:defaultImageDpi w14:val="300"/>
  <w15:docId w15:val="{7CE1A842-8933-2F4D-B068-3CBCBE70E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54360"/>
      <w:sz w:val="26"/>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b/>
      <w:bCs/>
      <w:i/>
      <w:color w:val="1A5276"/>
      <w:sz w:val="23"/>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0E665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jc w:val="center"/>
    </w:pPr>
    <w:rPr>
      <w:rFonts w:asciiTheme="majorHAnsi" w:eastAsiaTheme="majorEastAsia" w:hAnsiTheme="majorHAnsi" w:cstheme="majorBidi"/>
      <w:b/>
      <w:color w:val="15436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F82189"/>
  </w:style>
  <w:style w:type="table" w:styleId="PlainTable1">
    <w:name w:val="Plain Table 1"/>
    <w:basedOn w:val="TableNormal"/>
    <w:uiPriority w:val="99"/>
    <w:rsid w:val="005D70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5D702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5D7021"/>
    <w:rPr>
      <w:color w:val="0000FF" w:themeColor="hyperlink"/>
      <w:u w:val="single"/>
    </w:rPr>
  </w:style>
  <w:style w:type="character" w:styleId="UnresolvedMention">
    <w:name w:val="Unresolved Mention"/>
    <w:basedOn w:val="DefaultParagraphFont"/>
    <w:uiPriority w:val="99"/>
    <w:semiHidden/>
    <w:unhideWhenUsed/>
    <w:rsid w:val="005D70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19</Pages>
  <Words>4261</Words>
  <Characters>28555</Characters>
  <Application>Microsoft Office Word</Application>
  <DocSecurity>0</DocSecurity>
  <Lines>439</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Theerayut Bubpamala</cp:lastModifiedBy>
  <cp:revision>2</cp:revision>
  <dcterms:created xsi:type="dcterms:W3CDTF">2013-12-23T23:15:00Z</dcterms:created>
  <dcterms:modified xsi:type="dcterms:W3CDTF">2026-04-23T10:10:00Z</dcterms:modified>
  <cp:category/>
</cp:coreProperties>
</file>