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61FE2A69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*undergraduate mentee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A6BF70" w14:textId="57E4EF8C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S. Luke Flory, Erica M. Goss, Robert D. Holt, Keith Clay, Philip F. Harmon, Brett R. Lane, Ashish Adhikari, and Christopher M. Wojan. The Role of Pathogens in Plant Invasions.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Accepted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Anna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094D8476" w14:textId="77777777" w:rsidR="007A5C7C" w:rsidRPr="007A5C7C" w:rsidRDefault="007A5C7C" w:rsidP="007A5C7C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Phan, Tin,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>. Rich dynamics of a simple delay host-pathogen model of cell-to-cell infection for plant virus</w:t>
      </w:r>
      <w:r w:rsidRPr="007A5C7C">
        <w:rPr>
          <w:rFonts w:ascii="Arial" w:hAnsi="Arial" w:cs="Arial"/>
          <w:sz w:val="20"/>
          <w:szCs w:val="20"/>
        </w:rPr>
        <w:t xml:space="preserve">. </w:t>
      </w:r>
      <w:r w:rsidRPr="007A5C7C">
        <w:rPr>
          <w:rFonts w:ascii="Arial" w:hAnsi="Arial" w:cs="Arial"/>
          <w:i/>
          <w:iCs/>
          <w:sz w:val="20"/>
          <w:szCs w:val="20"/>
          <w:shd w:val="clear" w:color="auto" w:fill="FFFFFF"/>
        </w:rPr>
        <w:t>Discrete and Continuous Dynamical Systems-B</w:t>
      </w:r>
      <w:r w:rsidRPr="007A5C7C">
        <w:rPr>
          <w:rFonts w:ascii="Arial" w:hAnsi="Arial" w:cs="Arial"/>
          <w:sz w:val="20"/>
          <w:szCs w:val="20"/>
        </w:rPr>
        <w:t xml:space="preserve">. </w:t>
      </w:r>
      <w:hyperlink r:id="rId7" w:history="1">
        <w:r w:rsidRPr="007A5C7C">
          <w:rPr>
            <w:rStyle w:val="Hyperlink"/>
            <w:rFonts w:ascii="Arial" w:hAnsi="Arial" w:cs="Arial"/>
            <w:color w:val="auto"/>
            <w:sz w:val="20"/>
            <w:szCs w:val="20"/>
          </w:rPr>
          <w:t>https://doi.org/10.3934/dcdsb.2020261</w:t>
        </w:r>
      </w:hyperlink>
    </w:p>
    <w:p w14:paraId="6F2C15CE" w14:textId="77777777" w:rsidR="007A5C7C" w:rsidRPr="00557F5E" w:rsidRDefault="007A5C7C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0D557488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8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3B031070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15.1-15.2.</w:t>
      </w:r>
      <w:r w:rsidRPr="00557F5E">
        <w:t xml:space="preserve"> </w:t>
      </w:r>
      <w:hyperlink r:id="rId9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7F880A0A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10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4F15692C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11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2BCCCD8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12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6D0606FD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lastRenderedPageBreak/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3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3920EAA3" w14:textId="1B46FF2A" w:rsidR="006E63DD" w:rsidRDefault="006E63DD" w:rsidP="00557F5E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3F431095" w14:textId="40441859" w:rsidR="00AE035D" w:rsidRPr="00DB1D9A" w:rsidRDefault="00AE035D" w:rsidP="00AE035D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Daws</w:t>
      </w:r>
      <w:proofErr w:type="spellEnd"/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S. L. Flory, and E. A. Mordecai.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 xml:space="preserve">In </w:t>
      </w:r>
      <w:r w:rsidR="00AF04E3">
        <w:rPr>
          <w:rFonts w:ascii="Arial" w:hAnsi="Arial" w:cs="Arial"/>
          <w:i/>
          <w:iCs/>
          <w:spacing w:val="-7"/>
          <w:sz w:val="20"/>
          <w:szCs w:val="20"/>
        </w:rPr>
        <w:t>review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 for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4" w:history="1">
        <w:r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https://doi.org/10.1101/2020.05.19.104950</w:t>
        </w:r>
      </w:hyperlink>
    </w:p>
    <w:p w14:paraId="0DB7AD6D" w14:textId="7526B32B" w:rsidR="00AE035D" w:rsidRPr="00DB1D9A" w:rsidRDefault="00AE035D" w:rsidP="00557F5E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68B46DCF" w14:textId="7F9813B5" w:rsidR="00AE035D" w:rsidRPr="00DB1D9A" w:rsidRDefault="00AE035D" w:rsidP="00DB1D9A">
      <w:pPr>
        <w:ind w:left="720" w:hanging="720"/>
        <w:rPr>
          <w:rFonts w:ascii="Arial" w:hAnsi="Arial" w:cs="Arial"/>
          <w:sz w:val="20"/>
          <w:szCs w:val="20"/>
        </w:rPr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V. J. </w:t>
      </w:r>
      <w:proofErr w:type="spellStart"/>
      <w:r w:rsidRPr="00DB1D9A">
        <w:rPr>
          <w:rFonts w:ascii="Arial" w:hAnsi="Arial" w:cs="Arial"/>
          <w:sz w:val="20"/>
          <w:szCs w:val="20"/>
          <w:shd w:val="clear" w:color="auto" w:fill="FFFFFF"/>
        </w:rPr>
        <w:t>Svahnstrom</w:t>
      </w:r>
      <w:proofErr w:type="spellEnd"/>
      <w:r w:rsidR="00DB1D9A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DB1D9A"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Emerging fungal pathogen on an invasive grass differentially affects native species. </w:t>
      </w:r>
      <w:r w:rsidR="00DB1D9A"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In review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 for </w:t>
      </w:r>
      <w:r w:rsidR="00DB1D9A"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PLOS ONE</w:t>
      </w:r>
      <w:r w:rsidR="00DB1D9A"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5" w:history="1">
        <w:r w:rsidR="00DB1D9A" w:rsidRPr="00DB1D9A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https://doi.org/10.1101/2020.08.06.239319</w:t>
        </w:r>
      </w:hyperlink>
    </w:p>
    <w:p w14:paraId="4DD7CA0C" w14:textId="0F66E1E1" w:rsidR="00C47625" w:rsidRDefault="00DB1D9A" w:rsidP="00DB1D9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co-first authors</w:t>
      </w:r>
    </w:p>
    <w:p w14:paraId="78F43C84" w14:textId="4CC2949B" w:rsidR="00AF04E3" w:rsidRPr="00AF04E3" w:rsidRDefault="00AF04E3" w:rsidP="00DB1D9A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5FCBD380" w14:textId="436467B2" w:rsidR="00AF04E3" w:rsidRPr="00AF04E3" w:rsidRDefault="00AF04E3" w:rsidP="00894794">
      <w:pPr>
        <w:ind w:left="720" w:hanging="72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A.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4794"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sz w:val="20"/>
          <w:szCs w:val="20"/>
          <w:shd w:val="clear" w:color="auto" w:fill="FFFFFF"/>
        </w:rPr>
        <w:t>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Submitted</w:t>
      </w:r>
      <w:r w:rsidRPr="00AF04E3">
        <w:rPr>
          <w:rFonts w:ascii="Arial" w:hAnsi="Arial" w:cs="Arial"/>
          <w:sz w:val="20"/>
          <w:szCs w:val="20"/>
        </w:rPr>
        <w:t xml:space="preserve"> to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Applications.</w:t>
      </w:r>
    </w:p>
    <w:p w14:paraId="7E2AEAAC" w14:textId="77777777" w:rsidR="006E63DD" w:rsidRPr="007A6902" w:rsidRDefault="006E63DD" w:rsidP="00D07967">
      <w:pP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1C5FFDE" w14:textId="69435891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D495187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435215B5" w14:textId="309AD85E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ESA Annual Meeting: New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Orleans,LA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0CAA39C5" w14:textId="7454616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521DADB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0F6CAED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A17646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6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56C8DB5B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5C29F3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American Naturalist,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Journal of Environmental </w:t>
      </w:r>
      <w:r w:rsidR="00EF704C">
        <w:rPr>
          <w:rFonts w:ascii="Arial" w:hAnsi="Arial" w:cs="Arial"/>
          <w:i/>
          <w:iCs/>
          <w:color w:val="000000" w:themeColor="text1"/>
          <w:sz w:val="20"/>
          <w:szCs w:val="20"/>
        </w:rPr>
        <w:t>M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>anagement</w:t>
      </w:r>
      <w:r w:rsidR="00F661D5">
        <w:rPr>
          <w:rFonts w:ascii="Arial" w:hAnsi="Arial" w:cs="Arial"/>
          <w:color w:val="000000" w:themeColor="text1"/>
          <w:sz w:val="20"/>
          <w:szCs w:val="20"/>
        </w:rPr>
        <w:t>,</w:t>
      </w:r>
      <w:r w:rsidR="00F661D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1DAFE567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65C93A33" w14:textId="4824C11B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2B789" w14:textId="77777777" w:rsidR="00A17646" w:rsidRDefault="00A17646" w:rsidP="007A6902">
      <w:r>
        <w:separator/>
      </w:r>
    </w:p>
  </w:endnote>
  <w:endnote w:type="continuationSeparator" w:id="0">
    <w:p w14:paraId="464A63E3" w14:textId="77777777" w:rsidR="00A17646" w:rsidRDefault="00A17646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2677A" w14:textId="77777777" w:rsidR="00A17646" w:rsidRDefault="00A17646" w:rsidP="007A6902">
      <w:r>
        <w:separator/>
      </w:r>
    </w:p>
  </w:footnote>
  <w:footnote w:type="continuationSeparator" w:id="0">
    <w:p w14:paraId="10AC613B" w14:textId="77777777" w:rsidR="00A17646" w:rsidRDefault="00A17646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0C184F"/>
    <w:rsid w:val="001238CE"/>
    <w:rsid w:val="00124298"/>
    <w:rsid w:val="00192C32"/>
    <w:rsid w:val="001F21CC"/>
    <w:rsid w:val="001F5841"/>
    <w:rsid w:val="00217BF9"/>
    <w:rsid w:val="002315AC"/>
    <w:rsid w:val="00232080"/>
    <w:rsid w:val="00233577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3F1D3D"/>
    <w:rsid w:val="00431038"/>
    <w:rsid w:val="004472B6"/>
    <w:rsid w:val="00450781"/>
    <w:rsid w:val="00472ADC"/>
    <w:rsid w:val="00496D03"/>
    <w:rsid w:val="004B332F"/>
    <w:rsid w:val="004C7C76"/>
    <w:rsid w:val="004E6675"/>
    <w:rsid w:val="00506DB2"/>
    <w:rsid w:val="00557F5E"/>
    <w:rsid w:val="00582E2A"/>
    <w:rsid w:val="00595D0C"/>
    <w:rsid w:val="005A4A3F"/>
    <w:rsid w:val="005C29F3"/>
    <w:rsid w:val="005E0FFF"/>
    <w:rsid w:val="005E2AB1"/>
    <w:rsid w:val="005F2EFC"/>
    <w:rsid w:val="00641B98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C0197"/>
    <w:rsid w:val="00A17646"/>
    <w:rsid w:val="00A34312"/>
    <w:rsid w:val="00A43014"/>
    <w:rsid w:val="00A5191F"/>
    <w:rsid w:val="00A808CC"/>
    <w:rsid w:val="00A854E4"/>
    <w:rsid w:val="00AB664A"/>
    <w:rsid w:val="00AE035D"/>
    <w:rsid w:val="00AE60B4"/>
    <w:rsid w:val="00AF04E3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4121D"/>
    <w:rsid w:val="00D519BC"/>
    <w:rsid w:val="00D65DF7"/>
    <w:rsid w:val="00D81396"/>
    <w:rsid w:val="00D96E40"/>
    <w:rsid w:val="00DA0B86"/>
    <w:rsid w:val="00DB1D9A"/>
    <w:rsid w:val="00DB2744"/>
    <w:rsid w:val="00DE05B4"/>
    <w:rsid w:val="00DE0F7F"/>
    <w:rsid w:val="00DF6FF1"/>
    <w:rsid w:val="00E24C14"/>
    <w:rsid w:val="00E47654"/>
    <w:rsid w:val="00E84DD9"/>
    <w:rsid w:val="00EE69B5"/>
    <w:rsid w:val="00EF704C"/>
    <w:rsid w:val="00F20D0B"/>
    <w:rsid w:val="00F22DC5"/>
    <w:rsid w:val="00F370CB"/>
    <w:rsid w:val="00F57764"/>
    <w:rsid w:val="00F661D5"/>
    <w:rsid w:val="00F71DF4"/>
    <w:rsid w:val="00FB2FA2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04E3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y.3155" TargetMode="External"/><Relationship Id="rId13" Type="http://schemas.openxmlformats.org/officeDocument/2006/relationships/hyperlink" Target="https://doi.org/10.1111/geb.12157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3934/dcdsb.2020261" TargetMode="External"/><Relationship Id="rId12" Type="http://schemas.openxmlformats.org/officeDocument/2006/relationships/hyperlink" Target="http://dx.doi.org/10.1111/ele.12418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bs.umn.edu/blogs/cbs-connect/biodiversity-briefs-podcast-series-launch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111/oik.0417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1/2020.08.06.239319" TargetMode="External"/><Relationship Id="rId10" Type="http://schemas.openxmlformats.org/officeDocument/2006/relationships/hyperlink" Target="http://dx.doi.org/10.3934/mbe.20190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6/annurev-phyto-010820-012757" TargetMode="External"/><Relationship Id="rId14" Type="http://schemas.openxmlformats.org/officeDocument/2006/relationships/hyperlink" Target="https://doi.org/10.1101/2020.05.19.104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2072</Words>
  <Characters>12040</Characters>
  <Application>Microsoft Office Word</Application>
  <DocSecurity>0</DocSecurity>
  <Lines>188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cp:lastPrinted>2020-09-09T18:59:00Z</cp:lastPrinted>
  <dcterms:created xsi:type="dcterms:W3CDTF">2020-09-09T18:59:00Z</dcterms:created>
  <dcterms:modified xsi:type="dcterms:W3CDTF">2020-09-09T19:06:00Z</dcterms:modified>
</cp:coreProperties>
</file>