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Description</w:t>
      </w:r>
    </w:p>
    <w:bookmarkStart w:id="20" w:name="continuous-time-model"/>
    <w:p>
      <w:pPr>
        <w:pStyle w:val="Heading1"/>
      </w:pPr>
      <w:r>
        <w:t xml:space="preserve">Continuous time model</w:t>
      </w:r>
    </w:p>
    <w:p>
      <w:pPr>
        <w:pStyle w:val="FirstParagraph"/>
      </w:pPr>
      <w:r>
        <w:t xml:space="preserve">This model describes changes in the biomass of annuals (</w:t>
      </w:r>
      <m:oMath>
        <m:r>
          <m:t>A</m:t>
        </m:r>
      </m:oMath>
      <w:r>
        <w:t xml:space="preserve">), first-year perennials (</w:t>
      </w:r>
      <m:oMath>
        <m:r>
          <m:t>F</m:t>
        </m:r>
      </m:oMath>
      <w:r>
        <w:t xml:space="preserve">), and adult perennials (</w:t>
      </w:r>
      <m:oMath>
        <m:r>
          <m:t>P</m:t>
        </m:r>
      </m:oMath>
      <w:r>
        <w:t xml:space="preserve">) over the growing season. Biomass is affected by disease and competition. We assume all biomass belonging to one plant group (e.g., stems, leaves, etc.) experiences the same growth rate, competitive effects, and disease transmission. The biomass of plant group</w:t>
      </w:r>
      <w:r>
        <w:t xml:space="preserve"> </w:t>
      </w:r>
      <m:oMath>
        <m:r>
          <m:t>i</m:t>
        </m:r>
      </m:oMath>
      <w:r>
        <w:t xml:space="preserve">, where</w:t>
      </w:r>
      <w:r>
        <w:t xml:space="preserve"> </w:t>
      </w:r>
      <m:oMath>
        <m:r>
          <m:t>i</m:t>
        </m:r>
        <m:r>
          <m:rPr>
            <m:sty m:val="p"/>
          </m:rPr>
          <m:t>=</m:t>
        </m:r>
        <m:r>
          <m:t>A</m:t>
        </m:r>
        <m:r>
          <m:rPr>
            <m:sty m:val="p"/>
          </m:rPr>
          <m:t>,</m:t>
        </m:r>
        <m:r>
          <m:t>F</m:t>
        </m:r>
        <m:r>
          <m:rPr>
            <m:sty m:val="p"/>
          </m:rPr>
          <m:t>,</m:t>
        </m:r>
        <m:r>
          <m:t>P</m:t>
        </m:r>
      </m:oMath>
      <w:r>
        <w:t xml:space="preserve">, can either be susceptible (</w:t>
      </w:r>
      <m:oMath>
        <m:r>
          <m:t>S</m:t>
        </m:r>
      </m:oMath>
      <w:r>
        <w:t xml:space="preserve">) or infected (</w:t>
      </w:r>
      <m:oMath>
        <m:r>
          <m:t>I</m:t>
        </m:r>
      </m:oMath>
      <w:r>
        <w:t xml:space="preserve">). The total biomass of a plant group is</w:t>
      </w:r>
      <w:r>
        <w:t xml:space="preserve"> </w:t>
      </w:r>
      <m:oMath>
        <m:r>
          <m:t>B</m:t>
        </m:r>
      </m:oMath>
      <w:r>
        <w:t xml:space="preserve"> </w:t>
      </w:r>
      <w:r>
        <w:t xml:space="preserve">and inoculum in the litter produced by annuals is</w:t>
      </w:r>
      <w:r>
        <w:t xml:space="preserve"> </w:t>
      </w:r>
      <m:oMath>
        <m:r>
          <m:t>l</m:t>
        </m:r>
      </m:oMath>
      <w:r>
        <w:t xml:space="preserve">. Inoculum is lost from the litter over the growing season as rate</w:t>
      </w:r>
      <w:r>
        <w:t xml:space="preserve"> </w:t>
      </w:r>
      <m:oMath>
        <m:r>
          <m:t>h</m:t>
        </m:r>
      </m:oMath>
      <w:r>
        <w:t xml:space="preserve">.</w:t>
      </w:r>
    </w:p>
    <w:p>
      <w:pPr>
        <w:pStyle w:val="BodyText"/>
      </w:pPr>
    </w:p>
    <w:p>
      <w:pPr>
        <w:pStyle w:val="BodyText"/>
      </w:pPr>
      <w:r>
        <w:t xml:space="preserve">Total biomass grows at a rate</w:t>
      </w:r>
      <w:r>
        <w:t xml:space="preserve"> </w:t>
      </w:r>
      <m:oMath>
        <m:sSub>
          <m:e>
            <m:r>
              <m:t>r</m:t>
            </m:r>
          </m:e>
          <m:sub>
            <m:r>
              <m:t>i</m:t>
            </m:r>
          </m:sub>
        </m:sSub>
      </m:oMath>
      <w:r>
        <w:t xml:space="preserve">, which is slowed due to competition (</w:t>
      </w:r>
      <m:oMath>
        <m:r>
          <m:t>α</m:t>
        </m:r>
      </m:oMath>
      <w:r>
        <w:t xml:space="preserve"> </w:t>
      </w:r>
      <w:r>
        <w:t xml:space="preserve">values). Infection (</w:t>
      </w:r>
      <m:oMath>
        <m:r>
          <m:t>β</m:t>
        </m:r>
      </m:oMath>
      <w:r>
        <w:t xml:space="preserve"> </w:t>
      </w:r>
      <w:r>
        <w:t xml:space="preserve">values) moves biomass from the susceptible to infected category. Transmission is asymptotic (Antonovics et al. 1995, McCallum et al. 2001) to represent saturating contact rates with increasing density. Both susceptible and infected biomass contribute to competition because susceptible biomass contributes to photosynthesis and resource uptake and both types of biomass contribute to shading. Infected biomass does not grow, but is converted from susceptible biomass. Infected biomass is lost at a rate</w:t>
      </w:r>
      <w:r>
        <w:t xml:space="preserve"> </w:t>
      </w:r>
      <m:oMath>
        <m:sSub>
          <m:e>
            <m:r>
              <m:t>v</m:t>
            </m:r>
          </m:e>
          <m:sub>
            <m:r>
              <m:t>i</m:t>
            </m:r>
          </m:sub>
        </m:sSub>
      </m:oMath>
      <w:r>
        <w:t xml:space="preserve"> </w:t>
      </w:r>
      <w:r>
        <w:t xml:space="preserve">due to processes such as shedding or cell death.</w:t>
      </w:r>
    </w:p>
    <w:p>
      <w:pPr>
        <w:pStyle w:val="BodyText"/>
      </w:pPr>
      <w:r>
        <w:t xml:space="preserve">We simulate the continuous time model for the number of days in a growing season (</w:t>
      </w:r>
      <m:oMath>
        <m:r>
          <m:t>T</m:t>
        </m:r>
      </m:oMath>
      <w:r>
        <w:t xml:space="preserve">). The initial states of the variables are derived from the discrete time model and described below.</w:t>
      </w:r>
    </w:p>
    <w:bookmarkEnd w:id="20"/>
    <w:bookmarkStart w:id="21" w:name="discrete-time-model"/>
    <w:p>
      <w:pPr>
        <w:pStyle w:val="Heading1"/>
      </w:pPr>
      <w:r>
        <w:t xml:space="preserve">Discrete time model</w:t>
      </w:r>
    </w:p>
    <w:p>
      <w:pPr>
        <w:pStyle w:val="FirstParagraph"/>
      </w:pPr>
      <w:r>
        <w:t xml:space="preserve">This model describes annual changes in the population densities of annual plant seeds (</w:t>
      </w:r>
      <m:oMath>
        <m:r>
          <m:t>A</m:t>
        </m:r>
      </m:oMath>
      <w:r>
        <w:t xml:space="preserve">), perennial plant seeds (</w:t>
      </w:r>
      <m:oMath>
        <m:r>
          <m:t>F</m:t>
        </m:r>
      </m:oMath>
      <w:r>
        <w:t xml:space="preserve">), and perennial adult plants (</w:t>
      </w:r>
      <m:oMath>
        <m:r>
          <m:t>P</m:t>
        </m:r>
      </m:oMath>
      <w:r>
        <w:t xml:space="preserve">).</w:t>
      </w:r>
    </w:p>
    <w:p>
      <w:pPr>
        <w:pStyle w:val="BodyText"/>
      </w:pPr>
      <w:r>
        <w:t xml:space="preserve">Because we found that infected annual seeds have reduced germination, we separately track susceptible</w:t>
      </w:r>
      <w:r>
        <w:t xml:space="preserve"> </w:t>
      </w:r>
      <m:oMath>
        <m:sSub>
          <m:e>
            <m:r>
              <m:t>A</m:t>
            </m:r>
          </m:e>
          <m:sub>
            <m:r>
              <m:t>S</m:t>
            </m:r>
          </m:sub>
        </m:sSub>
      </m:oMath>
      <w:r>
        <w:t xml:space="preserve"> </w:t>
      </w:r>
      <w:r>
        <w:t xml:space="preserve">and infected</w:t>
      </w:r>
      <w:r>
        <w:t xml:space="preserve"> </w:t>
      </w:r>
      <m:oMath>
        <m:sSub>
          <m:e>
            <m:r>
              <m:t>A</m:t>
            </m:r>
          </m:e>
          <m:sub>
            <m:r>
              <m:t>I</m:t>
            </m:r>
          </m:sub>
        </m:sSub>
      </m:oMath>
      <w:r>
        <w:t xml:space="preserve"> </w:t>
      </w:r>
      <w:r>
        <w:t xml:space="preserve">annual seeds. Susceptible annual seeds either stay dormant in the seed bank or germinate (</w:t>
      </w:r>
      <m:oMath>
        <m:sSub>
          <m:e>
            <m:r>
              <m:t>g</m:t>
            </m:r>
          </m:e>
          <m:sub>
            <m:r>
              <m:t>S</m:t>
            </m:r>
          </m:sub>
        </m:sSub>
      </m:oMath>
      <w:r>
        <w:t xml:space="preserve">) while infected seeds can only germinate at a reduced fraction (</w:t>
      </w:r>
      <m:oMath>
        <m:sSub>
          <m:e>
            <m:r>
              <m:t>g</m:t>
            </m:r>
          </m:e>
          <m:sub>
            <m:r>
              <m:t>I</m:t>
            </m:r>
          </m:sub>
        </m:sSub>
      </m:oMath>
      <w:r>
        <w:t xml:space="preserve">) and do not survive for another year in the seed bank. If seeds germinate, they establish and grow regardless of whether they are infected. The seeds that germinate and establish are used to initiate the continuous time model (</w:t>
      </w:r>
      <m:oMath>
        <m:sSub>
          <m:e>
            <m:r>
              <m:t>S</m:t>
            </m:r>
          </m:e>
          <m:sub>
            <m:r>
              <m:t>A</m:t>
            </m:r>
            <m:r>
              <m:rPr>
                <m:sty m:val="p"/>
              </m:rPr>
              <m:t>,</m:t>
            </m:r>
            <m:r>
              <m:t>0</m:t>
            </m:r>
          </m:sub>
        </m:sSub>
      </m:oMath>
      <w:r>
        <w:t xml:space="preserve">) with initial biomass</w:t>
      </w:r>
      <w:r>
        <w:t xml:space="preserve"> </w:t>
      </w:r>
      <m:oMath>
        <m:sSub>
          <m:e>
            <m:r>
              <m:t>b</m:t>
            </m:r>
          </m:e>
          <m:sub>
            <m:r>
              <m:t>A</m:t>
            </m:r>
          </m:sub>
        </m:sSub>
      </m:oMath>
      <w:r>
        <w:t xml:space="preserve">. The final biomass of annual plants in the continuous time model (</w:t>
      </w:r>
      <m:oMath>
        <m:sSub>
          <m:e>
            <m:r>
              <m:t>B</m:t>
            </m:r>
          </m:e>
          <m:sub>
            <m:r>
              <m:t>A</m:t>
            </m:r>
            <m:r>
              <m:rPr>
                <m:sty m:val="p"/>
              </m:rPr>
              <m:t>,</m:t>
            </m:r>
            <m:r>
              <m:t>T</m:t>
            </m:r>
          </m:sub>
        </m:sSub>
      </m:oMath>
      <w:r>
        <w:t xml:space="preserve">) is used to estimate seed production with a conversion constant</w:t>
      </w:r>
      <w:r>
        <w:t xml:space="preserve"> </w:t>
      </w:r>
      <m:oMath>
        <m:sSub>
          <m:e>
            <m:r>
              <m:t>c</m:t>
            </m:r>
          </m:e>
          <m:sub>
            <m:r>
              <m:t>A</m:t>
            </m:r>
          </m:sub>
        </m:sSub>
      </m:oMath>
      <w:r>
        <w:t xml:space="preserve">. We assume a fraction</w:t>
      </w:r>
      <w:r>
        <w:t xml:space="preserve"> </w:t>
      </w:r>
      <m:oMath>
        <m:r>
          <m:t>p</m:t>
        </m:r>
      </m:oMath>
      <w:r>
        <w:t xml:space="preserve"> </w:t>
      </w:r>
      <w:r>
        <w:t xml:space="preserve">of the seeds produced are infected, based on the empirical relationship between leaf severity (Estimated with</w:t>
      </w:r>
      <w:r>
        <w:t xml:space="preserve"> </w:t>
      </w:r>
      <m:oMath>
        <m:sSub>
          <m:e>
            <m:r>
              <m:t>I</m:t>
            </m:r>
          </m:e>
          <m:sub>
            <m:r>
              <m:t>A</m:t>
            </m:r>
            <m:r>
              <m:rPr>
                <m:sty m:val="p"/>
              </m:rPr>
              <m:t>,</m:t>
            </m:r>
            <m:r>
              <m:t>T</m:t>
            </m:r>
          </m:sub>
        </m:sSub>
        <m:r>
          <m:rPr>
            <m:sty m:val="p"/>
          </m:rPr>
          <m:t>/</m:t>
        </m:r>
        <m:sSub>
          <m:e>
            <m:r>
              <m:t>B</m:t>
            </m:r>
          </m:e>
          <m:sub>
            <m:r>
              <m:t>A</m:t>
            </m:r>
            <m:r>
              <m:rPr>
                <m:sty m:val="p"/>
              </m:rPr>
              <m:t>,</m:t>
            </m:r>
            <m:r>
              <m:t>T</m:t>
            </m:r>
          </m:sub>
        </m:sSub>
      </m:oMath>
      <w:r>
        <w:t xml:space="preserve">) and seed infection. Each gram of annual litter (</w:t>
      </w:r>
      <m:oMath>
        <m:r>
          <m:t>L</m:t>
        </m:r>
      </m:oMath>
      <w:r>
        <w:t xml:space="preserve">) reduces the establishment of annuals (</w:t>
      </w:r>
      <m:oMath>
        <m:sSub>
          <m:e>
            <m:r>
              <m:t>E</m:t>
            </m:r>
          </m:e>
          <m:sub>
            <m:r>
              <m:t>A</m:t>
            </m:r>
          </m:sub>
        </m:sSub>
      </m:oMath>
      <w:r>
        <w:t xml:space="preserve">) by</w:t>
      </w:r>
      <w:r>
        <w:t xml:space="preserve"> </w:t>
      </w:r>
      <m:oMath>
        <m:sSub>
          <m:e>
            <m:r>
              <m:t>γ</m:t>
            </m:r>
          </m:e>
          <m:sub>
            <m:r>
              <m:t>A</m:t>
            </m:r>
          </m:sub>
        </m:sSub>
      </m:oMath>
      <w:r>
        <w:t xml:space="preserve">.</w:t>
      </w:r>
    </w:p>
    <w:p>
      <w:pPr>
        <w:pStyle w:val="BodyText"/>
      </w:pPr>
    </w:p>
    <w:p>
      <w:pPr>
        <w:pStyle w:val="BodyText"/>
      </w:pPr>
      <w:r>
        <w:t xml:space="preserve">The processes the determine perennial plant seeds are similar to those for annual plant seeds except that perennial seeds can be produced either by first year plants or by adults.</w:t>
      </w:r>
    </w:p>
    <w:p>
      <w:pPr>
        <w:pStyle w:val="BodyText"/>
      </w:pPr>
    </w:p>
    <w:p>
      <w:pPr>
        <w:pStyle w:val="BodyText"/>
      </w:pPr>
      <w:r>
        <w:t xml:space="preserve">Perennial adult plants are either adults that survived through the year or seeds that germinated, established, and survived through the non-growing season (e.g., winter).</w:t>
      </w:r>
    </w:p>
    <w:p>
      <w:pPr>
        <w:pStyle w:val="BodyText"/>
      </w:pPr>
    </w:p>
    <w:p>
      <w:pPr>
        <w:pStyle w:val="BodyText"/>
      </w:pPr>
      <w:r>
        <w:t xml:space="preserve">The litter is composed of litter remaining from the previous year and new litter produced by annuals. Infected annual biomass from the previous year becomes the inoculum source at the beginning of the growing season.</w:t>
      </w:r>
    </w:p>
    <w:p>
      <w:pPr>
        <w:pStyle w:val="BodyText"/>
      </w:pPr>
    </w:p>
    <w:bookmarkEnd w:id="21"/>
    <w:bookmarkStart w:id="22" w:name="parameters"/>
    <w:p>
      <w:pPr>
        <w:pStyle w:val="Heading1"/>
      </w:pPr>
      <w:r>
        <w:t xml:space="preserve">Parameters</w:t>
      </w:r>
    </w:p>
    <w:p>
      <w:pPr>
        <w:pStyle w:val="FirstParagraph"/>
      </w:pPr>
      <w:r>
        <w:t xml:space="preserve">Parameter</w:t>
      </w:r>
    </w:p>
    <w:p>
      <w:pPr>
        <w:pStyle w:val="BodyText"/>
      </w:pPr>
      <w:r>
        <w:t xml:space="preserve">Description</w:t>
      </w:r>
    </w:p>
    <w:p>
      <w:pPr>
        <w:pStyle w:val="BodyText"/>
      </w:pPr>
      <w:r>
        <w:t xml:space="preserve">Estimate</w:t>
      </w:r>
    </w:p>
    <w:p>
      <w:pPr>
        <w:pStyle w:val="BodyText"/>
      </w:pPr>
      <w:r>
        <w:t xml:space="preserve">Lower</w:t>
      </w:r>
    </w:p>
    <w:p>
      <w:pPr>
        <w:pStyle w:val="BodyText"/>
      </w:pPr>
      <w:r>
        <w:t xml:space="preserve">Upper</w:t>
      </w:r>
    </w:p>
    <w:p>
      <w:pPr>
        <w:pStyle w:val="BodyText"/>
      </w:pPr>
      <w:r>
        <w:t xml:space="preserve">Units</w:t>
      </w:r>
    </w:p>
    <w:p>
      <w:pPr>
        <w:pStyle w:val="BodyText"/>
      </w:pPr>
      <w:r>
        <w:t xml:space="preserve">Source</w:t>
      </w:r>
    </w:p>
    <w:p>
      <w:pPr>
        <w:pStyle w:val="BodyText"/>
      </w:pPr>
      <w:r>
        <w:t xml:space="preserve">alpha_AA</w:t>
      </w:r>
    </w:p>
    <w:p>
      <w:pPr>
        <w:pStyle w:val="BodyText"/>
      </w:pPr>
      <w:r>
        <w:t xml:space="preserve">annual-annual competition</w:t>
      </w:r>
    </w:p>
    <w:p>
      <w:pPr>
        <w:pStyle w:val="BodyText"/>
      </w:pPr>
      <w:r>
        <w:t xml:space="preserve">0.013</w:t>
      </w:r>
    </w:p>
    <w:p>
      <w:pPr>
        <w:pStyle w:val="BodyText"/>
      </w:pPr>
      <w:r>
        <w:t xml:space="preserve">0.005</w:t>
      </w:r>
    </w:p>
    <w:p>
      <w:pPr>
        <w:pStyle w:val="BodyText"/>
      </w:pPr>
      <w:r>
        <w:t xml:space="preserve">0.022</w:t>
      </w:r>
    </w:p>
    <w:p>
      <w:pPr>
        <w:pStyle w:val="BodyText"/>
      </w:pPr>
      <w:r>
        <w:t xml:space="preserve">g</w:t>
      </w:r>
      <w:r>
        <w:rPr>
          <w:vertAlign w:val="superscript"/>
        </w:rPr>
        <w:t xml:space="preserve">-1</w:t>
      </w:r>
    </w:p>
    <w:p>
      <w:pPr>
        <w:pStyle w:val="BodyText"/>
      </w:pPr>
      <w:r>
        <w:t xml:space="preserve">experiment</w:t>
      </w:r>
    </w:p>
    <w:p>
      <w:pPr>
        <w:pStyle w:val="BodyText"/>
      </w:pPr>
      <w:r>
        <w:t xml:space="preserve">alpha_AF</w:t>
      </w:r>
    </w:p>
    <w:p>
      <w:pPr>
        <w:pStyle w:val="BodyText"/>
      </w:pPr>
      <w:r>
        <w:t xml:space="preserve">annual-first-year perennial competition</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experiment</w:t>
      </w:r>
    </w:p>
    <w:p>
      <w:pPr>
        <w:pStyle w:val="BodyText"/>
      </w:pPr>
      <w:r>
        <w:t xml:space="preserve">alpha_AP</w:t>
      </w:r>
    </w:p>
    <w:p>
      <w:pPr>
        <w:pStyle w:val="BodyText"/>
      </w:pPr>
      <w:r>
        <w:t xml:space="preserve">annual-adult perennial competition</w:t>
      </w:r>
    </w:p>
    <w:p>
      <w:pPr>
        <w:pStyle w:val="BodyText"/>
      </w:pPr>
      <w:r>
        <w:t xml:space="preserve">0.118</w:t>
      </w:r>
    </w:p>
    <w:p>
      <w:pPr>
        <w:pStyle w:val="BodyText"/>
      </w:pPr>
      <w:r>
        <w:t xml:space="preserve">0.034</w:t>
      </w:r>
    </w:p>
    <w:p>
      <w:pPr>
        <w:pStyle w:val="BodyText"/>
      </w:pPr>
      <w:r>
        <w:t xml:space="preserve">0.200</w:t>
      </w:r>
    </w:p>
    <w:p>
      <w:pPr>
        <w:pStyle w:val="BodyText"/>
      </w:pPr>
      <w:r>
        <w:t xml:space="preserve">g</w:t>
      </w:r>
      <w:r>
        <w:rPr>
          <w:vertAlign w:val="superscript"/>
        </w:rPr>
        <w:t xml:space="preserve">-1</w:t>
      </w:r>
    </w:p>
    <w:p>
      <w:pPr>
        <w:pStyle w:val="BodyText"/>
      </w:pPr>
      <w:r>
        <w:t xml:space="preserve">experiment</w:t>
      </w:r>
    </w:p>
    <w:p>
      <w:pPr>
        <w:pStyle w:val="BodyText"/>
      </w:pPr>
      <w:r>
        <w:t xml:space="preserve">alpha_FA</w:t>
      </w:r>
    </w:p>
    <w:p>
      <w:pPr>
        <w:pStyle w:val="BodyText"/>
      </w:pPr>
      <w:r>
        <w:t xml:space="preserve">first-year perennial-annual competition</w:t>
      </w:r>
    </w:p>
    <w:p>
      <w:pPr>
        <w:pStyle w:val="BodyText"/>
      </w:pPr>
      <w:r>
        <w:t xml:space="preserve">0.011</w:t>
      </w:r>
    </w:p>
    <w:p>
      <w:pPr>
        <w:pStyle w:val="BodyText"/>
      </w:pPr>
      <w:r>
        <w:t xml:space="preserve">0.003</w:t>
      </w:r>
    </w:p>
    <w:p>
      <w:pPr>
        <w:pStyle w:val="BodyText"/>
      </w:pPr>
      <w:r>
        <w:t xml:space="preserve">0.020</w:t>
      </w:r>
    </w:p>
    <w:p>
      <w:pPr>
        <w:pStyle w:val="BodyText"/>
      </w:pPr>
      <w:r>
        <w:t xml:space="preserve">g</w:t>
      </w:r>
      <w:r>
        <w:rPr>
          <w:vertAlign w:val="superscript"/>
        </w:rPr>
        <w:t xml:space="preserve">-1</w:t>
      </w:r>
    </w:p>
    <w:p>
      <w:pPr>
        <w:pStyle w:val="BodyText"/>
      </w:pPr>
      <w:r>
        <w:t xml:space="preserve">experiment</w:t>
      </w:r>
    </w:p>
    <w:p>
      <w:pPr>
        <w:pStyle w:val="BodyText"/>
      </w:pPr>
      <w:r>
        <w:t xml:space="preserve">alpha_FF</w:t>
      </w:r>
    </w:p>
    <w:p>
      <w:pPr>
        <w:pStyle w:val="BodyText"/>
      </w:pPr>
      <w:r>
        <w:t xml:space="preserve">first-year perennial-first-year perennial competition</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experiment</w:t>
      </w:r>
    </w:p>
    <w:p>
      <w:pPr>
        <w:pStyle w:val="BodyText"/>
      </w:pPr>
      <w:r>
        <w:t xml:space="preserve">alpha_FP</w:t>
      </w:r>
    </w:p>
    <w:p>
      <w:pPr>
        <w:pStyle w:val="BodyText"/>
      </w:pPr>
      <w:r>
        <w:t xml:space="preserve">first-year perennial-adult perennial competition</w:t>
      </w:r>
    </w:p>
    <w:p>
      <w:pPr>
        <w:pStyle w:val="BodyText"/>
      </w:pPr>
      <w:r>
        <w:t xml:space="preserve">0.099</w:t>
      </w:r>
    </w:p>
    <w:p>
      <w:pPr>
        <w:pStyle w:val="BodyText"/>
      </w:pPr>
      <w:r>
        <w:t xml:space="preserve">0.007</w:t>
      </w:r>
    </w:p>
    <w:p>
      <w:pPr>
        <w:pStyle w:val="BodyText"/>
      </w:pPr>
      <w:r>
        <w:t xml:space="preserve">0.184</w:t>
      </w:r>
    </w:p>
    <w:p>
      <w:pPr>
        <w:pStyle w:val="BodyText"/>
      </w:pPr>
      <w:r>
        <w:t xml:space="preserve">g</w:t>
      </w:r>
      <w:r>
        <w:rPr>
          <w:vertAlign w:val="superscript"/>
        </w:rPr>
        <w:t xml:space="preserve">-1</w:t>
      </w:r>
    </w:p>
    <w:p>
      <w:pPr>
        <w:pStyle w:val="BodyText"/>
      </w:pPr>
      <w:r>
        <w:t xml:space="preserve">experiment</w:t>
      </w:r>
    </w:p>
    <w:p>
      <w:pPr>
        <w:pStyle w:val="BodyText"/>
      </w:pPr>
      <w:r>
        <w:t xml:space="preserve">alpha_PA</w:t>
      </w:r>
    </w:p>
    <w:p>
      <w:pPr>
        <w:pStyle w:val="BodyText"/>
      </w:pPr>
      <w:r>
        <w:t xml:space="preserve">adult perennial-annual competition</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experiment</w:t>
      </w:r>
    </w:p>
    <w:p>
      <w:pPr>
        <w:pStyle w:val="BodyText"/>
      </w:pPr>
      <w:r>
        <w:t xml:space="preserve">alpha_PF</w:t>
      </w:r>
    </w:p>
    <w:p>
      <w:pPr>
        <w:pStyle w:val="BodyText"/>
      </w:pPr>
      <w:r>
        <w:t xml:space="preserve">adult perennial-first-year perennial competition</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experiment</w:t>
      </w:r>
    </w:p>
    <w:p>
      <w:pPr>
        <w:pStyle w:val="BodyText"/>
      </w:pPr>
      <w:r>
        <w:t xml:space="preserve">alpha_PP</w:t>
      </w:r>
    </w:p>
    <w:p>
      <w:pPr>
        <w:pStyle w:val="BodyText"/>
      </w:pPr>
      <w:r>
        <w:t xml:space="preserve">adult perennial-adult perennial competition</w:t>
      </w:r>
    </w:p>
    <w:p>
      <w:pPr>
        <w:pStyle w:val="BodyText"/>
      </w:pPr>
      <w:r>
        <w:t xml:space="preserve">0.164</w:t>
      </w:r>
    </w:p>
    <w:p>
      <w:pPr>
        <w:pStyle w:val="BodyText"/>
      </w:pPr>
      <w:r>
        <w:t xml:space="preserve">0.020</w:t>
      </w:r>
    </w:p>
    <w:p>
      <w:pPr>
        <w:pStyle w:val="BodyText"/>
      </w:pPr>
      <w:r>
        <w:t xml:space="preserve">0.298</w:t>
      </w:r>
    </w:p>
    <w:p>
      <w:pPr>
        <w:pStyle w:val="BodyText"/>
      </w:pPr>
      <w:r>
        <w:t xml:space="preserve">g</w:t>
      </w:r>
      <w:r>
        <w:rPr>
          <w:vertAlign w:val="superscript"/>
        </w:rPr>
        <w:t xml:space="preserve">-1</w:t>
      </w:r>
    </w:p>
    <w:p>
      <w:pPr>
        <w:pStyle w:val="BodyText"/>
      </w:pPr>
      <w:r>
        <w:t xml:space="preserve">experiment</w:t>
      </w:r>
    </w:p>
    <w:p>
      <w:pPr>
        <w:pStyle w:val="BodyText"/>
      </w:pPr>
      <w:r>
        <w:t xml:space="preserve">r_A</w:t>
      </w:r>
    </w:p>
    <w:p>
      <w:pPr>
        <w:pStyle w:val="BodyText"/>
      </w:pPr>
      <w:r>
        <w:t xml:space="preserve">annual growth rate</w:t>
      </w:r>
    </w:p>
    <w:p>
      <w:pPr>
        <w:pStyle w:val="BodyText"/>
      </w:pPr>
      <w:r>
        <w:t xml:space="preserve">0.017</w:t>
      </w:r>
    </w:p>
    <w:p>
      <w:pPr>
        <w:pStyle w:val="BodyText"/>
      </w:pPr>
      <w:r>
        <w:t xml:space="preserve">0.014</w:t>
      </w:r>
    </w:p>
    <w:p>
      <w:pPr>
        <w:pStyle w:val="BodyText"/>
      </w:pPr>
      <w:r>
        <w:t xml:space="preserve">0.020</w:t>
      </w:r>
    </w:p>
    <w:p>
      <w:pPr>
        <w:pStyle w:val="BodyText"/>
      </w:pPr>
      <w:r>
        <w:t xml:space="preserve">day</w:t>
      </w:r>
      <w:r>
        <w:rPr>
          <w:vertAlign w:val="superscript"/>
        </w:rPr>
        <w:t xml:space="preserve">-1</w:t>
      </w:r>
    </w:p>
    <w:p>
      <w:pPr>
        <w:pStyle w:val="BodyText"/>
      </w:pPr>
      <w:r>
        <w:t xml:space="preserve">experiment</w:t>
      </w:r>
    </w:p>
    <w:p>
      <w:pPr>
        <w:pStyle w:val="BodyText"/>
      </w:pPr>
      <w:r>
        <w:t xml:space="preserve">r_F</w:t>
      </w:r>
    </w:p>
    <w:p>
      <w:pPr>
        <w:pStyle w:val="BodyText"/>
      </w:pPr>
      <w:r>
        <w:t xml:space="preserve">perennial first-year growth rate</w:t>
      </w:r>
    </w:p>
    <w:p>
      <w:pPr>
        <w:pStyle w:val="BodyText"/>
      </w:pPr>
      <w:r>
        <w:t xml:space="preserve">0.003</w:t>
      </w:r>
    </w:p>
    <w:p>
      <w:pPr>
        <w:pStyle w:val="BodyText"/>
      </w:pPr>
      <w:r>
        <w:t xml:space="preserve">0.000</w:t>
      </w:r>
    </w:p>
    <w:p>
      <w:pPr>
        <w:pStyle w:val="BodyText"/>
      </w:pPr>
      <w:r>
        <w:t xml:space="preserve">0.006</w:t>
      </w:r>
    </w:p>
    <w:p>
      <w:pPr>
        <w:pStyle w:val="BodyText"/>
      </w:pPr>
      <w:r>
        <w:t xml:space="preserve">day</w:t>
      </w:r>
      <w:r>
        <w:rPr>
          <w:vertAlign w:val="superscript"/>
        </w:rPr>
        <w:t xml:space="preserve">-1</w:t>
      </w:r>
    </w:p>
    <w:p>
      <w:pPr>
        <w:pStyle w:val="BodyText"/>
      </w:pPr>
      <w:r>
        <w:t xml:space="preserve">experiment</w:t>
      </w:r>
    </w:p>
    <w:p>
      <w:pPr>
        <w:pStyle w:val="BodyText"/>
      </w:pPr>
      <w:r>
        <w:t xml:space="preserve">r_P</w:t>
      </w:r>
    </w:p>
    <w:p>
      <w:pPr>
        <w:pStyle w:val="BodyText"/>
      </w:pPr>
      <w:r>
        <w:t xml:space="preserve">perennial adult growth rate</w:t>
      </w:r>
    </w:p>
    <w:p>
      <w:pPr>
        <w:pStyle w:val="BodyText"/>
      </w:pPr>
      <w:r>
        <w:t xml:space="preserve">0.011</w:t>
      </w:r>
    </w:p>
    <w:p>
      <w:pPr>
        <w:pStyle w:val="BodyText"/>
      </w:pPr>
      <w:r>
        <w:t xml:space="preserve">0.007</w:t>
      </w:r>
    </w:p>
    <w:p>
      <w:pPr>
        <w:pStyle w:val="BodyText"/>
      </w:pPr>
      <w:r>
        <w:t xml:space="preserve">0.015</w:t>
      </w:r>
    </w:p>
    <w:p>
      <w:pPr>
        <w:pStyle w:val="BodyText"/>
      </w:pPr>
      <w:r>
        <w:t xml:space="preserve">day</w:t>
      </w:r>
      <w:r>
        <w:rPr>
          <w:vertAlign w:val="superscript"/>
        </w:rPr>
        <w:t xml:space="preserve">-1</w:t>
      </w:r>
    </w:p>
    <w:p>
      <w:pPr>
        <w:pStyle w:val="BodyText"/>
      </w:pPr>
      <w:r>
        <w:t xml:space="preserve">experiment</w:t>
      </w:r>
    </w:p>
    <w:p>
      <w:pPr>
        <w:pStyle w:val="BodyText"/>
      </w:pPr>
      <w:r>
        <w:t xml:space="preserve">beta_AA</w:t>
      </w:r>
    </w:p>
    <w:p>
      <w:pPr>
        <w:pStyle w:val="BodyText"/>
      </w:pPr>
      <w:r>
        <w:t xml:space="preserve">annual-annual transmission</w:t>
      </w:r>
    </w:p>
    <w:p>
      <w:pPr>
        <w:pStyle w:val="BodyText"/>
      </w:pPr>
      <w:r>
        <w:t xml:space="preserve">0.038</w:t>
      </w:r>
    </w:p>
    <w:p>
      <w:pPr>
        <w:pStyle w:val="BodyText"/>
      </w:pPr>
      <w:r>
        <w:t xml:space="preserve">0.012</w:t>
      </w:r>
    </w:p>
    <w:p>
      <w:pPr>
        <w:pStyle w:val="BodyText"/>
      </w:pPr>
      <w:r>
        <w:t xml:space="preserve">0.067</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beta_AF</w:t>
      </w:r>
    </w:p>
    <w:p>
      <w:pPr>
        <w:pStyle w:val="BodyText"/>
      </w:pPr>
      <w:r>
        <w:t xml:space="preserve">annual-first-year perennial transmission</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beta_AP</w:t>
      </w:r>
    </w:p>
    <w:p>
      <w:pPr>
        <w:pStyle w:val="BodyText"/>
      </w:pPr>
      <w:r>
        <w:t xml:space="preserve">annual-adult perennial transmission</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beta_FA</w:t>
      </w:r>
    </w:p>
    <w:p>
      <w:pPr>
        <w:pStyle w:val="BodyText"/>
      </w:pPr>
      <w:r>
        <w:t xml:space="preserve">first-year perennial-annual transmission</w:t>
      </w:r>
    </w:p>
    <w:p>
      <w:pPr>
        <w:pStyle w:val="BodyText"/>
      </w:pPr>
      <w:r>
        <w:t xml:space="preserve">0.068</w:t>
      </w:r>
    </w:p>
    <w:p>
      <w:pPr>
        <w:pStyle w:val="BodyText"/>
      </w:pPr>
      <w:r>
        <w:t xml:space="preserve">0.000</w:t>
      </w:r>
    </w:p>
    <w:p>
      <w:pPr>
        <w:pStyle w:val="BodyText"/>
      </w:pPr>
      <w:r>
        <w:t xml:space="preserve">0.135</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beta_FF</w:t>
      </w:r>
    </w:p>
    <w:p>
      <w:pPr>
        <w:pStyle w:val="BodyText"/>
      </w:pPr>
      <w:r>
        <w:t xml:space="preserve">first-year perennial-first-year perennial transmission</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beta_FP</w:t>
      </w:r>
    </w:p>
    <w:p>
      <w:pPr>
        <w:pStyle w:val="BodyText"/>
      </w:pPr>
      <w:r>
        <w:t xml:space="preserve">first-year perennial-adult perennial transmission</w:t>
      </w:r>
    </w:p>
    <w:p>
      <w:pPr>
        <w:pStyle w:val="BodyText"/>
      </w:pPr>
      <w:r>
        <w:t xml:space="preserve">0.034</w:t>
      </w:r>
    </w:p>
    <w:p>
      <w:pPr>
        <w:pStyle w:val="BodyText"/>
      </w:pPr>
      <w:r>
        <w:t xml:space="preserve">0.005</w:t>
      </w:r>
    </w:p>
    <w:p>
      <w:pPr>
        <w:pStyle w:val="BodyText"/>
      </w:pPr>
      <w:r>
        <w:t xml:space="preserve">0.063</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beta_PA</w:t>
      </w:r>
    </w:p>
    <w:p>
      <w:pPr>
        <w:pStyle w:val="BodyText"/>
      </w:pPr>
      <w:r>
        <w:t xml:space="preserve">adult perennial-annual transmission</w:t>
      </w:r>
    </w:p>
    <w:p>
      <w:pPr>
        <w:pStyle w:val="BodyText"/>
      </w:pPr>
      <w:r>
        <w:t xml:space="preserve">0.071</w:t>
      </w:r>
    </w:p>
    <w:p>
      <w:pPr>
        <w:pStyle w:val="BodyText"/>
      </w:pPr>
      <w:r>
        <w:t xml:space="preserve">0.034</w:t>
      </w:r>
    </w:p>
    <w:p>
      <w:pPr>
        <w:pStyle w:val="BodyText"/>
      </w:pPr>
      <w:r>
        <w:t xml:space="preserve">0.108</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beta_PF</w:t>
      </w:r>
    </w:p>
    <w:p>
      <w:pPr>
        <w:pStyle w:val="BodyText"/>
      </w:pPr>
      <w:r>
        <w:t xml:space="preserve">adult perennial-first-year perennial transmission</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beta_PP</w:t>
      </w:r>
    </w:p>
    <w:p>
      <w:pPr>
        <w:pStyle w:val="BodyText"/>
      </w:pPr>
      <w:r>
        <w:t xml:space="preserve">adult perennial-adult perennial transmission</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experiment</w:t>
      </w:r>
    </w:p>
    <w:p>
      <w:pPr>
        <w:pStyle w:val="BodyText"/>
      </w:pPr>
      <w:r>
        <w:t xml:space="preserve">p0</w:t>
      </w:r>
    </w:p>
    <w:p>
      <w:pPr>
        <w:pStyle w:val="BodyText"/>
      </w:pPr>
      <w:r>
        <w:t xml:space="preserve">seed infection parameter</w:t>
      </w:r>
    </w:p>
    <w:p>
      <w:pPr>
        <w:pStyle w:val="BodyText"/>
      </w:pPr>
      <w:r>
        <w:t xml:space="preserve">-2.914</w:t>
      </w:r>
    </w:p>
    <w:p>
      <w:pPr>
        <w:pStyle w:val="BodyText"/>
      </w:pPr>
      <w:r>
        <w:t xml:space="preserve">-3.199</w:t>
      </w:r>
    </w:p>
    <w:p>
      <w:pPr>
        <w:pStyle w:val="BodyText"/>
      </w:pPr>
      <w:r>
        <w:t xml:space="preserve">-2.647</w:t>
      </w:r>
    </w:p>
    <w:p>
      <w:pPr>
        <w:pStyle w:val="BodyText"/>
      </w:pPr>
      <w:r>
        <w:t xml:space="preserve">NA</w:t>
      </w:r>
    </w:p>
    <w:p>
      <w:pPr>
        <w:pStyle w:val="BodyText"/>
      </w:pPr>
      <w:r>
        <w:t xml:space="preserve">experiment</w:t>
      </w:r>
    </w:p>
    <w:p>
      <w:pPr>
        <w:pStyle w:val="BodyText"/>
      </w:pPr>
      <w:r>
        <w:t xml:space="preserve">p1</w:t>
      </w:r>
    </w:p>
    <w:p>
      <w:pPr>
        <w:pStyle w:val="BodyText"/>
      </w:pPr>
      <w:r>
        <w:t xml:space="preserve">seed infection parameter</w:t>
      </w:r>
    </w:p>
    <w:p>
      <w:pPr>
        <w:pStyle w:val="BodyText"/>
      </w:pPr>
      <w:r>
        <w:t xml:space="preserve">2.524</w:t>
      </w:r>
    </w:p>
    <w:p>
      <w:pPr>
        <w:pStyle w:val="BodyText"/>
      </w:pPr>
      <w:r>
        <w:t xml:space="preserve">1.184</w:t>
      </w:r>
    </w:p>
    <w:p>
      <w:pPr>
        <w:pStyle w:val="BodyText"/>
      </w:pPr>
      <w:r>
        <w:t xml:space="preserve">3.863</w:t>
      </w:r>
    </w:p>
    <w:p>
      <w:pPr>
        <w:pStyle w:val="BodyText"/>
      </w:pPr>
      <w:r>
        <w:t xml:space="preserve">NA</w:t>
      </w:r>
    </w:p>
    <w:p>
      <w:pPr>
        <w:pStyle w:val="BodyText"/>
      </w:pPr>
      <w:r>
        <w:t xml:space="preserve">experiment</w:t>
      </w:r>
    </w:p>
    <w:p>
      <w:pPr>
        <w:pStyle w:val="BodyText"/>
      </w:pPr>
      <w:r>
        <w:t xml:space="preserve">g_I</w:t>
      </w:r>
    </w:p>
    <w:p>
      <w:pPr>
        <w:pStyle w:val="BodyText"/>
      </w:pPr>
      <w:r>
        <w:t xml:space="preserve">infected annual germination fraction</w:t>
      </w:r>
    </w:p>
    <w:p>
      <w:pPr>
        <w:pStyle w:val="BodyText"/>
      </w:pPr>
      <w:r>
        <w:t xml:space="preserve">0.316</w:t>
      </w:r>
    </w:p>
    <w:p>
      <w:pPr>
        <w:pStyle w:val="BodyText"/>
      </w:pPr>
      <w:r>
        <w:t xml:space="preserve">0.182</w:t>
      </w:r>
    </w:p>
    <w:p>
      <w:pPr>
        <w:pStyle w:val="BodyText"/>
      </w:pPr>
      <w:r>
        <w:t xml:space="preserve">0.458</w:t>
      </w:r>
    </w:p>
    <w:p>
      <w:pPr>
        <w:pStyle w:val="BodyText"/>
      </w:pPr>
      <w:r>
        <w:t xml:space="preserve">NA</w:t>
      </w:r>
    </w:p>
    <w:p>
      <w:pPr>
        <w:pStyle w:val="BodyText"/>
      </w:pPr>
      <w:r>
        <w:t xml:space="preserve">experiment</w:t>
      </w:r>
    </w:p>
    <w:p>
      <w:pPr>
        <w:pStyle w:val="BodyText"/>
      </w:pPr>
      <w:r>
        <w:t xml:space="preserve">g_S</w:t>
      </w:r>
    </w:p>
    <w:p>
      <w:pPr>
        <w:pStyle w:val="BodyText"/>
      </w:pPr>
      <w:r>
        <w:t xml:space="preserve">susceptible annual germination fraction</w:t>
      </w:r>
    </w:p>
    <w:p>
      <w:pPr>
        <w:pStyle w:val="BodyText"/>
      </w:pPr>
      <w:r>
        <w:t xml:space="preserve">0.767</w:t>
      </w:r>
    </w:p>
    <w:p>
      <w:pPr>
        <w:pStyle w:val="BodyText"/>
      </w:pPr>
      <w:r>
        <w:t xml:space="preserve">0.733</w:t>
      </w:r>
    </w:p>
    <w:p>
      <w:pPr>
        <w:pStyle w:val="BodyText"/>
      </w:pPr>
      <w:r>
        <w:t xml:space="preserve">0.800</w:t>
      </w:r>
    </w:p>
    <w:p>
      <w:pPr>
        <w:pStyle w:val="BodyText"/>
      </w:pPr>
      <w:r>
        <w:t xml:space="preserve">NA</w:t>
      </w:r>
    </w:p>
    <w:p>
      <w:pPr>
        <w:pStyle w:val="BodyText"/>
      </w:pPr>
      <w:r>
        <w:t xml:space="preserve">experiment</w:t>
      </w:r>
    </w:p>
    <w:p>
      <w:pPr>
        <w:pStyle w:val="BodyText"/>
      </w:pPr>
      <w:r>
        <w:t xml:space="preserve">g_P</w:t>
      </w:r>
    </w:p>
    <w:p>
      <w:pPr>
        <w:pStyle w:val="BodyText"/>
      </w:pPr>
      <w:r>
        <w:t xml:space="preserve">perennial germination fraction</w:t>
      </w:r>
    </w:p>
    <w:p>
      <w:pPr>
        <w:pStyle w:val="BodyText"/>
      </w:pPr>
      <w:r>
        <w:t xml:space="preserve">0.240</w:t>
      </w:r>
    </w:p>
    <w:p>
      <w:pPr>
        <w:pStyle w:val="BodyText"/>
      </w:pPr>
      <w:r>
        <w:t xml:space="preserve">0.035</w:t>
      </w:r>
    </w:p>
    <w:p>
      <w:pPr>
        <w:pStyle w:val="BodyText"/>
      </w:pPr>
      <w:r>
        <w:t xml:space="preserve">0.440</w:t>
      </w:r>
    </w:p>
    <w:p>
      <w:pPr>
        <w:pStyle w:val="BodyText"/>
      </w:pPr>
      <w:r>
        <w:t xml:space="preserve">NA</w:t>
      </w:r>
    </w:p>
    <w:p>
      <w:pPr>
        <w:pStyle w:val="BodyText"/>
      </w:pPr>
      <w:r>
        <w:t xml:space="preserve">experiment</w:t>
      </w:r>
    </w:p>
    <w:p>
      <w:pPr>
        <w:pStyle w:val="BodyText"/>
      </w:pPr>
      <w:r>
        <w:t xml:space="preserve">c_A</w:t>
      </w:r>
    </w:p>
    <w:p>
      <w:pPr>
        <w:pStyle w:val="BodyText"/>
      </w:pPr>
      <w:r>
        <w:t xml:space="preserve">annual seed conversion</w:t>
      </w:r>
    </w:p>
    <w:p>
      <w:pPr>
        <w:pStyle w:val="BodyText"/>
      </w:pPr>
      <w:r>
        <w:t xml:space="preserve">76.912</w:t>
      </w:r>
    </w:p>
    <w:p>
      <w:pPr>
        <w:pStyle w:val="BodyText"/>
      </w:pPr>
      <w:r>
        <w:t xml:space="preserve">69.191</w:t>
      </w:r>
    </w:p>
    <w:p>
      <w:pPr>
        <w:pStyle w:val="BodyText"/>
      </w:pPr>
      <w:r>
        <w:t xml:space="preserve">84.425</w:t>
      </w:r>
    </w:p>
    <w:p>
      <w:pPr>
        <w:pStyle w:val="BodyText"/>
      </w:pPr>
      <w:r>
        <w:t xml:space="preserve">seeds g</w:t>
      </w:r>
      <w:r>
        <w:rPr>
          <w:vertAlign w:val="superscript"/>
        </w:rPr>
        <w:t xml:space="preserve">-1</w:t>
      </w:r>
    </w:p>
    <w:p>
      <w:pPr>
        <w:pStyle w:val="BodyText"/>
      </w:pPr>
      <w:r>
        <w:t xml:space="preserve">experiment</w:t>
      </w:r>
    </w:p>
    <w:p>
      <w:pPr>
        <w:pStyle w:val="BodyText"/>
      </w:pPr>
      <w:r>
        <w:t xml:space="preserve">c_F</w:t>
      </w:r>
    </w:p>
    <w:p>
      <w:pPr>
        <w:pStyle w:val="BodyText"/>
      </w:pPr>
      <w:r>
        <w:t xml:space="preserve">first-year perennial seed conversion</w:t>
      </w:r>
    </w:p>
    <w:p>
      <w:pPr>
        <w:pStyle w:val="BodyText"/>
      </w:pPr>
      <w:r>
        <w:t xml:space="preserve">8.476</w:t>
      </w:r>
    </w:p>
    <w:p>
      <w:pPr>
        <w:pStyle w:val="BodyText"/>
      </w:pPr>
      <w:r>
        <w:t xml:space="preserve">6.997</w:t>
      </w:r>
    </w:p>
    <w:p>
      <w:pPr>
        <w:pStyle w:val="BodyText"/>
      </w:pPr>
      <w:r>
        <w:t xml:space="preserve">10.000</w:t>
      </w:r>
    </w:p>
    <w:p>
      <w:pPr>
        <w:pStyle w:val="BodyText"/>
      </w:pPr>
      <w:r>
        <w:t xml:space="preserve">seeds g</w:t>
      </w:r>
      <w:r>
        <w:rPr>
          <w:vertAlign w:val="superscript"/>
        </w:rPr>
        <w:t xml:space="preserve">-1</w:t>
      </w:r>
    </w:p>
    <w:p>
      <w:pPr>
        <w:pStyle w:val="BodyText"/>
      </w:pPr>
      <w:r>
        <w:t xml:space="preserve">experiment</w:t>
      </w:r>
    </w:p>
    <w:p>
      <w:pPr>
        <w:pStyle w:val="BodyText"/>
      </w:pPr>
      <w:r>
        <w:t xml:space="preserve">c_P</w:t>
      </w:r>
    </w:p>
    <w:p>
      <w:pPr>
        <w:pStyle w:val="BodyText"/>
      </w:pPr>
      <w:r>
        <w:t xml:space="preserve">adult perennial seed conversion</w:t>
      </w:r>
    </w:p>
    <w:p>
      <w:pPr>
        <w:pStyle w:val="BodyText"/>
      </w:pPr>
      <w:r>
        <w:t xml:space="preserve">19.084</w:t>
      </w:r>
    </w:p>
    <w:p>
      <w:pPr>
        <w:pStyle w:val="BodyText"/>
      </w:pPr>
      <w:r>
        <w:t xml:space="preserve">16.209</w:t>
      </w:r>
    </w:p>
    <w:p>
      <w:pPr>
        <w:pStyle w:val="BodyText"/>
      </w:pPr>
      <w:r>
        <w:t xml:space="preserve">21.981</w:t>
      </w:r>
    </w:p>
    <w:p>
      <w:pPr>
        <w:pStyle w:val="BodyText"/>
      </w:pPr>
      <w:r>
        <w:t xml:space="preserve">seeds g</w:t>
      </w:r>
      <w:r>
        <w:rPr>
          <w:vertAlign w:val="superscript"/>
        </w:rPr>
        <w:t xml:space="preserve">-1</w:t>
      </w:r>
    </w:p>
    <w:p>
      <w:pPr>
        <w:pStyle w:val="BodyText"/>
      </w:pPr>
      <w:r>
        <w:t xml:space="preserve">experiment</w:t>
      </w:r>
    </w:p>
    <w:p>
      <w:pPr>
        <w:pStyle w:val="BodyText"/>
      </w:pPr>
      <w:r>
        <w:t xml:space="preserve">e_A</w:t>
      </w:r>
    </w:p>
    <w:p>
      <w:pPr>
        <w:pStyle w:val="BodyText"/>
      </w:pPr>
      <w:r>
        <w:t xml:space="preserve">annual establishment fraction</w:t>
      </w:r>
    </w:p>
    <w:p>
      <w:pPr>
        <w:pStyle w:val="BodyText"/>
      </w:pPr>
      <w:r>
        <w:t xml:space="preserve">0.949</w:t>
      </w:r>
    </w:p>
    <w:p>
      <w:pPr>
        <w:pStyle w:val="BodyText"/>
      </w:pPr>
      <w:r>
        <w:t xml:space="preserve">0.914</w:t>
      </w:r>
    </w:p>
    <w:p>
      <w:pPr>
        <w:pStyle w:val="BodyText"/>
      </w:pPr>
      <w:r>
        <w:t xml:space="preserve">0.981</w:t>
      </w:r>
    </w:p>
    <w:p>
      <w:pPr>
        <w:pStyle w:val="BodyText"/>
      </w:pPr>
      <w:r>
        <w:t xml:space="preserve">NA</w:t>
      </w:r>
    </w:p>
    <w:p>
      <w:pPr>
        <w:pStyle w:val="BodyText"/>
      </w:pPr>
      <w:r>
        <w:t xml:space="preserve">experiment</w:t>
      </w:r>
    </w:p>
    <w:p>
      <w:pPr>
        <w:pStyle w:val="BodyText"/>
      </w:pPr>
      <w:r>
        <w:t xml:space="preserve">e_P</w:t>
      </w:r>
    </w:p>
    <w:p>
      <w:pPr>
        <w:pStyle w:val="BodyText"/>
      </w:pPr>
      <w:r>
        <w:t xml:space="preserve">perennial establishment fraction</w:t>
      </w:r>
    </w:p>
    <w:p>
      <w:pPr>
        <w:pStyle w:val="BodyText"/>
      </w:pPr>
      <w:r>
        <w:t xml:space="preserve">0.553</w:t>
      </w:r>
    </w:p>
    <w:p>
      <w:pPr>
        <w:pStyle w:val="BodyText"/>
      </w:pPr>
      <w:r>
        <w:t xml:space="preserve">0.407</w:t>
      </w:r>
    </w:p>
    <w:p>
      <w:pPr>
        <w:pStyle w:val="BodyText"/>
      </w:pPr>
      <w:r>
        <w:t xml:space="preserve">0.696</w:t>
      </w:r>
    </w:p>
    <w:p>
      <w:pPr>
        <w:pStyle w:val="BodyText"/>
      </w:pPr>
      <w:r>
        <w:t xml:space="preserve">NA</w:t>
      </w:r>
    </w:p>
    <w:p>
      <w:pPr>
        <w:pStyle w:val="BodyText"/>
      </w:pPr>
      <w:r>
        <w:t xml:space="preserve">experiment</w:t>
      </w:r>
    </w:p>
    <w:p>
      <w:pPr>
        <w:pStyle w:val="BodyText"/>
      </w:pPr>
      <w:r>
        <w:t xml:space="preserve">l_P</w:t>
      </w:r>
    </w:p>
    <w:p>
      <w:pPr>
        <w:pStyle w:val="BodyText"/>
      </w:pPr>
      <w:r>
        <w:t xml:space="preserve">adult perennial survival fraction</w:t>
      </w:r>
    </w:p>
    <w:p>
      <w:pPr>
        <w:pStyle w:val="BodyText"/>
      </w:pPr>
      <w:r>
        <w:t xml:space="preserve">0.876</w:t>
      </w:r>
    </w:p>
    <w:p>
      <w:pPr>
        <w:pStyle w:val="BodyText"/>
      </w:pPr>
      <w:r>
        <w:t xml:space="preserve">0.620</w:t>
      </w:r>
    </w:p>
    <w:p>
      <w:pPr>
        <w:pStyle w:val="BodyText"/>
      </w:pPr>
      <w:r>
        <w:t xml:space="preserve">0.983</w:t>
      </w:r>
    </w:p>
    <w:p>
      <w:pPr>
        <w:pStyle w:val="BodyText"/>
      </w:pPr>
      <w:r>
        <w:t xml:space="preserve">NA</w:t>
      </w:r>
    </w:p>
    <w:p>
      <w:pPr>
        <w:pStyle w:val="BodyText"/>
      </w:pPr>
      <w:r>
        <w:t xml:space="preserve">experiment</w:t>
      </w:r>
    </w:p>
    <w:p>
      <w:pPr>
        <w:pStyle w:val="BodyText"/>
      </w:pPr>
      <w:r>
        <w:t xml:space="preserve">w_F</w:t>
      </w:r>
    </w:p>
    <w:p>
      <w:pPr>
        <w:pStyle w:val="BodyText"/>
      </w:pPr>
      <w:r>
        <w:t xml:space="preserve">first-year perennial non-growing season survival fraction</w:t>
      </w:r>
    </w:p>
    <w:p>
      <w:pPr>
        <w:pStyle w:val="BodyText"/>
      </w:pPr>
      <w:r>
        <w:t xml:space="preserve">0.902</w:t>
      </w:r>
    </w:p>
    <w:p>
      <w:pPr>
        <w:pStyle w:val="BodyText"/>
      </w:pPr>
      <w:r>
        <w:t xml:space="preserve">0.832</w:t>
      </w:r>
    </w:p>
    <w:p>
      <w:pPr>
        <w:pStyle w:val="BodyText"/>
      </w:pPr>
      <w:r>
        <w:t xml:space="preserve">0.963</w:t>
      </w:r>
    </w:p>
    <w:p>
      <w:pPr>
        <w:pStyle w:val="BodyText"/>
      </w:pPr>
      <w:r>
        <w:t xml:space="preserve">NA</w:t>
      </w:r>
    </w:p>
    <w:p>
      <w:pPr>
        <w:pStyle w:val="BodyText"/>
      </w:pPr>
      <w:r>
        <w:t xml:space="preserve">experiment</w:t>
      </w:r>
    </w:p>
    <w:p>
      <w:pPr>
        <w:pStyle w:val="BodyText"/>
      </w:pPr>
      <w:r>
        <w:t xml:space="preserve">b_A</w:t>
      </w:r>
    </w:p>
    <w:p>
      <w:pPr>
        <w:pStyle w:val="BodyText"/>
      </w:pPr>
      <w:r>
        <w:t xml:space="preserve">annual initial biomass</w:t>
      </w:r>
    </w:p>
    <w:p>
      <w:pPr>
        <w:pStyle w:val="BodyText"/>
      </w:pPr>
      <w:r>
        <w:t xml:space="preserve">0.031</w:t>
      </w:r>
    </w:p>
    <w:p>
      <w:pPr>
        <w:pStyle w:val="BodyText"/>
      </w:pPr>
      <w:r>
        <w:t xml:space="preserve">NA</w:t>
      </w:r>
    </w:p>
    <w:p>
      <w:pPr>
        <w:pStyle w:val="BodyText"/>
      </w:pPr>
      <w:r>
        <w:t xml:space="preserve">NA</w:t>
      </w:r>
    </w:p>
    <w:p>
      <w:pPr>
        <w:pStyle w:val="BodyText"/>
      </w:pPr>
      <w:r>
        <w:t xml:space="preserve">g</w:t>
      </w:r>
    </w:p>
    <w:p>
      <w:pPr>
        <w:pStyle w:val="BodyText"/>
      </w:pPr>
      <w:r>
        <w:t xml:space="preserve">experiment</w:t>
      </w:r>
    </w:p>
    <w:p>
      <w:pPr>
        <w:pStyle w:val="BodyText"/>
      </w:pPr>
      <w:r>
        <w:t xml:space="preserve">b_F</w:t>
      </w:r>
    </w:p>
    <w:p>
      <w:pPr>
        <w:pStyle w:val="BodyText"/>
      </w:pPr>
      <w:r>
        <w:t xml:space="preserve">first-year perennial initial biomass</w:t>
      </w:r>
    </w:p>
    <w:p>
      <w:pPr>
        <w:pStyle w:val="BodyText"/>
      </w:pPr>
      <w:r>
        <w:t xml:space="preserve">0.004</w:t>
      </w:r>
    </w:p>
    <w:p>
      <w:pPr>
        <w:pStyle w:val="BodyText"/>
      </w:pPr>
      <w:r>
        <w:t xml:space="preserve">NA</w:t>
      </w:r>
    </w:p>
    <w:p>
      <w:pPr>
        <w:pStyle w:val="BodyText"/>
      </w:pPr>
      <w:r>
        <w:t xml:space="preserve">NA</w:t>
      </w:r>
    </w:p>
    <w:p>
      <w:pPr>
        <w:pStyle w:val="BodyText"/>
      </w:pPr>
      <w:r>
        <w:t xml:space="preserve">g</w:t>
      </w:r>
    </w:p>
    <w:p>
      <w:pPr>
        <w:pStyle w:val="BodyText"/>
      </w:pPr>
      <w:r>
        <w:t xml:space="preserve">experiment</w:t>
      </w:r>
    </w:p>
    <w:p>
      <w:pPr>
        <w:pStyle w:val="BodyText"/>
      </w:pPr>
      <w:r>
        <w:t xml:space="preserve">b_P</w:t>
      </w:r>
    </w:p>
    <w:p>
      <w:pPr>
        <w:pStyle w:val="BodyText"/>
      </w:pPr>
      <w:r>
        <w:t xml:space="preserve">adult perennial initial biomass</w:t>
      </w:r>
    </w:p>
    <w:p>
      <w:pPr>
        <w:pStyle w:val="BodyText"/>
      </w:pPr>
      <w:r>
        <w:t xml:space="preserve">0.031</w:t>
      </w:r>
    </w:p>
    <w:p>
      <w:pPr>
        <w:pStyle w:val="BodyText"/>
      </w:pPr>
      <w:r>
        <w:t xml:space="preserve">NA</w:t>
      </w:r>
    </w:p>
    <w:p>
      <w:pPr>
        <w:pStyle w:val="BodyText"/>
      </w:pPr>
      <w:r>
        <w:t xml:space="preserve">NA</w:t>
      </w:r>
    </w:p>
    <w:p>
      <w:pPr>
        <w:pStyle w:val="BodyText"/>
      </w:pPr>
      <w:r>
        <w:t xml:space="preserve">g</w:t>
      </w:r>
    </w:p>
    <w:p>
      <w:pPr>
        <w:pStyle w:val="BodyText"/>
      </w:pPr>
      <w:r>
        <w:t xml:space="preserve">experiment</w:t>
      </w:r>
    </w:p>
    <w:p>
      <w:pPr>
        <w:pStyle w:val="BodyText"/>
      </w:pPr>
      <w:r>
        <w:t xml:space="preserve">beta_Al</w:t>
      </w:r>
    </w:p>
    <w:p>
      <w:pPr>
        <w:pStyle w:val="BodyText"/>
      </w:pPr>
      <w:r>
        <w:t xml:space="preserve">litter transmission to annuals</w:t>
      </w:r>
    </w:p>
    <w:p>
      <w:pPr>
        <w:pStyle w:val="BodyText"/>
      </w:pPr>
      <w:r>
        <w:t xml:space="preserve">0.010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NA</w:t>
      </w:r>
    </w:p>
    <w:p>
      <w:pPr>
        <w:pStyle w:val="BodyText"/>
      </w:pPr>
      <w:r>
        <w:t xml:space="preserve">beta_Fl</w:t>
      </w:r>
    </w:p>
    <w:p>
      <w:pPr>
        <w:pStyle w:val="BodyText"/>
      </w:pPr>
      <w:r>
        <w:t xml:space="preserve">litter transmission to first-year perennials</w:t>
      </w:r>
    </w:p>
    <w:p>
      <w:pPr>
        <w:pStyle w:val="BodyText"/>
      </w:pPr>
      <w:r>
        <w:t xml:space="preserve">0.010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NA</w:t>
      </w:r>
    </w:p>
    <w:p>
      <w:pPr>
        <w:pStyle w:val="BodyText"/>
      </w:pPr>
      <w:r>
        <w:t xml:space="preserve">beta_Pl</w:t>
      </w:r>
    </w:p>
    <w:p>
      <w:pPr>
        <w:pStyle w:val="BodyText"/>
      </w:pPr>
      <w:r>
        <w:t xml:space="preserve">litter transmission to adult perennials</w:t>
      </w:r>
    </w:p>
    <w:p>
      <w:pPr>
        <w:pStyle w:val="BodyText"/>
      </w:pPr>
      <w:r>
        <w:t xml:space="preserve">0.010</w:t>
      </w:r>
    </w:p>
    <w:p>
      <w:pPr>
        <w:pStyle w:val="BodyText"/>
      </w:pPr>
      <w:r>
        <w:t xml:space="preserve">NA</w:t>
      </w:r>
    </w:p>
    <w:p>
      <w:pPr>
        <w:pStyle w:val="BodyText"/>
      </w:pPr>
      <w:r>
        <w:t xml:space="preserve">NA</w:t>
      </w:r>
    </w:p>
    <w:p>
      <w:pPr>
        <w:pStyle w:val="BodyText"/>
      </w:pPr>
      <w:r>
        <w:t xml:space="preserve">day</w:t>
      </w:r>
      <w:r>
        <w:rPr>
          <w:vertAlign w:val="superscript"/>
        </w:rPr>
        <w:t xml:space="preserve">-1</w:t>
      </w:r>
      <w:r>
        <w:t xml:space="preserve"> </w:t>
      </w:r>
      <w:r>
        <w:t xml:space="preserve">g</w:t>
      </w:r>
      <w:r>
        <w:rPr>
          <w:vertAlign w:val="superscript"/>
        </w:rPr>
        <w:t xml:space="preserve">-1</w:t>
      </w:r>
    </w:p>
    <w:p>
      <w:pPr>
        <w:pStyle w:val="BodyText"/>
      </w:pPr>
      <w:r>
        <w:t xml:space="preserve">NA</w:t>
      </w:r>
    </w:p>
    <w:p>
      <w:pPr>
        <w:pStyle w:val="BodyText"/>
      </w:pPr>
      <w:r>
        <w:t xml:space="preserve">k_A</w:t>
      </w:r>
    </w:p>
    <w:p>
      <w:pPr>
        <w:pStyle w:val="BodyText"/>
      </w:pPr>
      <w:r>
        <w:t xml:space="preserve">transmission saturation constant for annuals</w:t>
      </w:r>
    </w:p>
    <w:p>
      <w:pPr>
        <w:pStyle w:val="BodyText"/>
      </w:pPr>
      <w:r>
        <w:t xml:space="preserve">10.000</w:t>
      </w:r>
    </w:p>
    <w:p>
      <w:pPr>
        <w:pStyle w:val="BodyText"/>
      </w:pPr>
      <w:r>
        <w:t xml:space="preserve">NA</w:t>
      </w:r>
    </w:p>
    <w:p>
      <w:pPr>
        <w:pStyle w:val="BodyText"/>
      </w:pPr>
      <w:r>
        <w:t xml:space="preserve">NA</w:t>
      </w:r>
    </w:p>
    <w:p>
      <w:pPr>
        <w:pStyle w:val="BodyText"/>
      </w:pPr>
      <w:r>
        <w:t xml:space="preserve">g</w:t>
      </w:r>
    </w:p>
    <w:p>
      <w:pPr>
        <w:pStyle w:val="BodyText"/>
      </w:pPr>
      <w:r>
        <w:t xml:space="preserve">NA</w:t>
      </w:r>
    </w:p>
    <w:p>
      <w:pPr>
        <w:pStyle w:val="BodyText"/>
      </w:pPr>
      <w:r>
        <w:t xml:space="preserve">k_F</w:t>
      </w:r>
    </w:p>
    <w:p>
      <w:pPr>
        <w:pStyle w:val="BodyText"/>
      </w:pPr>
      <w:r>
        <w:t xml:space="preserve">transmission saturation constant for first-year perennials</w:t>
      </w:r>
    </w:p>
    <w:p>
      <w:pPr>
        <w:pStyle w:val="BodyText"/>
      </w:pPr>
      <w:r>
        <w:t xml:space="preserve">10.000</w:t>
      </w:r>
    </w:p>
    <w:p>
      <w:pPr>
        <w:pStyle w:val="BodyText"/>
      </w:pPr>
      <w:r>
        <w:t xml:space="preserve">NA</w:t>
      </w:r>
    </w:p>
    <w:p>
      <w:pPr>
        <w:pStyle w:val="BodyText"/>
      </w:pPr>
      <w:r>
        <w:t xml:space="preserve">NA</w:t>
      </w:r>
    </w:p>
    <w:p>
      <w:pPr>
        <w:pStyle w:val="BodyText"/>
      </w:pPr>
      <w:r>
        <w:t xml:space="preserve">g</w:t>
      </w:r>
    </w:p>
    <w:p>
      <w:pPr>
        <w:pStyle w:val="BodyText"/>
      </w:pPr>
      <w:r>
        <w:t xml:space="preserve">NA</w:t>
      </w:r>
    </w:p>
    <w:p>
      <w:pPr>
        <w:pStyle w:val="BodyText"/>
      </w:pPr>
      <w:r>
        <w:t xml:space="preserve">k_P</w:t>
      </w:r>
    </w:p>
    <w:p>
      <w:pPr>
        <w:pStyle w:val="BodyText"/>
      </w:pPr>
      <w:r>
        <w:t xml:space="preserve">transmission saturation constant for adult perennials</w:t>
      </w:r>
    </w:p>
    <w:p>
      <w:pPr>
        <w:pStyle w:val="BodyText"/>
      </w:pPr>
      <w:r>
        <w:t xml:space="preserve">10.000</w:t>
      </w:r>
    </w:p>
    <w:p>
      <w:pPr>
        <w:pStyle w:val="BodyText"/>
      </w:pPr>
      <w:r>
        <w:t xml:space="preserve">NA</w:t>
      </w:r>
    </w:p>
    <w:p>
      <w:pPr>
        <w:pStyle w:val="BodyText"/>
      </w:pPr>
      <w:r>
        <w:t xml:space="preserve">NA</w:t>
      </w:r>
    </w:p>
    <w:p>
      <w:pPr>
        <w:pStyle w:val="BodyText"/>
      </w:pPr>
      <w:r>
        <w:t xml:space="preserve">g</w:t>
      </w:r>
    </w:p>
    <w:p>
      <w:pPr>
        <w:pStyle w:val="BodyText"/>
      </w:pPr>
      <w:r>
        <w:t xml:space="preserve">NA</w:t>
      </w:r>
    </w:p>
    <w:p>
      <w:pPr>
        <w:pStyle w:val="BodyText"/>
      </w:pPr>
      <w:r>
        <w:t xml:space="preserve">v_A</w:t>
      </w:r>
    </w:p>
    <w:p>
      <w:pPr>
        <w:pStyle w:val="BodyText"/>
      </w:pPr>
      <w:r>
        <w:t xml:space="preserve">annual infected tissue loss</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p>
    <w:p>
      <w:pPr>
        <w:pStyle w:val="BodyText"/>
      </w:pPr>
      <w:r>
        <w:t xml:space="preserve">NA</w:t>
      </w:r>
    </w:p>
    <w:p>
      <w:pPr>
        <w:pStyle w:val="BodyText"/>
      </w:pPr>
      <w:r>
        <w:t xml:space="preserve">v_F</w:t>
      </w:r>
    </w:p>
    <w:p>
      <w:pPr>
        <w:pStyle w:val="BodyText"/>
      </w:pPr>
      <w:r>
        <w:t xml:space="preserve">perennial first-year infected tissue loss</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p>
    <w:p>
      <w:pPr>
        <w:pStyle w:val="BodyText"/>
      </w:pPr>
      <w:r>
        <w:t xml:space="preserve">NA</w:t>
      </w:r>
    </w:p>
    <w:p>
      <w:pPr>
        <w:pStyle w:val="BodyText"/>
      </w:pPr>
      <w:r>
        <w:t xml:space="preserve">v_P</w:t>
      </w:r>
    </w:p>
    <w:p>
      <w:pPr>
        <w:pStyle w:val="BodyText"/>
      </w:pPr>
      <w:r>
        <w:t xml:space="preserve">perennial adult infected tissue loss</w:t>
      </w:r>
    </w:p>
    <w:p>
      <w:pPr>
        <w:pStyle w:val="BodyText"/>
      </w:pPr>
      <w:r>
        <w:t xml:space="preserve">0.000</w:t>
      </w:r>
    </w:p>
    <w:p>
      <w:pPr>
        <w:pStyle w:val="BodyText"/>
      </w:pPr>
      <w:r>
        <w:t xml:space="preserve">NA</w:t>
      </w:r>
    </w:p>
    <w:p>
      <w:pPr>
        <w:pStyle w:val="BodyText"/>
      </w:pPr>
      <w:r>
        <w:t xml:space="preserve">NA</w:t>
      </w:r>
    </w:p>
    <w:p>
      <w:pPr>
        <w:pStyle w:val="BodyText"/>
      </w:pPr>
      <w:r>
        <w:t xml:space="preserve">day</w:t>
      </w:r>
      <w:r>
        <w:rPr>
          <w:vertAlign w:val="superscript"/>
        </w:rPr>
        <w:t xml:space="preserve">-1</w:t>
      </w:r>
    </w:p>
    <w:p>
      <w:pPr>
        <w:pStyle w:val="BodyText"/>
      </w:pPr>
      <w:r>
        <w:t xml:space="preserve">NA</w:t>
      </w:r>
    </w:p>
    <w:p>
      <w:pPr>
        <w:pStyle w:val="BodyText"/>
      </w:pPr>
      <w:r>
        <w:t xml:space="preserve">h</w:t>
      </w:r>
    </w:p>
    <w:p>
      <w:pPr>
        <w:pStyle w:val="BodyText"/>
      </w:pPr>
      <w:r>
        <w:t xml:space="preserve">inoculum loss from litter</w:t>
      </w:r>
    </w:p>
    <w:p>
      <w:pPr>
        <w:pStyle w:val="BodyText"/>
      </w:pPr>
      <w:r>
        <w:t xml:space="preserve">0.100</w:t>
      </w:r>
    </w:p>
    <w:p>
      <w:pPr>
        <w:pStyle w:val="BodyText"/>
      </w:pPr>
      <w:r>
        <w:t xml:space="preserve">NA</w:t>
      </w:r>
    </w:p>
    <w:p>
      <w:pPr>
        <w:pStyle w:val="BodyText"/>
      </w:pPr>
      <w:r>
        <w:t xml:space="preserve">NA</w:t>
      </w:r>
    </w:p>
    <w:p>
      <w:pPr>
        <w:pStyle w:val="BodyText"/>
      </w:pPr>
      <w:r>
        <w:t xml:space="preserve">day</w:t>
      </w:r>
      <w:r>
        <w:rPr>
          <w:vertAlign w:val="superscript"/>
        </w:rPr>
        <w:t xml:space="preserve">-1</w:t>
      </w:r>
    </w:p>
    <w:p>
      <w:pPr>
        <w:pStyle w:val="BodyText"/>
      </w:pPr>
      <w:r>
        <w:t xml:space="preserve">NA</w:t>
      </w:r>
    </w:p>
    <w:p>
      <w:pPr>
        <w:pStyle w:val="BodyText"/>
      </w:pPr>
      <w:r>
        <w:t xml:space="preserve">s_A</w:t>
      </w:r>
    </w:p>
    <w:p>
      <w:pPr>
        <w:pStyle w:val="BodyText"/>
      </w:pPr>
      <w:r>
        <w:t xml:space="preserve">annual surviving seed fraction</w:t>
      </w:r>
    </w:p>
    <w:p>
      <w:pPr>
        <w:pStyle w:val="BodyText"/>
      </w:pPr>
      <w:r>
        <w:t xml:space="preserve">0.150</w:t>
      </w:r>
    </w:p>
    <w:p>
      <w:pPr>
        <w:pStyle w:val="BodyText"/>
      </w:pPr>
      <w:r>
        <w:t xml:space="preserve">NA</w:t>
      </w:r>
    </w:p>
    <w:p>
      <w:pPr>
        <w:pStyle w:val="BodyText"/>
      </w:pPr>
      <w:r>
        <w:t xml:space="preserve">NA</w:t>
      </w:r>
    </w:p>
    <w:p>
      <w:pPr>
        <w:pStyle w:val="BodyText"/>
      </w:pPr>
      <w:r>
        <w:t xml:space="preserve">NA</w:t>
      </w:r>
    </w:p>
    <w:p>
      <w:pPr>
        <w:pStyle w:val="BodyText"/>
      </w:pPr>
      <w:r>
        <w:t xml:space="preserve">Redwood et al. 2018</w:t>
      </w:r>
    </w:p>
    <w:p>
      <w:pPr>
        <w:pStyle w:val="BodyText"/>
      </w:pPr>
      <w:r>
        <w:t xml:space="preserve">s_P</w:t>
      </w:r>
    </w:p>
    <w:p>
      <w:pPr>
        <w:pStyle w:val="BodyText"/>
      </w:pPr>
      <w:r>
        <w:t xml:space="preserve">perennial surviving seed fraction</w:t>
      </w:r>
    </w:p>
    <w:p>
      <w:pPr>
        <w:pStyle w:val="BodyText"/>
      </w:pPr>
      <w:r>
        <w:t xml:space="preserve">0.050</w:t>
      </w:r>
    </w:p>
    <w:p>
      <w:pPr>
        <w:pStyle w:val="BodyText"/>
      </w:pPr>
      <w:r>
        <w:t xml:space="preserve">NA</w:t>
      </w:r>
    </w:p>
    <w:p>
      <w:pPr>
        <w:pStyle w:val="BodyText"/>
      </w:pPr>
      <w:r>
        <w:t xml:space="preserve">NA</w:t>
      </w:r>
    </w:p>
    <w:p>
      <w:pPr>
        <w:pStyle w:val="BodyText"/>
      </w:pPr>
      <w:r>
        <w:t xml:space="preserve">NA</w:t>
      </w:r>
    </w:p>
    <w:p>
      <w:pPr>
        <w:pStyle w:val="BodyText"/>
      </w:pPr>
      <w:r>
        <w:t xml:space="preserve">Garrison and Stier 2010</w:t>
      </w:r>
    </w:p>
    <w:p>
      <w:pPr>
        <w:pStyle w:val="BodyText"/>
      </w:pPr>
      <w:r>
        <w:t xml:space="preserve">gamma_A</w:t>
      </w:r>
    </w:p>
    <w:p>
      <w:pPr>
        <w:pStyle w:val="BodyText"/>
      </w:pPr>
      <w:r>
        <w:t xml:space="preserve">litter suppression of annuals</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NA</w:t>
      </w:r>
    </w:p>
    <w:p>
      <w:pPr>
        <w:pStyle w:val="BodyText"/>
      </w:pPr>
      <w:r>
        <w:t xml:space="preserve">gamma_P</w:t>
      </w:r>
    </w:p>
    <w:p>
      <w:pPr>
        <w:pStyle w:val="BodyText"/>
      </w:pPr>
      <w:r>
        <w:t xml:space="preserve">litter suppression of perennial first-years</w:t>
      </w:r>
    </w:p>
    <w:p>
      <w:pPr>
        <w:pStyle w:val="BodyText"/>
      </w:pPr>
      <w:r>
        <w:t xml:space="preserve">0.000</w:t>
      </w:r>
    </w:p>
    <w:p>
      <w:pPr>
        <w:pStyle w:val="BodyText"/>
      </w:pPr>
      <w:r>
        <w:t xml:space="preserve">NA</w:t>
      </w:r>
    </w:p>
    <w:p>
      <w:pPr>
        <w:pStyle w:val="BodyText"/>
      </w:pPr>
      <w:r>
        <w:t xml:space="preserve">NA</w:t>
      </w:r>
    </w:p>
    <w:p>
      <w:pPr>
        <w:pStyle w:val="BodyText"/>
      </w:pPr>
      <w:r>
        <w:t xml:space="preserve">g</w:t>
      </w:r>
      <w:r>
        <w:rPr>
          <w:vertAlign w:val="superscript"/>
        </w:rPr>
        <w:t xml:space="preserve">-1</w:t>
      </w:r>
    </w:p>
    <w:p>
      <w:pPr>
        <w:pStyle w:val="BodyText"/>
      </w:pPr>
      <w:r>
        <w:t xml:space="preserve">NA</w:t>
      </w:r>
    </w:p>
    <w:p>
      <w:pPr>
        <w:pStyle w:val="BodyText"/>
      </w:pPr>
      <w:r>
        <w:t xml:space="preserve">d</w:t>
      </w:r>
    </w:p>
    <w:p>
      <w:pPr>
        <w:pStyle w:val="BodyText"/>
      </w:pPr>
      <w:r>
        <w:t xml:space="preserve">annual litter decomposition fraction</w:t>
      </w:r>
    </w:p>
    <w:p>
      <w:pPr>
        <w:pStyle w:val="BodyText"/>
      </w:pPr>
      <w:r>
        <w:t xml:space="preserve">0.590</w:t>
      </w:r>
    </w:p>
    <w:p>
      <w:pPr>
        <w:pStyle w:val="BodyText"/>
      </w:pPr>
      <w:r>
        <w:t xml:space="preserve">NA</w:t>
      </w:r>
    </w:p>
    <w:p>
      <w:pPr>
        <w:pStyle w:val="BodyText"/>
      </w:pPr>
      <w:r>
        <w:t xml:space="preserve">NA</w:t>
      </w:r>
    </w:p>
    <w:p>
      <w:pPr>
        <w:pStyle w:val="BodyText"/>
      </w:pPr>
      <w:r>
        <w:t xml:space="preserve">NA</w:t>
      </w:r>
    </w:p>
    <w:p>
      <w:pPr>
        <w:pStyle w:val="BodyText"/>
      </w:pPr>
      <w:r>
        <w:t xml:space="preserve">DeMeester and Richter 2010</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Description</dc:title>
  <dc:creator/>
  <cp:keywords/>
  <dcterms:created xsi:type="dcterms:W3CDTF">2021-08-18T22:54:58Z</dcterms:created>
  <dcterms:modified xsi:type="dcterms:W3CDTF">2021-08-18T22:54:58Z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