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FBFA" w14:textId="77777777" w:rsidR="00553B96" w:rsidRPr="003F093D" w:rsidRDefault="00E75D84" w:rsidP="00FB6F31">
      <w:pPr>
        <w:rPr>
          <w:b/>
        </w:rPr>
      </w:pPr>
      <w:r w:rsidRPr="003F093D">
        <w:rPr>
          <w:b/>
        </w:rPr>
        <w:t>Sensitivity analysis</w:t>
      </w:r>
    </w:p>
    <w:p w14:paraId="6FA2978F" w14:textId="77777777" w:rsidR="00E75D84" w:rsidRDefault="00E75D84" w:rsidP="00FB6F31"/>
    <w:p w14:paraId="4B9D3EF6" w14:textId="510770E6" w:rsidR="00E75D84" w:rsidRDefault="00E75D84" w:rsidP="00FB6F31">
      <w:pPr>
        <w:rPr>
          <w:rFonts w:eastAsiaTheme="minorEastAsia"/>
          <w:b/>
        </w:rPr>
      </w:pPr>
      <w:r>
        <w:rPr>
          <w:rFonts w:eastAsiaTheme="minorEastAsia"/>
          <w:b/>
        </w:rPr>
        <w:t>Method</w:t>
      </w:r>
    </w:p>
    <w:p w14:paraId="258310FB" w14:textId="77777777" w:rsidR="00FB6F31" w:rsidRPr="00E75D84" w:rsidRDefault="00FB6F31" w:rsidP="00FB6F31">
      <w:pPr>
        <w:rPr>
          <w:rFonts w:eastAsiaTheme="minorEastAsia"/>
          <w:b/>
        </w:rPr>
      </w:pPr>
    </w:p>
    <w:p w14:paraId="6A854080" w14:textId="7B1354BF" w:rsidR="00E75D84" w:rsidRDefault="00E75D84" w:rsidP="00FB6F31">
      <w:pPr>
        <w:rPr>
          <w:rFonts w:eastAsiaTheme="minorEastAsia"/>
        </w:rPr>
      </w:pPr>
      <w:r>
        <w:rPr>
          <w:rFonts w:eastAsiaTheme="minorEastAsia"/>
        </w:rPr>
        <w:t>For the sensitivity analysis, we increased each parameter</w:t>
      </w:r>
      <w:r w:rsidR="00E018B8">
        <w:rPr>
          <w:rFonts w:eastAsiaTheme="minorEastAsia"/>
        </w:rPr>
        <w:t xml:space="preserve"> (Table 1)</w:t>
      </w:r>
      <w:r>
        <w:rPr>
          <w:rFonts w:eastAsiaTheme="minorEastAsia"/>
        </w:rPr>
        <w:t xml:space="preserve"> in turn by 5% and calculated the log-transformed growth rate when rare (GRWR) for the annual and the perennial. To calculate the sensitivity of </w:t>
      </w:r>
      <w:proofErr w:type="gramStart"/>
      <w:r>
        <w:rPr>
          <w:rFonts w:eastAsiaTheme="minorEastAsia"/>
        </w:rPr>
        <w:t>log(</w:t>
      </w:r>
      <w:proofErr w:type="gramEnd"/>
      <w:r>
        <w:rPr>
          <w:rFonts w:eastAsiaTheme="minorEastAsia"/>
        </w:rPr>
        <w:t xml:space="preserve">GRWR) to the parameter, we used the equation </w:t>
      </w:r>
    </w:p>
    <w:p w14:paraId="2FA711E8" w14:textId="77777777" w:rsidR="00FB6F31" w:rsidRDefault="00FB6F31" w:rsidP="00FB6F31">
      <w:pPr>
        <w:rPr>
          <w:rFonts w:eastAsiaTheme="minorEastAsia"/>
        </w:rPr>
      </w:pPr>
    </w:p>
    <w:p w14:paraId="1508663D" w14:textId="77777777" w:rsidR="00E75D84" w:rsidRDefault="00FB6F31" w:rsidP="00FB6F31">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sensitivity=</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rPr>
                          </m:ctrlPr>
                        </m:sSupPr>
                        <m:e>
                          <m:r>
                            <m:rPr>
                              <m:sty m:val="p"/>
                            </m:rPr>
                            <w:rPr>
                              <w:rFonts w:ascii="Cambria Math" w:eastAsiaTheme="minorEastAsia" w:hAnsi="Cambria Math"/>
                            </w:rPr>
                            <m:t>log⁡</m:t>
                          </m:r>
                          <m:r>
                            <w:rPr>
                              <w:rFonts w:ascii="Cambria Math" w:eastAsiaTheme="minorEastAsia" w:hAnsi="Cambria Math"/>
                            </w:rPr>
                            <m:t>(GRWR)</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(GRWR)</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m:rPr>
                          <m:sty m:val="p"/>
                        </m:rPr>
                        <w:rPr>
                          <w:rFonts w:ascii="Cambria Math" w:eastAsiaTheme="minorEastAsia" w:hAnsi="Cambria Math"/>
                        </w:rPr>
                        <m:t>log⁡</m:t>
                      </m:r>
                      <m:r>
                        <w:rPr>
                          <w:rFonts w:ascii="Cambria Math" w:eastAsiaTheme="minorEastAsia" w:hAnsi="Cambria Math"/>
                        </w:rPr>
                        <m:t>(GRWR)</m:t>
                      </m:r>
                    </m:den>
                  </m:f>
                </m:e>
              </m:d>
              <m:r>
                <w:rPr>
                  <w:rFonts w:ascii="Cambria Math" w:eastAsiaTheme="minorEastAsia" w:hAnsi="Cambria Math"/>
                </w:rPr>
                <m:t>#</m:t>
              </m:r>
            </m:e>
          </m:eqArr>
        </m:oMath>
      </m:oMathPara>
    </w:p>
    <w:p w14:paraId="7D183B1A" w14:textId="77777777" w:rsidR="00FB6F31" w:rsidRDefault="00FB6F31" w:rsidP="00FB6F31">
      <w:pPr>
        <w:rPr>
          <w:rFonts w:eastAsiaTheme="minorEastAsia"/>
        </w:rPr>
      </w:pPr>
    </w:p>
    <w:p w14:paraId="5CC482EE" w14:textId="3766C820" w:rsidR="00E018B8" w:rsidRDefault="00E75D84" w:rsidP="00FB6F31">
      <w:pPr>
        <w:rPr>
          <w:rFonts w:eastAsiaTheme="minorEastAsia"/>
        </w:rPr>
      </w:pPr>
      <w:r>
        <w:rPr>
          <w:rFonts w:eastAsiaTheme="minorEastAsia"/>
        </w:rPr>
        <w:t xml:space="preserve">where </w:t>
      </w:r>
      <w:r>
        <w:rPr>
          <w:rFonts w:eastAsiaTheme="minorEastAsia"/>
          <w:i/>
        </w:rPr>
        <w:t>p</w:t>
      </w:r>
      <w:r>
        <w:rPr>
          <w:rFonts w:eastAsiaTheme="minorEastAsia"/>
        </w:rPr>
        <w:t xml:space="preserve"> is the parameter value and the asterisk </w:t>
      </w:r>
      <w:proofErr w:type="gramStart"/>
      <w:r>
        <w:rPr>
          <w:rFonts w:eastAsiaTheme="minorEastAsia"/>
        </w:rPr>
        <w:t>indicates</w:t>
      </w:r>
      <w:proofErr w:type="gramEnd"/>
      <w:r>
        <w:rPr>
          <w:rFonts w:eastAsiaTheme="minorEastAsia"/>
        </w:rPr>
        <w:t xml:space="preserve"> that the value was calculated after the perturbation </w:t>
      </w:r>
      <w:proofErr w:type="spellStart"/>
      <w:r>
        <w:rPr>
          <w:rFonts w:eastAsiaTheme="minorEastAsia"/>
        </w:rPr>
        <w:t xml:space="preserve">to </w:t>
      </w:r>
      <w:r>
        <w:rPr>
          <w:rFonts w:eastAsiaTheme="minorEastAsia"/>
          <w:i/>
        </w:rPr>
        <w:t>p</w:t>
      </w:r>
      <w:proofErr w:type="spellEnd"/>
      <w:r>
        <w:rPr>
          <w:rFonts w:eastAsiaTheme="minorEastAsia"/>
        </w:rPr>
        <w:t>. We also decreased each parameter by 5% and found qualitatively similar results</w:t>
      </w:r>
      <w:r w:rsidR="00FD45FC">
        <w:rPr>
          <w:rFonts w:eastAsiaTheme="minorEastAsia"/>
        </w:rPr>
        <w:t>, so we only report quantitative results from the sensitivity analysis with increased parameter values.</w:t>
      </w:r>
    </w:p>
    <w:p w14:paraId="1E493F6F" w14:textId="77777777" w:rsidR="00FB6F31" w:rsidRDefault="00FB6F31" w:rsidP="00FB6F31">
      <w:pPr>
        <w:rPr>
          <w:rFonts w:eastAsiaTheme="minorEastAsia"/>
        </w:rPr>
      </w:pPr>
    </w:p>
    <w:p w14:paraId="6FC6425F" w14:textId="2958DC48" w:rsidR="00E018B8" w:rsidRPr="00FB6F31" w:rsidRDefault="00FB6F31" w:rsidP="00FB6F31">
      <w:pPr>
        <w:rPr>
          <w:rFonts w:eastAsiaTheme="minorEastAsia"/>
        </w:rPr>
      </w:pPr>
      <w:r>
        <w:rPr>
          <w:rFonts w:eastAsiaTheme="minorEastAsia"/>
        </w:rPr>
        <w:t xml:space="preserve">Table 1: Descriptions of model parameters. Subscript meanings as follows: </w:t>
      </w:r>
      <w:r>
        <w:rPr>
          <w:rFonts w:eastAsiaTheme="minorEastAsia"/>
          <w:i/>
        </w:rPr>
        <w:t>p</w:t>
      </w:r>
      <w:r>
        <w:rPr>
          <w:rFonts w:eastAsiaTheme="minorEastAsia"/>
        </w:rPr>
        <w:t xml:space="preserve"> = perennial adult, </w:t>
      </w:r>
      <w:r>
        <w:rPr>
          <w:rFonts w:eastAsiaTheme="minorEastAsia"/>
          <w:i/>
        </w:rPr>
        <w:t>s</w:t>
      </w:r>
      <w:r>
        <w:rPr>
          <w:rFonts w:eastAsiaTheme="minorEastAsia"/>
        </w:rPr>
        <w:t xml:space="preserve"> = perennial seedling, </w:t>
      </w:r>
      <w:r>
        <w:rPr>
          <w:rFonts w:eastAsiaTheme="minorEastAsia"/>
          <w:i/>
        </w:rPr>
        <w:t>a</w:t>
      </w:r>
      <w:r>
        <w:rPr>
          <w:rFonts w:eastAsiaTheme="minorEastAsia"/>
        </w:rPr>
        <w:t xml:space="preserve"> = annual, </w:t>
      </w:r>
      <w:proofErr w:type="spellStart"/>
      <w:r>
        <w:rPr>
          <w:rFonts w:eastAsiaTheme="minorEastAsia"/>
          <w:i/>
        </w:rPr>
        <w:t>i</w:t>
      </w:r>
      <w:proofErr w:type="spellEnd"/>
      <w:r>
        <w:rPr>
          <w:rFonts w:eastAsiaTheme="minorEastAsia"/>
        </w:rPr>
        <w:t xml:space="preserve"> = can be any of the preceding three</w:t>
      </w:r>
    </w:p>
    <w:tbl>
      <w:tblPr>
        <w:tblW w:w="0" w:type="auto"/>
        <w:tblCellMar>
          <w:left w:w="0" w:type="dxa"/>
          <w:right w:w="0" w:type="dxa"/>
        </w:tblCellMar>
        <w:tblLook w:val="0420" w:firstRow="1" w:lastRow="0" w:firstColumn="0" w:lastColumn="0" w:noHBand="0" w:noVBand="1"/>
      </w:tblPr>
      <w:tblGrid>
        <w:gridCol w:w="1261"/>
        <w:gridCol w:w="3676"/>
        <w:gridCol w:w="1432"/>
        <w:gridCol w:w="2991"/>
      </w:tblGrid>
      <w:tr w:rsidR="00E018B8" w:rsidRPr="00E018B8" w14:paraId="035603CC" w14:textId="77777777" w:rsidTr="00FB6F31">
        <w:trPr>
          <w:trHeight w:val="584"/>
        </w:trPr>
        <w:tc>
          <w:tcPr>
            <w:tcW w:w="0" w:type="auto"/>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1F3050BC" w14:textId="77777777" w:rsidR="00E018B8" w:rsidRPr="00E018B8" w:rsidRDefault="00E018B8" w:rsidP="00FB6F31">
            <w:pPr>
              <w:rPr>
                <w:rFonts w:eastAsiaTheme="minorEastAsia"/>
              </w:rPr>
            </w:pPr>
            <w:r w:rsidRPr="00E018B8">
              <w:rPr>
                <w:rFonts w:eastAsiaTheme="minorEastAsia"/>
              </w:rPr>
              <w:t>Parameter</w:t>
            </w:r>
          </w:p>
        </w:tc>
        <w:tc>
          <w:tcPr>
            <w:tcW w:w="0" w:type="auto"/>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1B95F339" w14:textId="77777777" w:rsidR="00E018B8" w:rsidRPr="00E018B8" w:rsidRDefault="00E018B8" w:rsidP="00FB6F31">
            <w:pPr>
              <w:rPr>
                <w:rFonts w:eastAsiaTheme="minorEastAsia"/>
              </w:rPr>
            </w:pPr>
            <w:r w:rsidRPr="00E018B8">
              <w:rPr>
                <w:rFonts w:eastAsiaTheme="minorEastAsia"/>
              </w:rPr>
              <w:t>Meaning</w:t>
            </w:r>
          </w:p>
        </w:tc>
        <w:tc>
          <w:tcPr>
            <w:tcW w:w="0" w:type="auto"/>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62A08AA7" w14:textId="77777777" w:rsidR="00E018B8" w:rsidRPr="00E018B8" w:rsidRDefault="00E018B8" w:rsidP="00FB6F31">
            <w:pPr>
              <w:rPr>
                <w:rFonts w:eastAsiaTheme="minorEastAsia"/>
              </w:rPr>
            </w:pPr>
            <w:r w:rsidRPr="00E018B8">
              <w:rPr>
                <w:rFonts w:eastAsiaTheme="minorEastAsia"/>
              </w:rPr>
              <w:t>Units</w:t>
            </w:r>
          </w:p>
        </w:tc>
        <w:tc>
          <w:tcPr>
            <w:tcW w:w="0" w:type="auto"/>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43F4044E" w14:textId="77777777" w:rsidR="00E018B8" w:rsidRPr="00E018B8" w:rsidRDefault="00E018B8" w:rsidP="00FB6F31">
            <w:pPr>
              <w:rPr>
                <w:rFonts w:eastAsiaTheme="minorEastAsia"/>
              </w:rPr>
            </w:pPr>
            <w:r w:rsidRPr="00E018B8">
              <w:rPr>
                <w:rFonts w:eastAsiaTheme="minorEastAsia"/>
              </w:rPr>
              <w:t>Source</w:t>
            </w:r>
          </w:p>
        </w:tc>
      </w:tr>
      <w:tr w:rsidR="00E018B8" w:rsidRPr="00E018B8" w14:paraId="002CEAA7" w14:textId="77777777" w:rsidTr="00FB6F31">
        <w:trPr>
          <w:trHeight w:val="584"/>
        </w:trPr>
        <w:tc>
          <w:tcPr>
            <w:tcW w:w="0" w:type="auto"/>
            <w:tcBorders>
              <w:top w:val="single" w:sz="8" w:space="0" w:color="000000"/>
              <w:left w:val="nil"/>
              <w:bottom w:val="nil"/>
              <w:right w:val="nil"/>
            </w:tcBorders>
            <w:shd w:val="clear" w:color="auto" w:fill="auto"/>
            <w:tcMar>
              <w:top w:w="72" w:type="dxa"/>
              <w:left w:w="144" w:type="dxa"/>
              <w:bottom w:w="72" w:type="dxa"/>
              <w:right w:w="144" w:type="dxa"/>
            </w:tcMar>
            <w:hideMark/>
          </w:tcPr>
          <w:p w14:paraId="15DC6C53" w14:textId="77777777" w:rsidR="00E018B8" w:rsidRPr="00E018B8" w:rsidRDefault="00E018B8" w:rsidP="00FB6F31">
            <w:pPr>
              <w:rPr>
                <w:rFonts w:eastAsiaTheme="minorEastAsia"/>
              </w:rPr>
            </w:pPr>
            <w:proofErr w:type="spellStart"/>
            <w:r w:rsidRPr="00E018B8">
              <w:rPr>
                <w:rFonts w:eastAsiaTheme="minorEastAsia"/>
                <w:i/>
                <w:iCs/>
              </w:rPr>
              <w:t>m</w:t>
            </w:r>
            <w:r w:rsidRPr="00E018B8">
              <w:rPr>
                <w:rFonts w:eastAsiaTheme="minorEastAsia"/>
                <w:i/>
                <w:iCs/>
                <w:vertAlign w:val="subscript"/>
              </w:rPr>
              <w:t>p</w:t>
            </w:r>
            <w:proofErr w:type="spellEnd"/>
          </w:p>
        </w:tc>
        <w:tc>
          <w:tcPr>
            <w:tcW w:w="0" w:type="auto"/>
            <w:tcBorders>
              <w:top w:val="single" w:sz="8" w:space="0" w:color="000000"/>
              <w:left w:val="nil"/>
              <w:bottom w:val="nil"/>
              <w:right w:val="nil"/>
            </w:tcBorders>
            <w:shd w:val="clear" w:color="auto" w:fill="auto"/>
            <w:tcMar>
              <w:top w:w="72" w:type="dxa"/>
              <w:left w:w="144" w:type="dxa"/>
              <w:bottom w:w="72" w:type="dxa"/>
              <w:right w:w="144" w:type="dxa"/>
            </w:tcMar>
            <w:hideMark/>
          </w:tcPr>
          <w:p w14:paraId="44345D01" w14:textId="77777777" w:rsidR="00E018B8" w:rsidRPr="00E018B8" w:rsidRDefault="00E018B8" w:rsidP="00FB6F31">
            <w:pPr>
              <w:rPr>
                <w:rFonts w:eastAsiaTheme="minorEastAsia"/>
              </w:rPr>
            </w:pPr>
            <w:r w:rsidRPr="00E018B8">
              <w:rPr>
                <w:rFonts w:eastAsiaTheme="minorEastAsia"/>
              </w:rPr>
              <w:t>Proportion of perennial adults that survive for a year</w:t>
            </w:r>
          </w:p>
        </w:tc>
        <w:tc>
          <w:tcPr>
            <w:tcW w:w="0" w:type="auto"/>
            <w:tcBorders>
              <w:top w:val="single" w:sz="8" w:space="0" w:color="000000"/>
              <w:left w:val="nil"/>
              <w:bottom w:val="nil"/>
              <w:right w:val="nil"/>
            </w:tcBorders>
            <w:shd w:val="clear" w:color="auto" w:fill="auto"/>
            <w:tcMar>
              <w:top w:w="72" w:type="dxa"/>
              <w:left w:w="144" w:type="dxa"/>
              <w:bottom w:w="72" w:type="dxa"/>
              <w:right w:w="144" w:type="dxa"/>
            </w:tcMar>
            <w:hideMark/>
          </w:tcPr>
          <w:p w14:paraId="27E0D9B0" w14:textId="77777777" w:rsidR="00E018B8" w:rsidRPr="00E018B8" w:rsidRDefault="00E018B8" w:rsidP="00FB6F31">
            <w:pPr>
              <w:rPr>
                <w:rFonts w:eastAsiaTheme="minorEastAsia"/>
              </w:rPr>
            </w:pPr>
          </w:p>
        </w:tc>
        <w:tc>
          <w:tcPr>
            <w:tcW w:w="0" w:type="auto"/>
            <w:tcBorders>
              <w:top w:val="single" w:sz="8" w:space="0" w:color="000000"/>
              <w:left w:val="nil"/>
              <w:bottom w:val="nil"/>
              <w:right w:val="nil"/>
            </w:tcBorders>
            <w:shd w:val="clear" w:color="auto" w:fill="auto"/>
            <w:tcMar>
              <w:top w:w="72" w:type="dxa"/>
              <w:left w:w="144" w:type="dxa"/>
              <w:bottom w:w="72" w:type="dxa"/>
              <w:right w:w="144" w:type="dxa"/>
            </w:tcMar>
            <w:hideMark/>
          </w:tcPr>
          <w:p w14:paraId="780C051C" w14:textId="77777777" w:rsidR="00E018B8" w:rsidRPr="00E018B8" w:rsidRDefault="00E018B8" w:rsidP="00FB6F31">
            <w:pPr>
              <w:rPr>
                <w:rFonts w:eastAsiaTheme="minorEastAsia"/>
              </w:rPr>
            </w:pPr>
            <w:r w:rsidRPr="00E018B8">
              <w:rPr>
                <w:rFonts w:eastAsiaTheme="minorEastAsia"/>
              </w:rPr>
              <w:t>Literature</w:t>
            </w:r>
          </w:p>
        </w:tc>
      </w:tr>
      <w:tr w:rsidR="00E018B8" w:rsidRPr="00E018B8" w14:paraId="28637814"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5632B64C" w14:textId="77777777" w:rsidR="00E018B8" w:rsidRPr="00E018B8" w:rsidRDefault="00E018B8" w:rsidP="00FB6F31">
            <w:pPr>
              <w:rPr>
                <w:rFonts w:eastAsiaTheme="minorEastAsia"/>
              </w:rPr>
            </w:pPr>
            <w:proofErr w:type="spellStart"/>
            <w:r w:rsidRPr="00E018B8">
              <w:rPr>
                <w:rFonts w:eastAsiaTheme="minorEastAsia"/>
                <w:i/>
                <w:iCs/>
              </w:rPr>
              <w:t>s</w:t>
            </w:r>
            <w:r w:rsidRPr="00E018B8">
              <w:rPr>
                <w:rFonts w:eastAsiaTheme="minorEastAsia"/>
                <w:i/>
                <w:iCs/>
                <w:vertAlign w:val="subscript"/>
              </w:rPr>
              <w:t>i</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72887333" w14:textId="77777777" w:rsidR="00E018B8" w:rsidRPr="00E018B8" w:rsidRDefault="00E018B8" w:rsidP="00FB6F31">
            <w:pPr>
              <w:rPr>
                <w:rFonts w:eastAsiaTheme="minorEastAsia"/>
              </w:rPr>
            </w:pPr>
            <w:r w:rsidRPr="00E018B8">
              <w:rPr>
                <w:rFonts w:eastAsiaTheme="minorEastAsia"/>
              </w:rPr>
              <w:t xml:space="preserve">Proportion of dormant seeds of species </w:t>
            </w:r>
            <w:proofErr w:type="spellStart"/>
            <w:r w:rsidRPr="00E018B8">
              <w:rPr>
                <w:rFonts w:eastAsiaTheme="minorEastAsia"/>
              </w:rPr>
              <w:t>i</w:t>
            </w:r>
            <w:proofErr w:type="spellEnd"/>
            <w:r w:rsidRPr="00E018B8">
              <w:rPr>
                <w:rFonts w:eastAsiaTheme="minorEastAsia"/>
              </w:rPr>
              <w:t xml:space="preserve"> that survive for a year</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77B861D6" w14:textId="77777777" w:rsidR="00E018B8" w:rsidRPr="00E018B8" w:rsidRDefault="00E018B8" w:rsidP="00FB6F31">
            <w:pPr>
              <w:rPr>
                <w:rFonts w:eastAsiaTheme="minorEastAsia"/>
              </w:rPr>
            </w:pP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778E47C0" w14:textId="77777777" w:rsidR="00E018B8" w:rsidRPr="00E018B8" w:rsidRDefault="00E018B8" w:rsidP="00FB6F31">
            <w:pPr>
              <w:rPr>
                <w:rFonts w:eastAsiaTheme="minorEastAsia"/>
              </w:rPr>
            </w:pPr>
            <w:r w:rsidRPr="00E018B8">
              <w:rPr>
                <w:rFonts w:eastAsiaTheme="minorEastAsia"/>
              </w:rPr>
              <w:t>Literature</w:t>
            </w:r>
          </w:p>
        </w:tc>
      </w:tr>
      <w:tr w:rsidR="00FB6F31" w:rsidRPr="00E018B8" w14:paraId="0038F35F"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59DCC976" w14:textId="7F965FEF" w:rsidR="00E018B8" w:rsidRPr="00E018B8" w:rsidRDefault="00E018B8" w:rsidP="00FB6F31">
            <w:pPr>
              <w:rPr>
                <w:rFonts w:eastAsiaTheme="minorEastAsia"/>
                <w:i/>
              </w:rPr>
            </w:pPr>
            <w:r w:rsidRPr="00E018B8">
              <w:rPr>
                <w:rFonts w:ascii="Cambria Math" w:eastAsiaTheme="minorEastAsia" w:hAnsi="Cambria Math" w:cs="Cambria Math"/>
              </w:rPr>
              <w:t>𝛾</w:t>
            </w:r>
            <w:proofErr w:type="spellStart"/>
            <w:r w:rsidRPr="00E018B8">
              <w:rPr>
                <w:rFonts w:ascii="Cambria Math" w:eastAsiaTheme="minorEastAsia" w:hAnsi="Cambria Math" w:cs="Cambria Math"/>
                <w:i/>
                <w:vertAlign w:val="subscript"/>
              </w:rPr>
              <w:t>i</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6299534" w14:textId="77777777" w:rsidR="00E018B8" w:rsidRPr="00E018B8" w:rsidRDefault="00E018B8" w:rsidP="00FB6F31">
            <w:pPr>
              <w:rPr>
                <w:rFonts w:eastAsiaTheme="minorEastAsia"/>
              </w:rPr>
            </w:pPr>
            <w:r w:rsidRPr="00E018B8">
              <w:rPr>
                <w:rFonts w:eastAsiaTheme="minorEastAsia"/>
              </w:rPr>
              <w:t xml:space="preserve">Germination rate in the absence of competition for species </w:t>
            </w:r>
            <w:proofErr w:type="spellStart"/>
            <w:r w:rsidRPr="00E018B8">
              <w:rPr>
                <w:rFonts w:eastAsiaTheme="minorEastAsia"/>
              </w:rPr>
              <w:t>i</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44D9D7F" w14:textId="77777777" w:rsidR="00E018B8" w:rsidRPr="00E018B8" w:rsidRDefault="00E018B8" w:rsidP="00FB6F31">
            <w:pPr>
              <w:rPr>
                <w:rFonts w:eastAsiaTheme="minorEastAsia"/>
              </w:rPr>
            </w:pPr>
            <w:r w:rsidRPr="00E018B8">
              <w:rPr>
                <w:rFonts w:eastAsiaTheme="minorEastAsia"/>
              </w:rPr>
              <w:t>seedlings/</w:t>
            </w:r>
          </w:p>
          <w:p w14:paraId="309FCE0E" w14:textId="77777777" w:rsidR="00E018B8" w:rsidRPr="00E018B8" w:rsidRDefault="00E018B8" w:rsidP="00FB6F31">
            <w:pPr>
              <w:rPr>
                <w:rFonts w:eastAsiaTheme="minorEastAsia"/>
              </w:rPr>
            </w:pPr>
            <w:r w:rsidRPr="00E018B8">
              <w:rPr>
                <w:rFonts w:eastAsiaTheme="minorEastAsia"/>
              </w:rPr>
              <w:t>seed</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7DB0BC69" w14:textId="77777777" w:rsidR="00E018B8" w:rsidRPr="00E018B8" w:rsidRDefault="00E018B8" w:rsidP="00FB6F31">
            <w:pPr>
              <w:rPr>
                <w:rFonts w:eastAsiaTheme="minorEastAsia"/>
              </w:rPr>
            </w:pPr>
            <w:r w:rsidRPr="00E018B8">
              <w:rPr>
                <w:rFonts w:eastAsiaTheme="minorEastAsia"/>
              </w:rPr>
              <w:t>Greenhouse experiment</w:t>
            </w:r>
          </w:p>
        </w:tc>
      </w:tr>
      <w:tr w:rsidR="00FB6F31" w:rsidRPr="00E018B8" w14:paraId="4561FFD8"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23DD344B" w14:textId="77777777" w:rsidR="00E018B8" w:rsidRPr="00E018B8" w:rsidRDefault="00E018B8" w:rsidP="00FB6F31">
            <w:pPr>
              <w:rPr>
                <w:rFonts w:eastAsiaTheme="minorEastAsia"/>
              </w:rPr>
            </w:pPr>
            <w:r w:rsidRPr="00E018B8">
              <w:rPr>
                <w:rFonts w:ascii="Cambria Math" w:eastAsiaTheme="minorEastAsia" w:hAnsi="Cambria Math" w:cs="Cambria Math"/>
              </w:rPr>
              <w:t>𝛼</w:t>
            </w:r>
            <w:proofErr w:type="spellStart"/>
            <w:r w:rsidRPr="00E018B8">
              <w:rPr>
                <w:rFonts w:eastAsiaTheme="minorEastAsia"/>
                <w:i/>
                <w:vertAlign w:val="subscript"/>
              </w:rPr>
              <w:t>iL</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782BDE3C" w14:textId="77777777" w:rsidR="00E018B8" w:rsidRPr="00E018B8" w:rsidRDefault="00E018B8" w:rsidP="00FB6F31">
            <w:pPr>
              <w:rPr>
                <w:rFonts w:eastAsiaTheme="minorEastAsia"/>
              </w:rPr>
            </w:pPr>
            <w:r w:rsidRPr="00E018B8">
              <w:rPr>
                <w:rFonts w:eastAsiaTheme="minorEastAsia"/>
              </w:rPr>
              <w:t>Competitive effect of litter on germination rate</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45F9ACD7" w14:textId="77777777" w:rsidR="00E018B8" w:rsidRPr="00E018B8" w:rsidRDefault="00E018B8" w:rsidP="00FB6F31">
            <w:pPr>
              <w:rPr>
                <w:rFonts w:eastAsiaTheme="minorEastAsia"/>
              </w:rPr>
            </w:pPr>
            <w:r w:rsidRPr="00E018B8">
              <w:rPr>
                <w:rFonts w:eastAsiaTheme="minorEastAsia"/>
              </w:rPr>
              <w:t>g</w:t>
            </w:r>
            <w:r w:rsidRPr="00E018B8">
              <w:rPr>
                <w:rFonts w:eastAsiaTheme="minorEastAsia"/>
                <w:vertAlign w:val="superscript"/>
              </w:rPr>
              <w:t>-1</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1668967D" w14:textId="77777777" w:rsidR="00E018B8" w:rsidRPr="00E018B8" w:rsidRDefault="00E018B8" w:rsidP="00FB6F31">
            <w:pPr>
              <w:rPr>
                <w:rFonts w:eastAsiaTheme="minorEastAsia"/>
              </w:rPr>
            </w:pPr>
            <w:r w:rsidRPr="00E018B8">
              <w:rPr>
                <w:rFonts w:eastAsiaTheme="minorEastAsia"/>
              </w:rPr>
              <w:t>Greenhouse experiment</w:t>
            </w:r>
          </w:p>
        </w:tc>
      </w:tr>
      <w:tr w:rsidR="00E018B8" w:rsidRPr="00E018B8" w14:paraId="3555167D"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5BA0D16A" w14:textId="77777777" w:rsidR="00E018B8" w:rsidRPr="00E018B8" w:rsidRDefault="00E018B8" w:rsidP="00FB6F31">
            <w:pPr>
              <w:rPr>
                <w:rFonts w:eastAsiaTheme="minorEastAsia"/>
              </w:rPr>
            </w:pPr>
            <w:r w:rsidRPr="00E018B8">
              <w:rPr>
                <w:rFonts w:eastAsiaTheme="minorEastAsia"/>
                <w:i/>
                <w:iCs/>
              </w:rPr>
              <w:t>b</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438EC871" w14:textId="77777777" w:rsidR="00E018B8" w:rsidRPr="00E018B8" w:rsidRDefault="00E018B8" w:rsidP="00FB6F31">
            <w:pPr>
              <w:rPr>
                <w:rFonts w:eastAsiaTheme="minorEastAsia"/>
              </w:rPr>
            </w:pPr>
            <w:r w:rsidRPr="00E018B8">
              <w:rPr>
                <w:rFonts w:eastAsiaTheme="minorEastAsia"/>
              </w:rPr>
              <w:t>Proportion of litter biomass remaining after one year</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57AC7755" w14:textId="77777777" w:rsidR="00E018B8" w:rsidRPr="00E018B8" w:rsidRDefault="00E018B8" w:rsidP="00FB6F31">
            <w:pPr>
              <w:rPr>
                <w:rFonts w:eastAsiaTheme="minorEastAsia"/>
              </w:rPr>
            </w:pPr>
            <w:r w:rsidRPr="00E018B8">
              <w:rPr>
                <w:rFonts w:eastAsiaTheme="minorEastAsia"/>
              </w:rPr>
              <w:t>g</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E6AE162" w14:textId="77777777" w:rsidR="00E018B8" w:rsidRPr="00E018B8" w:rsidRDefault="00E018B8" w:rsidP="00FB6F31">
            <w:pPr>
              <w:rPr>
                <w:rFonts w:eastAsiaTheme="minorEastAsia"/>
              </w:rPr>
            </w:pPr>
            <w:r w:rsidRPr="00E018B8">
              <w:rPr>
                <w:rFonts w:eastAsiaTheme="minorEastAsia"/>
              </w:rPr>
              <w:t>Literature</w:t>
            </w:r>
          </w:p>
        </w:tc>
      </w:tr>
      <w:tr w:rsidR="00E018B8" w:rsidRPr="00E018B8" w14:paraId="51A2371F"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tcPr>
          <w:p w14:paraId="0F10F034" w14:textId="6FFB698F" w:rsidR="00E018B8" w:rsidRPr="00E018B8" w:rsidRDefault="00E018B8" w:rsidP="00FB6F31">
            <w:pPr>
              <w:rPr>
                <w:rFonts w:eastAsiaTheme="minorEastAsia"/>
                <w:i/>
                <w:iCs/>
              </w:rPr>
            </w:pPr>
            <w:r>
              <w:rPr>
                <w:rFonts w:eastAsiaTheme="minorEastAsia"/>
                <w:i/>
                <w:iCs/>
              </w:rPr>
              <w:t>c</w:t>
            </w:r>
            <w:r>
              <w:rPr>
                <w:rFonts w:eastAsiaTheme="minorEastAsia"/>
                <w:i/>
                <w:iCs/>
                <w:vertAlign w:val="subscript"/>
              </w:rPr>
              <w:t>a</w:t>
            </w:r>
          </w:p>
        </w:tc>
        <w:tc>
          <w:tcPr>
            <w:tcW w:w="0" w:type="auto"/>
            <w:tcBorders>
              <w:top w:val="nil"/>
              <w:left w:val="nil"/>
              <w:bottom w:val="nil"/>
              <w:right w:val="nil"/>
            </w:tcBorders>
            <w:shd w:val="clear" w:color="auto" w:fill="auto"/>
            <w:tcMar>
              <w:top w:w="72" w:type="dxa"/>
              <w:left w:w="144" w:type="dxa"/>
              <w:bottom w:w="72" w:type="dxa"/>
              <w:right w:w="144" w:type="dxa"/>
            </w:tcMar>
          </w:tcPr>
          <w:p w14:paraId="17DBBB8E" w14:textId="3F725A60" w:rsidR="00E018B8" w:rsidRPr="00E018B8" w:rsidRDefault="00E018B8" w:rsidP="00FB6F31">
            <w:pPr>
              <w:rPr>
                <w:rFonts w:eastAsiaTheme="minorEastAsia"/>
              </w:rPr>
            </w:pPr>
            <w:r>
              <w:rPr>
                <w:rFonts w:eastAsiaTheme="minorEastAsia"/>
              </w:rPr>
              <w:t>Conversion factor: annual seed production to biomass</w:t>
            </w:r>
          </w:p>
        </w:tc>
        <w:tc>
          <w:tcPr>
            <w:tcW w:w="0" w:type="auto"/>
            <w:tcBorders>
              <w:top w:val="nil"/>
              <w:left w:val="nil"/>
              <w:bottom w:val="nil"/>
              <w:right w:val="nil"/>
            </w:tcBorders>
            <w:shd w:val="clear" w:color="auto" w:fill="auto"/>
            <w:tcMar>
              <w:top w:w="72" w:type="dxa"/>
              <w:left w:w="144" w:type="dxa"/>
              <w:bottom w:w="72" w:type="dxa"/>
              <w:right w:w="144" w:type="dxa"/>
            </w:tcMar>
          </w:tcPr>
          <w:p w14:paraId="63B7070F" w14:textId="57C62027" w:rsidR="00E018B8" w:rsidRPr="00E018B8" w:rsidRDefault="00E018B8" w:rsidP="00FB6F31">
            <w:pPr>
              <w:rPr>
                <w:rFonts w:eastAsiaTheme="minorEastAsia"/>
              </w:rPr>
            </w:pPr>
            <w:r>
              <w:rPr>
                <w:rFonts w:eastAsiaTheme="minorEastAsia"/>
              </w:rPr>
              <w:t>g/seed</w:t>
            </w:r>
          </w:p>
        </w:tc>
        <w:tc>
          <w:tcPr>
            <w:tcW w:w="0" w:type="auto"/>
            <w:tcBorders>
              <w:top w:val="nil"/>
              <w:left w:val="nil"/>
              <w:bottom w:val="nil"/>
              <w:right w:val="nil"/>
            </w:tcBorders>
            <w:shd w:val="clear" w:color="auto" w:fill="auto"/>
            <w:tcMar>
              <w:top w:w="72" w:type="dxa"/>
              <w:left w:w="144" w:type="dxa"/>
              <w:bottom w:w="72" w:type="dxa"/>
              <w:right w:w="144" w:type="dxa"/>
            </w:tcMar>
          </w:tcPr>
          <w:p w14:paraId="7F96A76F" w14:textId="22EAF8E8" w:rsidR="00E018B8" w:rsidRPr="00E018B8" w:rsidRDefault="00E018B8" w:rsidP="00FB6F31">
            <w:pPr>
              <w:rPr>
                <w:rFonts w:eastAsiaTheme="minorEastAsia"/>
              </w:rPr>
            </w:pPr>
            <w:r>
              <w:rPr>
                <w:rFonts w:eastAsiaTheme="minorEastAsia"/>
              </w:rPr>
              <w:t>Literature</w:t>
            </w:r>
          </w:p>
        </w:tc>
      </w:tr>
      <w:tr w:rsidR="00E018B8" w:rsidRPr="00E018B8" w14:paraId="6F2FE37E"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1C4C817E" w14:textId="77777777" w:rsidR="00E018B8" w:rsidRPr="00E018B8" w:rsidRDefault="00E018B8" w:rsidP="00FB6F31">
            <w:pPr>
              <w:rPr>
                <w:rFonts w:eastAsiaTheme="minorEastAsia"/>
              </w:rPr>
            </w:pPr>
            <w:r w:rsidRPr="00E018B8">
              <w:rPr>
                <w:rFonts w:eastAsiaTheme="minorEastAsia"/>
                <w:i/>
                <w:iCs/>
              </w:rPr>
              <w:t>h</w:t>
            </w:r>
            <w:r w:rsidRPr="00E018B8">
              <w:rPr>
                <w:rFonts w:eastAsiaTheme="minorEastAsia"/>
                <w:i/>
                <w:iCs/>
                <w:vertAlign w:val="subscript"/>
              </w:rPr>
              <w:t>i</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3E108E93" w14:textId="77777777" w:rsidR="00E018B8" w:rsidRPr="00E018B8" w:rsidRDefault="00E018B8" w:rsidP="00FB6F31">
            <w:pPr>
              <w:rPr>
                <w:rFonts w:eastAsiaTheme="minorEastAsia"/>
              </w:rPr>
            </w:pPr>
            <w:r w:rsidRPr="00E018B8">
              <w:rPr>
                <w:rFonts w:eastAsiaTheme="minorEastAsia"/>
              </w:rPr>
              <w:t xml:space="preserve">Proportion of seedlings of species </w:t>
            </w:r>
            <w:proofErr w:type="spellStart"/>
            <w:r w:rsidRPr="00E018B8">
              <w:rPr>
                <w:rFonts w:eastAsiaTheme="minorEastAsia"/>
              </w:rPr>
              <w:t>i</w:t>
            </w:r>
            <w:proofErr w:type="spellEnd"/>
            <w:r w:rsidRPr="00E018B8">
              <w:rPr>
                <w:rFonts w:eastAsiaTheme="minorEastAsia"/>
              </w:rPr>
              <w:t xml:space="preserve"> that survive through the growing season</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1C3A620A" w14:textId="77777777" w:rsidR="00E018B8" w:rsidRPr="00E018B8" w:rsidRDefault="00E018B8" w:rsidP="00FB6F31">
            <w:pPr>
              <w:rPr>
                <w:rFonts w:eastAsiaTheme="minorEastAsia"/>
              </w:rPr>
            </w:pP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6CFDBCC" w14:textId="77777777" w:rsidR="00E018B8" w:rsidRPr="00E018B8" w:rsidRDefault="00E018B8" w:rsidP="00FB6F31">
            <w:pPr>
              <w:rPr>
                <w:rFonts w:eastAsiaTheme="minorEastAsia"/>
              </w:rPr>
            </w:pPr>
            <w:r w:rsidRPr="00E018B8">
              <w:rPr>
                <w:rFonts w:eastAsiaTheme="minorEastAsia"/>
              </w:rPr>
              <w:t>Field experiment</w:t>
            </w:r>
          </w:p>
        </w:tc>
      </w:tr>
      <w:tr w:rsidR="00FB6F31" w:rsidRPr="00E018B8" w14:paraId="601FC0B4"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2E0C9651" w14:textId="77777777" w:rsidR="00E018B8" w:rsidRPr="00E018B8" w:rsidRDefault="00E018B8" w:rsidP="00FB6F31">
            <w:pPr>
              <w:rPr>
                <w:rFonts w:eastAsiaTheme="minorEastAsia"/>
              </w:rPr>
            </w:pPr>
            <w:r w:rsidRPr="00E018B8">
              <w:rPr>
                <w:rFonts w:ascii="Cambria Math" w:eastAsiaTheme="minorEastAsia" w:hAnsi="Cambria Math" w:cs="Cambria Math"/>
              </w:rPr>
              <w:t>𝜆</w:t>
            </w:r>
            <w:proofErr w:type="spellStart"/>
            <w:r w:rsidRPr="00E018B8">
              <w:rPr>
                <w:rFonts w:eastAsiaTheme="minorEastAsia"/>
                <w:i/>
                <w:vertAlign w:val="subscript"/>
              </w:rPr>
              <w:t>i</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33EF68AF" w14:textId="77777777" w:rsidR="00E018B8" w:rsidRPr="00E018B8" w:rsidRDefault="00E018B8" w:rsidP="00FB6F31">
            <w:pPr>
              <w:rPr>
                <w:rFonts w:eastAsiaTheme="minorEastAsia"/>
              </w:rPr>
            </w:pPr>
            <w:r w:rsidRPr="00E018B8">
              <w:rPr>
                <w:rFonts w:eastAsiaTheme="minorEastAsia"/>
              </w:rPr>
              <w:t xml:space="preserve">Seeds produced by species </w:t>
            </w:r>
            <w:proofErr w:type="spellStart"/>
            <w:r w:rsidRPr="00E018B8">
              <w:rPr>
                <w:rFonts w:eastAsiaTheme="minorEastAsia"/>
              </w:rPr>
              <w:t>i</w:t>
            </w:r>
            <w:proofErr w:type="spellEnd"/>
            <w:r w:rsidRPr="00E018B8">
              <w:rPr>
                <w:rFonts w:eastAsiaTheme="minorEastAsia"/>
              </w:rPr>
              <w:t xml:space="preserve"> in the absence of competition</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28FD174" w14:textId="77777777" w:rsidR="00E018B8" w:rsidRPr="00E018B8" w:rsidRDefault="00E018B8" w:rsidP="00FB6F31">
            <w:pPr>
              <w:rPr>
                <w:rFonts w:eastAsiaTheme="minorEastAsia"/>
              </w:rPr>
            </w:pPr>
            <w:r w:rsidRPr="00E018B8">
              <w:rPr>
                <w:rFonts w:eastAsiaTheme="minorEastAsia"/>
              </w:rPr>
              <w:t>seeds/</w:t>
            </w:r>
          </w:p>
          <w:p w14:paraId="6262F461" w14:textId="77777777" w:rsidR="00E018B8" w:rsidRPr="00E018B8" w:rsidRDefault="00E018B8" w:rsidP="00FB6F31">
            <w:pPr>
              <w:rPr>
                <w:rFonts w:eastAsiaTheme="minorEastAsia"/>
              </w:rPr>
            </w:pPr>
            <w:r w:rsidRPr="00E018B8">
              <w:rPr>
                <w:rFonts w:eastAsiaTheme="minorEastAsia"/>
              </w:rPr>
              <w:t>individual</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94611A6" w14:textId="77777777" w:rsidR="00E018B8" w:rsidRPr="00E018B8" w:rsidRDefault="00E018B8" w:rsidP="00FB6F31">
            <w:pPr>
              <w:rPr>
                <w:rFonts w:eastAsiaTheme="minorEastAsia"/>
              </w:rPr>
            </w:pPr>
            <w:r w:rsidRPr="00E018B8">
              <w:rPr>
                <w:rFonts w:eastAsiaTheme="minorEastAsia"/>
              </w:rPr>
              <w:t>Field experiment (currently literature)</w:t>
            </w:r>
          </w:p>
        </w:tc>
      </w:tr>
      <w:tr w:rsidR="00E018B8" w:rsidRPr="00E018B8" w14:paraId="33DE0B41" w14:textId="77777777" w:rsidTr="00FB6F31">
        <w:trPr>
          <w:trHeight w:val="584"/>
        </w:trPr>
        <w:tc>
          <w:tcPr>
            <w:tcW w:w="0" w:type="auto"/>
            <w:tcBorders>
              <w:top w:val="nil"/>
              <w:left w:val="nil"/>
              <w:bottom w:val="nil"/>
              <w:right w:val="nil"/>
            </w:tcBorders>
            <w:shd w:val="clear" w:color="auto" w:fill="auto"/>
            <w:tcMar>
              <w:top w:w="72" w:type="dxa"/>
              <w:left w:w="144" w:type="dxa"/>
              <w:bottom w:w="72" w:type="dxa"/>
              <w:right w:w="144" w:type="dxa"/>
            </w:tcMar>
            <w:hideMark/>
          </w:tcPr>
          <w:p w14:paraId="3D30AA75" w14:textId="77777777" w:rsidR="00E018B8" w:rsidRPr="00E018B8" w:rsidRDefault="00E018B8" w:rsidP="00FB6F31">
            <w:pPr>
              <w:rPr>
                <w:rFonts w:eastAsiaTheme="minorEastAsia"/>
              </w:rPr>
            </w:pPr>
            <w:r w:rsidRPr="00E018B8">
              <w:rPr>
                <w:rFonts w:ascii="Cambria Math" w:eastAsiaTheme="minorEastAsia" w:hAnsi="Cambria Math" w:cs="Cambria Math"/>
              </w:rPr>
              <w:t>𝛼</w:t>
            </w:r>
            <w:proofErr w:type="spellStart"/>
            <w:r w:rsidRPr="00E018B8">
              <w:rPr>
                <w:rFonts w:eastAsiaTheme="minorEastAsia"/>
                <w:i/>
                <w:vertAlign w:val="subscript"/>
              </w:rPr>
              <w:t>ij</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0F082805" w14:textId="77777777" w:rsidR="00E018B8" w:rsidRPr="00E018B8" w:rsidRDefault="00E018B8" w:rsidP="00FB6F31">
            <w:pPr>
              <w:rPr>
                <w:rFonts w:eastAsiaTheme="minorEastAsia"/>
              </w:rPr>
            </w:pPr>
            <w:r w:rsidRPr="00E018B8">
              <w:rPr>
                <w:rFonts w:eastAsiaTheme="minorEastAsia"/>
              </w:rPr>
              <w:t xml:space="preserve">Competitive effect of species j on seed production of species </w:t>
            </w:r>
            <w:proofErr w:type="spellStart"/>
            <w:r w:rsidRPr="00E018B8">
              <w:rPr>
                <w:rFonts w:eastAsiaTheme="minorEastAsia"/>
              </w:rPr>
              <w:t>i</w:t>
            </w:r>
            <w:proofErr w:type="spellEnd"/>
          </w:p>
        </w:tc>
        <w:tc>
          <w:tcPr>
            <w:tcW w:w="0" w:type="auto"/>
            <w:tcBorders>
              <w:top w:val="nil"/>
              <w:left w:val="nil"/>
              <w:bottom w:val="nil"/>
              <w:right w:val="nil"/>
            </w:tcBorders>
            <w:shd w:val="clear" w:color="auto" w:fill="auto"/>
            <w:tcMar>
              <w:top w:w="72" w:type="dxa"/>
              <w:left w:w="144" w:type="dxa"/>
              <w:bottom w:w="72" w:type="dxa"/>
              <w:right w:w="144" w:type="dxa"/>
            </w:tcMar>
            <w:hideMark/>
          </w:tcPr>
          <w:p w14:paraId="46F3EF4E" w14:textId="574B48F6" w:rsidR="00E018B8" w:rsidRPr="00E018B8" w:rsidRDefault="00E018B8" w:rsidP="00FB6F31">
            <w:pPr>
              <w:rPr>
                <w:rFonts w:eastAsiaTheme="minorEastAsia"/>
                <w:vertAlign w:val="superscript"/>
              </w:rPr>
            </w:pPr>
            <w:r>
              <w:rPr>
                <w:rFonts w:eastAsiaTheme="minorEastAsia"/>
              </w:rPr>
              <w:t>individuals</w:t>
            </w:r>
            <w:r>
              <w:rPr>
                <w:rFonts w:eastAsiaTheme="minorEastAsia"/>
                <w:vertAlign w:val="superscript"/>
              </w:rPr>
              <w:t>-1</w:t>
            </w:r>
          </w:p>
        </w:tc>
        <w:tc>
          <w:tcPr>
            <w:tcW w:w="0" w:type="auto"/>
            <w:tcBorders>
              <w:top w:val="nil"/>
              <w:left w:val="nil"/>
              <w:bottom w:val="nil"/>
              <w:right w:val="nil"/>
            </w:tcBorders>
            <w:shd w:val="clear" w:color="auto" w:fill="auto"/>
            <w:tcMar>
              <w:top w:w="72" w:type="dxa"/>
              <w:left w:w="144" w:type="dxa"/>
              <w:bottom w:w="72" w:type="dxa"/>
              <w:right w:w="144" w:type="dxa"/>
            </w:tcMar>
            <w:hideMark/>
          </w:tcPr>
          <w:p w14:paraId="1730529D" w14:textId="4CEB2493" w:rsidR="00E018B8" w:rsidRPr="00E018B8" w:rsidRDefault="00E018B8" w:rsidP="00FB6F31">
            <w:pPr>
              <w:rPr>
                <w:rFonts w:eastAsiaTheme="minorEastAsia"/>
              </w:rPr>
            </w:pPr>
            <w:r w:rsidRPr="00E018B8">
              <w:rPr>
                <w:rFonts w:eastAsiaTheme="minorEastAsia"/>
              </w:rPr>
              <w:t xml:space="preserve">Field experiment (currently </w:t>
            </w:r>
            <w:r>
              <w:rPr>
                <w:rFonts w:eastAsiaTheme="minorEastAsia"/>
              </w:rPr>
              <w:t>greenhouse experiment and literature</w:t>
            </w:r>
            <w:r w:rsidRPr="00E018B8">
              <w:rPr>
                <w:rFonts w:eastAsiaTheme="minorEastAsia"/>
              </w:rPr>
              <w:t>)</w:t>
            </w:r>
          </w:p>
        </w:tc>
      </w:tr>
      <w:tr w:rsidR="00E018B8" w:rsidRPr="00E018B8" w14:paraId="3C294C12" w14:textId="77777777" w:rsidTr="00FB6F31">
        <w:trPr>
          <w:trHeight w:val="584"/>
        </w:trPr>
        <w:tc>
          <w:tcPr>
            <w:tcW w:w="0" w:type="auto"/>
            <w:tcBorders>
              <w:top w:val="nil"/>
              <w:left w:val="nil"/>
              <w:bottom w:val="single" w:sz="8" w:space="0" w:color="000000"/>
              <w:right w:val="nil"/>
            </w:tcBorders>
            <w:shd w:val="clear" w:color="auto" w:fill="auto"/>
            <w:tcMar>
              <w:top w:w="72" w:type="dxa"/>
              <w:left w:w="144" w:type="dxa"/>
              <w:bottom w:w="72" w:type="dxa"/>
              <w:right w:w="144" w:type="dxa"/>
            </w:tcMar>
          </w:tcPr>
          <w:p w14:paraId="32278B27" w14:textId="64AA2422" w:rsidR="00E018B8" w:rsidRPr="00E018B8" w:rsidRDefault="00FB6F31" w:rsidP="00FB6F31">
            <w:pPr>
              <w:rPr>
                <w:rFonts w:ascii="Cambria Math" w:eastAsiaTheme="minorEastAsia" w:hAnsi="Cambria Math" w:cs="Cambria Math"/>
              </w:rPr>
            </w:pPr>
            <w:proofErr w:type="spellStart"/>
            <w:r>
              <w:rPr>
                <w:rFonts w:ascii="Cambria Math" w:eastAsiaTheme="minorEastAsia" w:hAnsi="Cambria Math" w:cs="Cambria Math"/>
                <w:i/>
              </w:rPr>
              <w:lastRenderedPageBreak/>
              <w:t>tol</w:t>
            </w:r>
            <w:r w:rsidR="00E018B8">
              <w:rPr>
                <w:rFonts w:ascii="Cambria Math" w:eastAsiaTheme="minorEastAsia" w:hAnsi="Cambria Math" w:cs="Cambria Math"/>
                <w:i/>
                <w:vertAlign w:val="subscript"/>
              </w:rPr>
              <w:t>i</w:t>
            </w:r>
            <w:proofErr w:type="spellEnd"/>
          </w:p>
        </w:tc>
        <w:tc>
          <w:tcPr>
            <w:tcW w:w="0" w:type="auto"/>
            <w:tcBorders>
              <w:top w:val="nil"/>
              <w:left w:val="nil"/>
              <w:bottom w:val="single" w:sz="8" w:space="0" w:color="000000"/>
              <w:right w:val="nil"/>
            </w:tcBorders>
            <w:shd w:val="clear" w:color="auto" w:fill="auto"/>
            <w:tcMar>
              <w:top w:w="72" w:type="dxa"/>
              <w:left w:w="144" w:type="dxa"/>
              <w:bottom w:w="72" w:type="dxa"/>
              <w:right w:w="144" w:type="dxa"/>
            </w:tcMar>
          </w:tcPr>
          <w:p w14:paraId="32123534" w14:textId="79743561" w:rsidR="00E018B8" w:rsidRPr="00E018B8" w:rsidRDefault="00E018B8" w:rsidP="00FB6F31">
            <w:pPr>
              <w:rPr>
                <w:rFonts w:eastAsiaTheme="minorEastAsia"/>
              </w:rPr>
            </w:pPr>
            <w:r>
              <w:rPr>
                <w:rFonts w:eastAsiaTheme="minorEastAsia"/>
              </w:rPr>
              <w:t xml:space="preserve">The proportion of seed production maintained by species </w:t>
            </w:r>
            <w:proofErr w:type="spellStart"/>
            <w:r>
              <w:rPr>
                <w:rFonts w:eastAsiaTheme="minorEastAsia"/>
              </w:rPr>
              <w:t>i</w:t>
            </w:r>
            <w:proofErr w:type="spellEnd"/>
            <w:r>
              <w:rPr>
                <w:rFonts w:eastAsiaTheme="minorEastAsia"/>
              </w:rPr>
              <w:t xml:space="preserve"> while infected (i.e. tolerance)</w:t>
            </w:r>
          </w:p>
        </w:tc>
        <w:tc>
          <w:tcPr>
            <w:tcW w:w="0" w:type="auto"/>
            <w:tcBorders>
              <w:top w:val="nil"/>
              <w:left w:val="nil"/>
              <w:bottom w:val="single" w:sz="8" w:space="0" w:color="000000"/>
              <w:right w:val="nil"/>
            </w:tcBorders>
            <w:shd w:val="clear" w:color="auto" w:fill="auto"/>
            <w:tcMar>
              <w:top w:w="72" w:type="dxa"/>
              <w:left w:w="144" w:type="dxa"/>
              <w:bottom w:w="72" w:type="dxa"/>
              <w:right w:w="144" w:type="dxa"/>
            </w:tcMar>
          </w:tcPr>
          <w:p w14:paraId="7F8FE427" w14:textId="77777777" w:rsidR="00E018B8" w:rsidRDefault="00E018B8" w:rsidP="00FB6F31">
            <w:pPr>
              <w:rPr>
                <w:rFonts w:eastAsiaTheme="minorEastAsia"/>
              </w:rPr>
            </w:pPr>
          </w:p>
        </w:tc>
        <w:tc>
          <w:tcPr>
            <w:tcW w:w="0" w:type="auto"/>
            <w:tcBorders>
              <w:top w:val="nil"/>
              <w:left w:val="nil"/>
              <w:bottom w:val="single" w:sz="8" w:space="0" w:color="000000"/>
              <w:right w:val="nil"/>
            </w:tcBorders>
            <w:shd w:val="clear" w:color="auto" w:fill="auto"/>
            <w:tcMar>
              <w:top w:w="72" w:type="dxa"/>
              <w:left w:w="144" w:type="dxa"/>
              <w:bottom w:w="72" w:type="dxa"/>
              <w:right w:w="144" w:type="dxa"/>
            </w:tcMar>
          </w:tcPr>
          <w:p w14:paraId="4E30AB52" w14:textId="10585387" w:rsidR="00E018B8" w:rsidRPr="00E018B8" w:rsidRDefault="00FB6F31" w:rsidP="00FB6F31">
            <w:pPr>
              <w:rPr>
                <w:rFonts w:eastAsiaTheme="minorEastAsia"/>
              </w:rPr>
            </w:pPr>
            <w:r>
              <w:rPr>
                <w:rFonts w:eastAsiaTheme="minorEastAsia"/>
              </w:rPr>
              <w:t>Literature and estimate</w:t>
            </w:r>
          </w:p>
        </w:tc>
      </w:tr>
    </w:tbl>
    <w:p w14:paraId="5ACF64E3" w14:textId="77777777" w:rsidR="00E018B8" w:rsidRPr="00E018B8" w:rsidRDefault="00E018B8" w:rsidP="00FB6F31">
      <w:pPr>
        <w:rPr>
          <w:rFonts w:eastAsiaTheme="minorEastAsia"/>
        </w:rPr>
      </w:pPr>
    </w:p>
    <w:p w14:paraId="02659E90" w14:textId="77777777" w:rsidR="00E75D84" w:rsidRDefault="00E75D84" w:rsidP="00FB6F31">
      <w:pPr>
        <w:rPr>
          <w:rFonts w:eastAsiaTheme="minorEastAsia"/>
        </w:rPr>
      </w:pPr>
    </w:p>
    <w:p w14:paraId="0F809E35" w14:textId="25A05F97" w:rsidR="00E75D84" w:rsidRDefault="00E75D84" w:rsidP="00FB6F31">
      <w:pPr>
        <w:rPr>
          <w:rFonts w:eastAsiaTheme="minorEastAsia"/>
          <w:b/>
        </w:rPr>
      </w:pPr>
      <w:r>
        <w:rPr>
          <w:rFonts w:eastAsiaTheme="minorEastAsia"/>
          <w:b/>
        </w:rPr>
        <w:t>Results</w:t>
      </w:r>
    </w:p>
    <w:p w14:paraId="147FE32C" w14:textId="77777777" w:rsidR="00FB6F31" w:rsidRDefault="00FB6F31" w:rsidP="00FB6F31">
      <w:pPr>
        <w:rPr>
          <w:rFonts w:eastAsiaTheme="minorEastAsia"/>
          <w:b/>
        </w:rPr>
      </w:pPr>
    </w:p>
    <w:p w14:paraId="54420AF5" w14:textId="73109627" w:rsidR="00E75D84" w:rsidRDefault="003028B9" w:rsidP="00FB6F31">
      <w:pPr>
        <w:rPr>
          <w:rFonts w:eastAsiaTheme="minorEastAsia"/>
        </w:rPr>
      </w:pPr>
      <w:r>
        <w:rPr>
          <w:rFonts w:eastAsiaTheme="minorEastAsia"/>
        </w:rPr>
        <w:t>When infection was included in the model, t</w:t>
      </w:r>
      <w:r w:rsidR="00E75D84">
        <w:rPr>
          <w:rFonts w:eastAsiaTheme="minorEastAsia"/>
        </w:rPr>
        <w:t xml:space="preserve">he annual’s GRWR </w:t>
      </w:r>
      <w:r w:rsidR="00FD45FC">
        <w:rPr>
          <w:rFonts w:eastAsiaTheme="minorEastAsia"/>
        </w:rPr>
        <w:t>wa</w:t>
      </w:r>
      <w:r w:rsidR="00E75D84">
        <w:rPr>
          <w:rFonts w:eastAsiaTheme="minorEastAsia"/>
        </w:rPr>
        <w:t xml:space="preserve">s </w:t>
      </w:r>
      <w:r w:rsidR="00FD45FC">
        <w:rPr>
          <w:rFonts w:eastAsiaTheme="minorEastAsia"/>
        </w:rPr>
        <w:t>highly</w:t>
      </w:r>
      <w:r w:rsidR="00E75D84">
        <w:rPr>
          <w:rFonts w:eastAsiaTheme="minorEastAsia"/>
        </w:rPr>
        <w:t xml:space="preserve"> sensitive to perennial adult survival (</w:t>
      </w:r>
      <w:proofErr w:type="spellStart"/>
      <w:r w:rsidR="00E75D84">
        <w:rPr>
          <w:rFonts w:eastAsiaTheme="minorEastAsia"/>
          <w:i/>
        </w:rPr>
        <w:t>m</w:t>
      </w:r>
      <w:r w:rsidR="00E75D84">
        <w:rPr>
          <w:rFonts w:eastAsiaTheme="minorEastAsia"/>
          <w:i/>
          <w:vertAlign w:val="subscript"/>
        </w:rPr>
        <w:t>p</w:t>
      </w:r>
      <w:proofErr w:type="spellEnd"/>
      <w:r w:rsidR="00E75D84">
        <w:rPr>
          <w:rFonts w:eastAsiaTheme="minorEastAsia"/>
        </w:rPr>
        <w:t>, sensitivity = -51.8</w:t>
      </w:r>
      <w:r>
        <w:rPr>
          <w:rFonts w:eastAsiaTheme="minorEastAsia"/>
        </w:rPr>
        <w:t>, Fig. 1</w:t>
      </w:r>
      <w:r w:rsidR="00E75D84">
        <w:rPr>
          <w:rFonts w:eastAsiaTheme="minorEastAsia"/>
        </w:rPr>
        <w:t xml:space="preserve">). </w:t>
      </w:r>
      <w:r w:rsidR="00FD45FC">
        <w:rPr>
          <w:rFonts w:eastAsiaTheme="minorEastAsia"/>
        </w:rPr>
        <w:t>The seven next most influential parameters had the same magnitudes of sensitivity</w:t>
      </w:r>
      <w:r>
        <w:rPr>
          <w:rFonts w:eastAsiaTheme="minorEastAsia"/>
        </w:rPr>
        <w:t xml:space="preserve"> (Fig. 1)</w:t>
      </w:r>
      <w:r w:rsidR="00FD45FC">
        <w:rPr>
          <w:rFonts w:eastAsiaTheme="minorEastAsia"/>
        </w:rPr>
        <w:t>: annual establishment (</w:t>
      </w:r>
      <w:r w:rsidR="00FD45FC">
        <w:rPr>
          <w:rFonts w:eastAsiaTheme="minorEastAsia"/>
          <w:i/>
        </w:rPr>
        <w:t>h</w:t>
      </w:r>
      <w:r w:rsidR="00FD45FC">
        <w:rPr>
          <w:rFonts w:eastAsiaTheme="minorEastAsia"/>
          <w:i/>
          <w:vertAlign w:val="subscript"/>
        </w:rPr>
        <w:t>a</w:t>
      </w:r>
      <w:r w:rsidR="00FD45FC">
        <w:rPr>
          <w:rFonts w:eastAsiaTheme="minorEastAsia"/>
        </w:rPr>
        <w:t>, sensitivity = 2.5), annual fecundity in the absence of competition (</w:t>
      </w:r>
      <w:r w:rsidR="00FD45FC">
        <w:rPr>
          <w:rFonts w:eastAsiaTheme="minorEastAsia"/>
        </w:rPr>
        <w:sym w:font="Symbol" w:char="F06C"/>
      </w:r>
      <w:r w:rsidR="00FD45FC">
        <w:rPr>
          <w:rFonts w:eastAsiaTheme="minorEastAsia"/>
          <w:i/>
          <w:vertAlign w:val="subscript"/>
        </w:rPr>
        <w:t>a</w:t>
      </w:r>
      <w:r w:rsidR="00FD45FC">
        <w:rPr>
          <w:rFonts w:eastAsiaTheme="minorEastAsia"/>
        </w:rPr>
        <w:t>, sensitivity = 2.5), annual tolerance of infection (</w:t>
      </w:r>
      <w:r w:rsidR="00FB6F31" w:rsidRPr="00FB6F31">
        <w:rPr>
          <w:rFonts w:eastAsiaTheme="minorEastAsia"/>
          <w:i/>
        </w:rPr>
        <w:t>tol</w:t>
      </w:r>
      <w:r w:rsidR="00FD45FC">
        <w:rPr>
          <w:rFonts w:eastAsiaTheme="minorEastAsia"/>
          <w:i/>
          <w:vertAlign w:val="subscript"/>
        </w:rPr>
        <w:t>a</w:t>
      </w:r>
      <w:r w:rsidR="00FD45FC">
        <w:rPr>
          <w:rFonts w:eastAsiaTheme="minorEastAsia"/>
        </w:rPr>
        <w:t>, sensitivity = 2.5), intraspecific competition among perennial adults (</w:t>
      </w:r>
      <w:r w:rsidR="00FD45FC">
        <w:rPr>
          <w:rFonts w:eastAsiaTheme="minorEastAsia"/>
        </w:rPr>
        <w:sym w:font="Symbol" w:char="F061"/>
      </w:r>
      <w:r w:rsidR="00FD45FC">
        <w:rPr>
          <w:rFonts w:eastAsiaTheme="minorEastAsia"/>
          <w:i/>
          <w:vertAlign w:val="subscript"/>
        </w:rPr>
        <w:t>pp</w:t>
      </w:r>
      <w:r w:rsidR="00FD45FC">
        <w:rPr>
          <w:rFonts w:eastAsiaTheme="minorEastAsia"/>
        </w:rPr>
        <w:t>, sensitivity = 2.5), p</w:t>
      </w:r>
      <w:r w:rsidR="00E75D84">
        <w:rPr>
          <w:rFonts w:eastAsiaTheme="minorEastAsia"/>
        </w:rPr>
        <w:t>erennial fecundity in the absence of competition (</w:t>
      </w:r>
      <w:r w:rsidR="00E75D84">
        <w:rPr>
          <w:rFonts w:eastAsiaTheme="minorEastAsia"/>
        </w:rPr>
        <w:sym w:font="Symbol" w:char="F06C"/>
      </w:r>
      <w:r w:rsidR="00E75D84">
        <w:rPr>
          <w:rFonts w:eastAsiaTheme="minorEastAsia"/>
          <w:i/>
          <w:vertAlign w:val="subscript"/>
        </w:rPr>
        <w:t>p</w:t>
      </w:r>
      <w:r w:rsidR="00FD45FC">
        <w:rPr>
          <w:rFonts w:eastAsiaTheme="minorEastAsia"/>
        </w:rPr>
        <w:t>, sensitivity = -2.5</w:t>
      </w:r>
      <w:r w:rsidR="00E75D84">
        <w:rPr>
          <w:rFonts w:eastAsiaTheme="minorEastAsia"/>
        </w:rPr>
        <w:t xml:space="preserve">), </w:t>
      </w:r>
      <w:r w:rsidR="00FD45FC">
        <w:rPr>
          <w:rFonts w:eastAsiaTheme="minorEastAsia"/>
        </w:rPr>
        <w:t xml:space="preserve">perennial </w:t>
      </w:r>
      <w:r w:rsidR="00E75D84">
        <w:rPr>
          <w:rFonts w:eastAsiaTheme="minorEastAsia"/>
        </w:rPr>
        <w:t xml:space="preserve">tolerance </w:t>
      </w:r>
      <w:r w:rsidR="00FD45FC">
        <w:rPr>
          <w:rFonts w:eastAsiaTheme="minorEastAsia"/>
        </w:rPr>
        <w:t>of</w:t>
      </w:r>
      <w:r w:rsidR="00E75D84">
        <w:rPr>
          <w:rFonts w:eastAsiaTheme="minorEastAsia"/>
        </w:rPr>
        <w:t xml:space="preserve"> infection (</w:t>
      </w:r>
      <w:proofErr w:type="spellStart"/>
      <w:r w:rsidR="00FB6F31">
        <w:rPr>
          <w:rFonts w:eastAsiaTheme="minorEastAsia"/>
          <w:i/>
        </w:rPr>
        <w:t>tol</w:t>
      </w:r>
      <w:r w:rsidR="00E75D84">
        <w:rPr>
          <w:rFonts w:eastAsiaTheme="minorEastAsia"/>
          <w:i/>
          <w:vertAlign w:val="subscript"/>
        </w:rPr>
        <w:t>p</w:t>
      </w:r>
      <w:proofErr w:type="spellEnd"/>
      <w:r w:rsidR="00FD45FC">
        <w:rPr>
          <w:rFonts w:eastAsiaTheme="minorEastAsia"/>
        </w:rPr>
        <w:t>, sensitivity = -2.5</w:t>
      </w:r>
      <w:r w:rsidR="00E75D84">
        <w:rPr>
          <w:rFonts w:eastAsiaTheme="minorEastAsia"/>
        </w:rPr>
        <w:t>), and the competitive effects of the perennial seedling on the annual (</w:t>
      </w:r>
      <w:r w:rsidR="00E75D84">
        <w:rPr>
          <w:rFonts w:eastAsiaTheme="minorEastAsia"/>
        </w:rPr>
        <w:sym w:font="Symbol" w:char="F061"/>
      </w:r>
      <w:r w:rsidR="00E75D84">
        <w:rPr>
          <w:rFonts w:eastAsiaTheme="minorEastAsia"/>
          <w:i/>
          <w:vertAlign w:val="subscript"/>
        </w:rPr>
        <w:t>as</w:t>
      </w:r>
      <w:r w:rsidR="00FD45FC">
        <w:rPr>
          <w:rFonts w:eastAsiaTheme="minorEastAsia"/>
        </w:rPr>
        <w:t>, sensitivity = -2.5</w:t>
      </w:r>
      <w:r w:rsidR="00E75D84">
        <w:rPr>
          <w:rFonts w:eastAsiaTheme="minorEastAsia"/>
        </w:rPr>
        <w:t>)</w:t>
      </w:r>
      <w:r w:rsidR="00FD45FC">
        <w:rPr>
          <w:rFonts w:eastAsiaTheme="minorEastAsia"/>
        </w:rPr>
        <w:t>. The perennial’s GRWR was also most sensitive to perennial adult survival (</w:t>
      </w:r>
      <w:proofErr w:type="spellStart"/>
      <w:r w:rsidR="00FD45FC">
        <w:rPr>
          <w:rFonts w:eastAsiaTheme="minorEastAsia"/>
          <w:i/>
        </w:rPr>
        <w:t>m</w:t>
      </w:r>
      <w:r w:rsidR="00FD45FC">
        <w:rPr>
          <w:rFonts w:eastAsiaTheme="minorEastAsia"/>
          <w:i/>
          <w:vertAlign w:val="subscript"/>
        </w:rPr>
        <w:t>p</w:t>
      </w:r>
      <w:proofErr w:type="spellEnd"/>
      <w:r w:rsidR="00FD45FC">
        <w:rPr>
          <w:rFonts w:eastAsiaTheme="minorEastAsia"/>
        </w:rPr>
        <w:t>, sensitivity = 2.6), with perennial seed survival a close second (</w:t>
      </w:r>
      <w:proofErr w:type="spellStart"/>
      <w:r w:rsidR="00FD45FC">
        <w:rPr>
          <w:rFonts w:eastAsiaTheme="minorEastAsia"/>
          <w:i/>
        </w:rPr>
        <w:t>s</w:t>
      </w:r>
      <w:r w:rsidR="00FD45FC">
        <w:rPr>
          <w:rFonts w:eastAsiaTheme="minorEastAsia"/>
          <w:i/>
          <w:vertAlign w:val="subscript"/>
        </w:rPr>
        <w:t>s</w:t>
      </w:r>
      <w:proofErr w:type="spellEnd"/>
      <w:r w:rsidR="00FD45FC">
        <w:rPr>
          <w:rFonts w:eastAsiaTheme="minorEastAsia"/>
        </w:rPr>
        <w:t>, sensitivity = 2.5</w:t>
      </w:r>
      <w:r>
        <w:rPr>
          <w:rFonts w:eastAsiaTheme="minorEastAsia"/>
        </w:rPr>
        <w:t>, Fig. 1</w:t>
      </w:r>
      <w:r w:rsidR="00FD45FC">
        <w:rPr>
          <w:rFonts w:eastAsiaTheme="minorEastAsia"/>
        </w:rPr>
        <w:t>). The most influential annual parameter on perennial GRWR was the annual seed survival (</w:t>
      </w:r>
      <w:proofErr w:type="spellStart"/>
      <w:r w:rsidR="00FD45FC">
        <w:rPr>
          <w:rFonts w:eastAsiaTheme="minorEastAsia"/>
          <w:i/>
        </w:rPr>
        <w:t>s</w:t>
      </w:r>
      <w:r w:rsidR="00FD45FC">
        <w:rPr>
          <w:rFonts w:eastAsiaTheme="minorEastAsia"/>
          <w:i/>
          <w:vertAlign w:val="subscript"/>
        </w:rPr>
        <w:t>a</w:t>
      </w:r>
      <w:proofErr w:type="spellEnd"/>
      <w:r w:rsidR="00FD45FC">
        <w:rPr>
          <w:rFonts w:eastAsiaTheme="minorEastAsia"/>
        </w:rPr>
        <w:t>, sensitivity = -1.5</w:t>
      </w:r>
      <w:r>
        <w:rPr>
          <w:rFonts w:eastAsiaTheme="minorEastAsia"/>
        </w:rPr>
        <w:t>, Fig. 1</w:t>
      </w:r>
      <w:r w:rsidR="00FD45FC">
        <w:rPr>
          <w:rFonts w:eastAsiaTheme="minorEastAsia"/>
        </w:rPr>
        <w:t>).</w:t>
      </w:r>
    </w:p>
    <w:p w14:paraId="749D8948" w14:textId="5AA87A61" w:rsidR="003028B9" w:rsidRDefault="003028B9" w:rsidP="00FB6F31">
      <w:pPr>
        <w:rPr>
          <w:rFonts w:eastAsiaTheme="minorEastAsia"/>
        </w:rPr>
      </w:pPr>
    </w:p>
    <w:p w14:paraId="0C6BB262" w14:textId="2676155F" w:rsidR="003028B9" w:rsidRDefault="003028B9" w:rsidP="00FB6F31">
      <w:pPr>
        <w:rPr>
          <w:rFonts w:eastAsiaTheme="minorEastAsia"/>
        </w:rPr>
      </w:pPr>
      <w:r>
        <w:rPr>
          <w:rFonts w:eastAsiaTheme="minorEastAsia"/>
        </w:rPr>
        <w:t>When disease tolerance for both species was maximized, such that there was no impact of infection on seed production, the results were qualitatively similar to when disease tolerance was lower (Fig. 2). The magnitude of parameter sensitivity decreased for the annual GRWR and increased for the perennial GRWR. In addition, perennial seed survival became a more influential parameter (</w:t>
      </w:r>
      <w:proofErr w:type="spellStart"/>
      <w:r>
        <w:rPr>
          <w:rFonts w:eastAsiaTheme="minorEastAsia"/>
          <w:i/>
        </w:rPr>
        <w:t>s</w:t>
      </w:r>
      <w:r>
        <w:rPr>
          <w:rFonts w:eastAsiaTheme="minorEastAsia"/>
          <w:i/>
          <w:vertAlign w:val="subscript"/>
        </w:rPr>
        <w:t>s</w:t>
      </w:r>
      <w:proofErr w:type="spellEnd"/>
      <w:r>
        <w:rPr>
          <w:rFonts w:eastAsiaTheme="minorEastAsia"/>
        </w:rPr>
        <w:t>, sensitivity = 3.5) than perennial adult survival (</w:t>
      </w:r>
      <w:proofErr w:type="spellStart"/>
      <w:r>
        <w:rPr>
          <w:rFonts w:eastAsiaTheme="minorEastAsia"/>
          <w:i/>
        </w:rPr>
        <w:t>m</w:t>
      </w:r>
      <w:r>
        <w:rPr>
          <w:rFonts w:eastAsiaTheme="minorEastAsia"/>
          <w:i/>
          <w:vertAlign w:val="subscript"/>
        </w:rPr>
        <w:t>p</w:t>
      </w:r>
      <w:proofErr w:type="spellEnd"/>
      <w:r>
        <w:rPr>
          <w:rFonts w:eastAsiaTheme="minorEastAsia"/>
        </w:rPr>
        <w:t>, sensitivity = 3.2) for the perennial GRWR (Fig. 2).</w:t>
      </w:r>
    </w:p>
    <w:p w14:paraId="04AB3039" w14:textId="77777777" w:rsidR="00FD45FC" w:rsidRDefault="00FD45FC" w:rsidP="00FB6F31">
      <w:pPr>
        <w:rPr>
          <w:rFonts w:eastAsiaTheme="minorEastAsia"/>
        </w:rPr>
      </w:pPr>
    </w:p>
    <w:p w14:paraId="3665BEAB" w14:textId="3A70261A" w:rsidR="00E75D84" w:rsidRDefault="00FB6F31" w:rsidP="00FB6F31">
      <w:pPr>
        <w:rPr>
          <w:rFonts w:eastAsiaTheme="minorEastAsia"/>
        </w:rPr>
      </w:pPr>
      <w:r>
        <w:rPr>
          <w:rFonts w:eastAsiaTheme="minorEastAsia"/>
          <w:noProof/>
        </w:rPr>
        <w:lastRenderedPageBreak/>
        <w:drawing>
          <wp:inline distT="0" distB="0" distL="0" distR="0" wp14:anchorId="7B7277ED" wp14:editId="2E829B59">
            <wp:extent cx="50292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itivityAnalysis_PlantDiseaseModel_021219.pdf"/>
                    <pic:cNvPicPr/>
                  </pic:nvPicPr>
                  <pic:blipFill>
                    <a:blip r:embed="rId4">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14:paraId="1606D9BC" w14:textId="2E15D69F" w:rsidR="003028B9" w:rsidRDefault="003028B9" w:rsidP="00FB6F31">
      <w:pPr>
        <w:rPr>
          <w:rFonts w:eastAsiaTheme="minorEastAsia"/>
        </w:rPr>
      </w:pPr>
      <w:r>
        <w:rPr>
          <w:rFonts w:eastAsiaTheme="minorEastAsia"/>
        </w:rPr>
        <w:t>Figure 1: Sensitivity analysis of fully parameterized model</w:t>
      </w:r>
    </w:p>
    <w:p w14:paraId="60351339" w14:textId="0C5604C1" w:rsidR="003028B9" w:rsidRDefault="00FB6F31" w:rsidP="00FB6F31">
      <w:pPr>
        <w:rPr>
          <w:rFonts w:eastAsiaTheme="minorEastAsia"/>
        </w:rPr>
      </w:pPr>
      <w:r>
        <w:rPr>
          <w:rFonts w:eastAsiaTheme="minorEastAsia"/>
          <w:noProof/>
        </w:rPr>
        <w:lastRenderedPageBreak/>
        <w:drawing>
          <wp:inline distT="0" distB="0" distL="0" distR="0" wp14:anchorId="5B0104C0" wp14:editId="10483C53">
            <wp:extent cx="502920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itivityAnalysis_HealthyPlantModel_021219.pdf"/>
                    <pic:cNvPicPr/>
                  </pic:nvPicPr>
                  <pic:blipFill>
                    <a:blip r:embed="rId5">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14:paraId="207D312D" w14:textId="62BC980D" w:rsidR="003028B9" w:rsidRPr="003028B9" w:rsidRDefault="003028B9" w:rsidP="00FB6F31">
      <w:pPr>
        <w:rPr>
          <w:rFonts w:eastAsiaTheme="minorEastAsia"/>
        </w:rPr>
      </w:pPr>
      <w:r>
        <w:rPr>
          <w:rFonts w:eastAsiaTheme="minorEastAsia"/>
        </w:rPr>
        <w:t>Figure 2: Sensitivity analysis of model without infection (</w:t>
      </w:r>
      <w:r w:rsidR="00FB6F31">
        <w:rPr>
          <w:rFonts w:eastAsiaTheme="minorEastAsia"/>
          <w:i/>
        </w:rPr>
        <w:t>tol</w:t>
      </w:r>
      <w:r>
        <w:rPr>
          <w:rFonts w:eastAsiaTheme="minorEastAsia"/>
          <w:i/>
          <w:vertAlign w:val="subscript"/>
        </w:rPr>
        <w:t>a</w:t>
      </w:r>
      <w:r>
        <w:rPr>
          <w:rFonts w:eastAsiaTheme="minorEastAsia"/>
        </w:rPr>
        <w:t xml:space="preserve"> = 1, </w:t>
      </w:r>
      <w:proofErr w:type="spellStart"/>
      <w:r w:rsidR="00FB6F31">
        <w:rPr>
          <w:rFonts w:eastAsiaTheme="minorEastAsia"/>
          <w:i/>
        </w:rPr>
        <w:t>tol</w:t>
      </w:r>
      <w:r>
        <w:rPr>
          <w:rFonts w:eastAsiaTheme="minorEastAsia"/>
          <w:i/>
          <w:vertAlign w:val="subscript"/>
        </w:rPr>
        <w:t>p</w:t>
      </w:r>
      <w:proofErr w:type="spellEnd"/>
      <w:r>
        <w:rPr>
          <w:rFonts w:eastAsiaTheme="minorEastAsia"/>
        </w:rPr>
        <w:t xml:space="preserve"> = 1)</w:t>
      </w:r>
    </w:p>
    <w:p w14:paraId="7850764B" w14:textId="77777777" w:rsidR="003F093D" w:rsidRPr="00E75D84" w:rsidRDefault="003F093D" w:rsidP="00FB6F31">
      <w:pPr>
        <w:rPr>
          <w:rFonts w:eastAsiaTheme="minorEastAsia"/>
        </w:rPr>
      </w:pPr>
      <w:bookmarkStart w:id="0" w:name="_GoBack"/>
      <w:bookmarkEnd w:id="0"/>
    </w:p>
    <w:p w14:paraId="41D702B9" w14:textId="093AD51F" w:rsidR="00E75D84" w:rsidRDefault="003F093D" w:rsidP="00FB6F31">
      <w:pPr>
        <w:rPr>
          <w:b/>
        </w:rPr>
      </w:pPr>
      <w:r>
        <w:rPr>
          <w:b/>
        </w:rPr>
        <w:t>Recommendations for field experiment year 2</w:t>
      </w:r>
    </w:p>
    <w:p w14:paraId="310EBA57" w14:textId="77777777" w:rsidR="00FB6F31" w:rsidRDefault="00FB6F31" w:rsidP="00FB6F31"/>
    <w:p w14:paraId="70904733" w14:textId="1D3BB7F4" w:rsidR="003F093D" w:rsidRPr="003F093D" w:rsidRDefault="003F093D" w:rsidP="00FB6F31">
      <w:r>
        <w:t>Collecting data on perennial survival (first</w:t>
      </w:r>
      <w:r w:rsidR="00FB6F31">
        <w:t>-</w:t>
      </w:r>
      <w:r>
        <w:t>year and older) in spring 2019 should be a priority. We will assess survival as green tissue appearing by May 2019. At this time, the first</w:t>
      </w:r>
      <w:r w:rsidR="00FB6F31">
        <w:t>-</w:t>
      </w:r>
      <w:r>
        <w:t xml:space="preserve">year perennials will be replaced with seedlings grown in the greenhouse. Seed survival studies that we start in October 2019 and carry out until spring 2020 will improve model predictions. Seed production data that we have collected in 2018 and will collect in 2019 will address the remaining sensitive parameters. </w:t>
      </w:r>
    </w:p>
    <w:sectPr w:rsidR="003F093D" w:rsidRPr="003F093D" w:rsidSect="00A3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84"/>
    <w:rsid w:val="00016557"/>
    <w:rsid w:val="00022D2E"/>
    <w:rsid w:val="002713A9"/>
    <w:rsid w:val="003028B9"/>
    <w:rsid w:val="00304DB7"/>
    <w:rsid w:val="00372F90"/>
    <w:rsid w:val="003F093D"/>
    <w:rsid w:val="004472B6"/>
    <w:rsid w:val="004C7C76"/>
    <w:rsid w:val="00506DB2"/>
    <w:rsid w:val="005B3161"/>
    <w:rsid w:val="006F6436"/>
    <w:rsid w:val="008923F6"/>
    <w:rsid w:val="008F527A"/>
    <w:rsid w:val="00A34312"/>
    <w:rsid w:val="00A43014"/>
    <w:rsid w:val="00A808CC"/>
    <w:rsid w:val="00AB664A"/>
    <w:rsid w:val="00B952C0"/>
    <w:rsid w:val="00BA3449"/>
    <w:rsid w:val="00BF78BE"/>
    <w:rsid w:val="00C86A12"/>
    <w:rsid w:val="00CB5A82"/>
    <w:rsid w:val="00D65DF7"/>
    <w:rsid w:val="00E018B8"/>
    <w:rsid w:val="00E24C14"/>
    <w:rsid w:val="00E75D84"/>
    <w:rsid w:val="00F370CB"/>
    <w:rsid w:val="00F71DF4"/>
    <w:rsid w:val="00FB6F31"/>
    <w:rsid w:val="00FD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16AB6"/>
  <w15:chartTrackingRefBased/>
  <w15:docId w15:val="{DE7F2362-654F-B546-9712-8A1F8FAD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Kendig</dc:creator>
  <cp:keywords/>
  <dc:description/>
  <cp:lastModifiedBy>Amy Kendig</cp:lastModifiedBy>
  <cp:revision>4</cp:revision>
  <dcterms:created xsi:type="dcterms:W3CDTF">2019-02-12T16:05:00Z</dcterms:created>
  <dcterms:modified xsi:type="dcterms:W3CDTF">2019-02-12T18:47:00Z</dcterms:modified>
</cp:coreProperties>
</file>