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№3</w:t>
      </w:r>
    </w:p>
    <w:p>
      <w:pPr>
        <w:pStyle w:val="Author"/>
      </w:pPr>
      <w:r>
        <w:t xml:space="preserve">Хорошева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отчёт, оформленный с помощью языка разметки Markdown. Также редактирование с помощью vim и компиляция с использованием Makefile.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1. 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SourceCode"/>
      </w:pPr>
      <w:r>
        <w:rPr>
          <w:rStyle w:val="VerbatimChar"/>
        </w:rP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Sub-instruction</w:t>
      </w:r>
    </w:p>
    <w:p>
      <w:pPr>
        <w:numPr>
          <w:ilvl w:val="0"/>
          <w:numId w:val="1002"/>
        </w:numPr>
        <w:pStyle w:val="Compact"/>
      </w:pPr>
      <w:r>
        <w:t xml:space="preserve">Sub-instruction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3"/>
        </w:numPr>
        <w:pStyle w:val="Compact"/>
      </w:pPr>
      <w:r>
        <w:t xml:space="preserve">Second instruction</w:t>
      </w:r>
    </w:p>
    <w:p>
      <w:pPr>
        <w:numPr>
          <w:ilvl w:val="2"/>
          <w:numId w:val="1004"/>
        </w:numPr>
        <w:pStyle w:val="Compact"/>
      </w:pPr>
      <w:r>
        <w:t xml:space="preserve">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numPr>
          <w:ilvl w:val="0"/>
          <w:numId w:val="1005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1"/>
          <w:numId w:val="1006"/>
        </w:numPr>
        <w:pStyle w:val="Compact"/>
      </w:pPr>
      <w:r>
        <w:t xml:space="preserve">List item A</w:t>
      </w:r>
    </w:p>
    <w:p>
      <w:pPr>
        <w:numPr>
          <w:ilvl w:val="1"/>
          <w:numId w:val="1006"/>
        </w:numPr>
        <w:pStyle w:val="Compact"/>
      </w:pPr>
      <w:r>
        <w:t xml:space="preserve">List item B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</w:p>
    <w:p>
      <w:pPr>
        <w:pStyle w:val="FirstParagraph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3.2.2. 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 Например, формула sin2(𝑥) + cos2(𝑥) = 1 запишется как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Выключение формулы:</w:t>
      </w:r>
      <w:r>
        <w:t xml:space="preserve"> </w:t>
      </w:r>
      <w:r>
        <w:t xml:space="preserve">sin2(𝑥) + cos2(𝑥) = 1 (3.1) со ссылкой в тексте «Смотри формулу ({-eq. 3.1}).» записывается как</w:t>
      </w:r>
    </w:p>
    <w:p>
      <w:pPr>
        <w:pStyle w:val="BodyText"/>
      </w:pPr>
      <w:bookmarkStart w:id="22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  <w:r>
        <w:t xml:space="preserve"> </w:t>
      </w:r>
      <w:r>
        <w:rPr>
          <w:bCs/>
          <w:b/>
        </w:rPr>
        <w:t xml:space="preserve">3.2.3. 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 на него по тексту и размер изображения относительно ширины страницы (width=90)</w:t>
      </w:r>
    </w:p>
    <w:p>
      <w:pPr>
        <w:pStyle w:val="BodyText"/>
      </w:pPr>
      <w:r>
        <w:t xml:space="preserve">Ссылка на изображение (рис. 3.1) может быть оформлена следующим образом (рис. fig. </w:t>
      </w:r>
      <w:r>
        <w:rPr>
          <w:bCs/>
          <w:b/>
        </w:rPr>
        <w:t xml:space="preserve">¿fig:fig1?</w:t>
      </w:r>
      <w:r>
        <w:t xml:space="preserve">)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Выполнение лабораторной работы</w:t>
      </w:r>
      <w:r>
        <w:t xml:space="preserve"> </w:t>
      </w:r>
      <w:r>
        <w:t xml:space="preserve">1.Обновляю локальный репозиторий с помощью git pull</w:t>
      </w:r>
      <w:r>
        <w:t xml:space="preserve"> </w:t>
      </w:r>
      <w:r>
        <w:drawing>
          <wp:inline>
            <wp:extent cx="5334000" cy="90927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В каталоге для отчёта текущей лабораторной работы использую команду make. Makefile находится в этом же каталоге report, поэтому файлы в docx и pdf форматах успешно сгенерировались. Проверяю наличие файлов в папке вручную.</w:t>
      </w:r>
      <w:r>
        <w:t xml:space="preserve"> </w:t>
      </w:r>
      <w:r>
        <w:drawing>
          <wp:inline>
            <wp:extent cx="5334000" cy="97040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3358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Командой make clean удаляю файлы и проверяю, что их больше нет в папке report.</w:t>
      </w:r>
      <w:r>
        <w:t xml:space="preserve"> </w:t>
      </w:r>
      <w:r>
        <w:drawing>
          <wp:inline>
            <wp:extent cx="5334000" cy="8490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1370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Открываю файл report.md с помощью редактора vim и начинаю заполнять отчёт по лабораторной работе согласно шаблону.</w:t>
      </w:r>
      <w:r>
        <w:t xml:space="preserve"> </w:t>
      </w:r>
      <w:r>
        <w:drawing>
          <wp:inline>
            <wp:extent cx="5334000" cy="351263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6594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6594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3/report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  <w:r>
        <w:t xml:space="preserve"> </w:t>
      </w:r>
      <w:r>
        <w:rPr>
          <w:bCs/>
          <w:b/>
        </w:rPr>
        <w:t xml:space="preserve">Вывод</w:t>
      </w:r>
    </w:p>
    <w:p>
      <w:pPr>
        <w:pStyle w:val="SourceCode"/>
      </w:pPr>
      <w:r>
        <w:rPr>
          <w:rStyle w:val="VerbatimChar"/>
        </w:rPr>
        <w:t xml:space="preserve">По итогам лабораторной работы сформирован отчёт с использованием Markdown и текстового редактора vim.</w:t>
      </w:r>
    </w:p>
    <w:p>
      <w:pPr>
        <w:pStyle w:val="FirstParagraph"/>
      </w:pPr>
      <w:r>
        <w:t xml:space="preserve">Информация из теоретического введения помогла освоить навыки работы с Markdown:форматирование, вставка изображений, создание пронумерованных/маркированных списков и т.д.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Хорошева Алёна Евгеньевна</dc:creator>
  <dc:language>ru-RU</dc:language>
  <cp:keywords/>
  <dcterms:created xsi:type="dcterms:W3CDTF">2024-10-12T20:11:16Z</dcterms:created>
  <dcterms:modified xsi:type="dcterms:W3CDTF">2024-10-12T20:11:16Z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№3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