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jc w:val="center"/>
      </w:pPr>
      <w:r>
        <w:rPr>
          <w:b/>
          <w:bCs/>
          <w:color w:val="137CF0"/>
          <w:spacing w:val="40"/>
          <w:sz w:val="26"/>
          <w:szCs w:val="26"/>
        </w:rPr>
        <w:t xml:space="preserve">FEUILLE DE ROUTE</w:t>
      </w:r>
    </w:p>
    <w:p>
      <w:pPr>
        <w:spacing w:after="200" w:before="200"/>
        <w:jc w:val="center"/>
      </w:pPr>
      <w:r>
        <w:rPr>
          <w:b/>
          <w:bCs/>
          <w:color w:val="13233F"/>
          <w:sz w:val="56"/>
          <w:szCs w:val="56"/>
        </w:rPr>
        <w:t xml:space="preserve">Blog Monétisable &amp; Ad Arbitrage</w:t>
      </w:r>
    </w:p>
    <w:p>
      <w:pPr>
        <w:spacing w:after="600"/>
        <w:jc w:val="center"/>
      </w:pPr>
      <w:r>
        <w:rPr>
          <w:i/>
          <w:iCs/>
          <w:color w:val="5B6470"/>
          <w:sz w:val="24"/>
          <w:szCs w:val="24"/>
        </w:rPr>
        <w:t xml:space="preserve">Du choix de la niche à la monétisation — centralisation du tracking sur Google Tag Manager</w:t>
      </w:r>
    </w:p>
    <w:p>
      <w:pPr>
        <w:spacing w:before="1200"/>
        <w:jc w:val="center"/>
      </w:pPr>
      <w:r>
        <w:rPr>
          <w:color w:val="444444"/>
          <w:sz w:val="20"/>
          <w:szCs w:val="20"/>
        </w:rPr>
        <w:t xml:space="preserve">Synthèse actionnable des formations</w:t>
      </w:r>
    </w:p>
    <w:p>
      <w:pPr>
        <w:spacing w:after="40"/>
        <w:jc w:val="center"/>
      </w:pPr>
      <w:r>
        <w:rPr>
          <w:b/>
          <w:bCs/>
          <w:color w:val="137CF0"/>
          <w:sz w:val="22"/>
          <w:szCs w:val="22"/>
        </w:rPr>
        <w:t xml:space="preserve">Affiliate Pro  ·  Ad Arbitrage Pro</w:t>
      </w:r>
    </w:p>
    <w:p>
      <w:pPr>
        <w:spacing w:before="1000"/>
        <w:jc w:val="center"/>
      </w:pPr>
      <w:r>
        <w:rPr>
          <w:color w:val="5B6470"/>
          <w:sz w:val="18"/>
          <w:szCs w:val="18"/>
        </w:rPr>
        <w:t xml:space="preserve">17 septembre 2026</w:t>
      </w:r>
    </w:p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1. Objectif de ce guide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Ce document rassemble et complète, sous forme de feuille de route chronologique, le contenu des formations Affiliate Pro et Ad Arbitrage Pro. Il prolonge le tableau déjà initié (Choix de niche → Choix de domaine → Montage du blog → Lancement Google Ads) en y ajoutant les étapes suivantes : mise en place du tracking, Meta Ads, MGID/PropellerAds, centralisation via Google Tag Manager, catégorisation et passage à la performance, puis monétisation empilée et optimisation continue.</w:t>
      </w:r>
    </w:p>
    <w:tbl>
      <w:tblPr>
        <w:tblW w:type="pct" w:w="100%"/>
        <w:tblBorders>
          <w:top w:val="single" w:color="B26A00" w:sz="4"/>
          <w:left w:val="single" w:color="B26A00" w:sz="24"/>
          <w:bottom w:val="single" w:color="B26A00" w:sz="4"/>
          <w:right w:val="single" w:color="B26A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  <w:sz w:val="21"/>
                <w:szCs w:val="21"/>
              </w:rPr>
              <w:t xml:space="preserve">Note méthodologique</w:t>
            </w:r>
          </w:p>
          <w:p>
            <w:pPr>
              <w:spacing w:after="40" w:line="270"/>
            </w:pPr>
            <w:r>
              <w:rPr>
                <w:color w:val="333333"/>
                <w:sz w:val="20"/>
                <w:szCs w:val="20"/>
              </w:rPr>
              <w:t xml:space="preserve">• Les lignes « Choix de niche », « Choix de domaine », « Montage du blog » et « Lancement Google Ads » reprennent et détaillent ton tableau initial (contenu vérifié dans les modules fournis).</w:t>
            </w:r>
          </w:p>
          <w:p>
            <w:pPr>
              <w:spacing w:after="40" w:line="270"/>
            </w:pPr>
            <w:r>
              <w:rPr>
                <w:color w:val="333333"/>
                <w:sz w:val="20"/>
                <w:szCs w:val="20"/>
              </w:rPr>
              <w:t xml:space="preserve">• Les étapes GTM, Meta Ads, MGID/PropellerAds, centralisation et optimisation sont construites à partir des meilleures pratiques d'ad arbitrage — la colonne « Réf. formation » est laissée à compléter avec les intitulés exacts de session/leçon de ton programme, que je n'ai pas eus en entrée pour ces modules précis.</w:t>
            </w:r>
          </w:p>
          <w:p>
            <w:pPr>
              <w:spacing w:after="40" w:line="270"/>
            </w:pPr>
            <w:r>
              <w:rPr>
                <w:color w:val="333333"/>
                <w:sz w:val="20"/>
                <w:szCs w:val="20"/>
              </w:rPr>
              <w:t xml:space="preserve">• Adapte librement les libellés « Réf. formation » une fois les modules correspondants identifiés dans ton espace de cours.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2. Vue d'ensemble — la mécanique de l'ad arbitrage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Le modèle tient en quatre temps, répétés en boucle et pilotés au centime 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Achat — Tu achètes du trafic ciblé (Google Ads, Meta Ads, native MGID, push PropellerAds) avec un ciblage précis : géographie, device, audience, intention.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Contenu — Le trafic arrive sur une page monétisée dès sa conception (display haut RPM + affiliation à intention commerciale + native).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Revenu — Les couches de monétisation se cumulent : display, native, affiliation/CPA, produits digitaux, lead gen.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Marge — Tu compares le coût d'acquisition (CPC payé) au revenu par visiteur (RPV) mesuré via Google Tag Manager, et tu coupes ou tu scales.</w:t>
      </w:r>
    </w:p>
    <w:p>
      <w:pPr>
        <w:spacing w:after="120"/>
      </w:pPr>
    </w:p>
    <w:p>
      <w:pPr>
        <w:spacing w:after="160" w:line="300"/>
      </w:pPr>
      <w:r>
        <w:rPr>
          <w:b/>
          <w:bCs/>
          <w:color w:val="13233F"/>
          <w:sz w:val="21"/>
          <w:szCs w:val="21"/>
        </w:rPr>
        <w:t xml:space="preserve">Profit par visiteur = RPM de sortie − CPC d'achat, maximisé par le ciblage et l'intention.</w:t>
      </w:r>
    </w:p>
    <w:p>
      <w:pPr>
        <w:spacing w:after="160"/>
      </w:pP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Les 5 axes qui qualifient une niche gagnante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Résistance à l'IA — vécu, tests réels, photos personnelles, données locales.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RPM — valeur du trafic, pas volume brut.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Intention de recherche — commerciale / transactionnelle &gt; informationnelle / navigationnelle.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Modèle de monétisation — display + affiliation + CPA + leads, jamais une seule couche.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Géographie — Tier 1 (US, UK, CA, AU) prioritaire ; niche locale (RPM élevé, audience captive) vs mondiale (volume, RPM dilué).</w:t>
      </w:r>
    </w:p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3. Le tableau maître — chronologie complète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Tableau chronologique complet, du choix de la niche à l'optimisation continue. Les colonnes Programme / Réf. formation reprennent la structure de ton tableau initial.</w:t>
      </w:r>
    </w:p>
    <w:p>
      <w:pPr>
        <w:spacing w:after="120"/>
      </w:pP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3700"/>
        <w:gridCol w:w="1250"/>
        <w:gridCol w:w="1700"/>
        <w:gridCol w:w="2950"/>
      </w:tblGrid>
      <w:tr>
        <w:trPr>
          <w:tblHeader/>
        </w:trPr>
        <w:tc>
          <w:tcPr>
            <w:tcW w:type="dxa" w:w="90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50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370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Recommandations</w:t>
            </w:r>
          </w:p>
        </w:tc>
        <w:tc>
          <w:tcPr>
            <w:tcW w:type="dxa" w:w="125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Programme</w:t>
            </w:r>
          </w:p>
        </w:tc>
        <w:tc>
          <w:tcPr>
            <w:tcW w:type="dxa" w:w="170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Réf. formation</w:t>
            </w:r>
          </w:p>
        </w:tc>
        <w:tc>
          <w:tcPr>
            <w:tcW w:type="dxa" w:w="2950"/>
            <w:shd w:fill="13233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Astuces clés / KPI</w:t>
            </w:r>
          </w:p>
        </w:tc>
      </w:tr>
      <w:tr>
        <w:tc>
          <w:tcPr>
            <w:tcW w:type="dxa" w:w="9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0</w:t>
            </w:r>
          </w:p>
        </w:tc>
        <w:tc>
          <w:tcPr>
            <w:tcW w:type="dxa" w:w="15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Mindset &amp; validation</w:t>
            </w:r>
          </w:p>
        </w:tc>
        <w:tc>
          <w:tcPr>
            <w:tcW w:type="dxa" w:w="37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Ne jamais écrire avant de valider : protocole en 4 tests (programmes → volume → SERP → test économique).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Logique d'arbitrage : Achat trafic → Contenu monétisé → Revenu → Marge → Scale.</w:t>
            </w:r>
          </w:p>
        </w:tc>
        <w:tc>
          <w:tcPr>
            <w:tcW w:type="dxa" w:w="125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Affiliate Pro</w:t>
            </w:r>
          </w:p>
        </w:tc>
        <w:tc>
          <w:tcPr>
            <w:tcW w:type="dxa" w:w="17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Seuil d'abandon test 1 : &lt; 4 programmes conformes.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Seuil d'abandon test 2 : &lt; 2000 recherches/mois cumulées.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Décision test 4 : RPV &gt; CPC → scale ; RPV &lt; 0,20$ → stop.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Choix de niche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Faire une étude de tendances (Google Trends, Keyword Planner).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Croiser les 5 axes : Résistance IA, RPM, Intention de recherche, Modèle de monétisation, Géographie.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Prioriser Tier 1 (US/UK/CA/AU) et intentions commerciales/transactionnelles.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Affiliate Pro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RPM = revenu par visiteur, pas volume brut (10k visiteurs à 40$ RPM &gt; 100k à 2$).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Display faible ≠ niche pauvre si CPA/affiliation forte (ex. gaming).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Angle précis &gt; niche large (zoomer pour battre l'IA sur l'E-E-A-T).</w:t>
            </w:r>
          </w:p>
        </w:tc>
      </w:tr>
      <w:tr>
        <w:tc>
          <w:tcPr>
            <w:tcW w:type="dxa" w:w="9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Choix de domaine</w:t>
            </w:r>
          </w:p>
        </w:tc>
        <w:tc>
          <w:tcPr>
            <w:tcW w:type="dxa" w:w="37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Choisir un nom de domaine .com, orienté marque (pas mot-clé exact).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Héberger le nom de domaine sur Cloudflare.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Renseigner une adresse USA (crédibilité régies pub / Tier 1).</w:t>
            </w:r>
          </w:p>
        </w:tc>
        <w:tc>
          <w:tcPr>
            <w:tcW w:type="dxa" w:w="125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Affiliate Pro</w:t>
            </w:r>
          </w:p>
        </w:tc>
        <w:tc>
          <w:tcPr>
            <w:tcW w:type="dxa" w:w="170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2F3F5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Vérifier l'historique avant achat : VirusTotal, Wayback Machine, site:domaine.com, profil de backlinks.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Éviter tirets, chiffres, fautes volontaires (signal spam).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Le geociblage se joue sur le contenu/hébergement, pas sur le pays du registrar.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Montage du blog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Utiliser Claude Code / Codex, framework Astro + Cloudflare (D1, R2, Workers, cache KV).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Contenu monétisable dès la conception (encarts pensés dans le gabarit).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Page d'article : titre, splitée en sections, contenu cliquable ; listing catégorie (photos…) ; la catégorie ne se référence pas seule.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S3 – L1 – P1 : Création d'un blog moderne avec Astro et Cloudflare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Header/menu/footer en composants réutilisables (1 modif = tout le site).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Maillage interne : article → 3-5 liés, catégorie → piliers (+1 à +2 pages vues/visiteur).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Core Web Vitals : LCP &lt; 2,5s, CLS &lt; 0,1, INP &lt; 200ms → vitesse = revenu.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Pages légales obligatoires (mentions, confidentialité, cookies) = condition d'accès AdSense/RSoC.</w:t>
            </w:r>
          </w:p>
        </w:tc>
      </w:tr>
      <w:tr>
        <w:tc>
          <w:tcPr>
            <w:tcW w:type="dxa" w:w="9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Tracking central — Google Tag Manager</w:t>
            </w:r>
          </w:p>
        </w:tc>
        <w:tc>
          <w:tcPr>
            <w:tcW w:type="dxa" w:w="3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Installer le conteneur GTM en tout premier, avant toute campagne payante.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Centraliser dans GTM : GA4 (config + events), Meta Pixel, tag de conversion Google Ads, pixel/postback MGID &amp; PropellerAds.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Faire pousser par le blog un dataLayer propre (voir section dédiée GTM).</w:t>
            </w:r>
          </w:p>
        </w:tc>
        <w:tc>
          <w:tcPr>
            <w:tcW w:type="dxa" w:w="12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1 seul GTM = 1 seule source de vérité pour tous les canaux publicitaires.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Publier une Version de conteneur à chaque changement + tester en mode Aperçu avant publication.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Prévoir le server-side GTM si adblockers/ITP dégradent le tracking (option avancée).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Lancement Google Ads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Amener du trafic qualifié, optimiser pour les events (clic sortant).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Affiliation → optimiser sur les liens sortants ; sans affiliation → optimiser sur les liens internes.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Display : surveiller la qualité du trafic ; définir les coûts.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Exact match → maximiser les clics ; Phrase match → maximiser les conversions.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S6 – L1 : Paramétrage et optimisation des campagnes Google Ads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Ne basculer en Maximiser les conversions / CPA cible que si le tag de conversion GTM est fiable (min. ~30 conversions/mois).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Exclure les placements/mots-clés à fort CPC et zéro conversion après un volume suffisant de clics.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Value-based bidding : faire remonter la valeur réelle (RPM display + commission affiliation) via GTM/GA4.</w:t>
            </w:r>
          </w:p>
        </w:tc>
      </w:tr>
      <w:tr>
        <w:tc>
          <w:tcPr>
            <w:tcW w:type="dxa" w:w="9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Lancement Meta Ads</w:t>
            </w:r>
          </w:p>
        </w:tc>
        <w:tc>
          <w:tcPr>
            <w:tcW w:type="dxa" w:w="3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Installer le Pixel Meta via GTM (balise Meta Pixel + Conversions API si possible).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Cibler par pays (Tier 1), âge, device, centres d'intérêt ; tester Advantage+ / audiences larges vs ciblage précis.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Objectif de campagne = Conversions (pas Trafic/Reach) dès que le pixel remonte des events fiables.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Tester 3-5 créas par ad set, couper sous performance après un seuil de dépense défini.</w:t>
            </w:r>
          </w:p>
        </w:tc>
        <w:tc>
          <w:tcPr>
            <w:tcW w:type="dxa" w:w="12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Fréquence capping : au-delà de 3-4, le CTR chute et le CPM grimpe (fatigue créative).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Retargeting sur les visiteurs ayant déclenché un event 'scroll 75%' ou 'clic sortant' non converti.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Lookalike audience à partir des convertisseurs remontés par GTM/CAPI, jamais des simples visiteurs.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CBO (Campaign Budget Optimization) une fois 2-3 ad sets rentables identifiés.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Trafic natif &amp; push — MGID / PropellerAds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Ouvrir un compte annonceur MGID (native) et/ou PropellerAds (push, onclick/pop, interstitiel).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Charger le pixel de conversion MGID/PropellerAds dans GTM (postback S2S recommandé).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Cibler par pays, device, catégorie de zones ; démarrer en Smart CPM/CPC puis affiner.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Tester plusieurs formats de widgets 'contenu recommandé' en bas d'article (cumulable avec le display).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Classer chaque zone en 3 listes : Perf (convertit, bon ROI) / Watch (volume correct, pas encore de conversion) / Blacklist (CPM élevé, 0 conversion sur volume suffisant).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Exclure une zone Blacklist dès qu'elle dépasse le coût d'un lead sans conversion sur un échantillon significatif.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Le native se cumule au display sans effort supplémentaire — ne pas l'oublier dans le revenu total.</w:t>
            </w:r>
          </w:p>
        </w:tc>
      </w:tr>
      <w:tr>
        <w:tc>
          <w:tcPr>
            <w:tcW w:type="dxa" w:w="9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Centralisation &amp; catégorisation via GTM</w:t>
            </w:r>
          </w:p>
        </w:tc>
        <w:tc>
          <w:tcPr>
            <w:tcW w:type="dxa" w:w="3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Faire de GTM le hub unique : toutes les sources (Google Ads, Meta, MGID, PropellerAds, SEO) taguées et identifiables.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Filtrer le trafic par UTM (source/medium/campaign/content/term) + Zone ID / Sub ID via variables GTM.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Catégoriser en audiences GA4 : par source, par device, par pays (Tier), par comportement (scroll, clic sortant, conversion).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Faire remonter ces catégories comme signaux vers Google Ads / Meta pour le smart bidding.</w:t>
            </w:r>
          </w:p>
        </w:tc>
        <w:tc>
          <w:tcPr>
            <w:tcW w:type="dxa" w:w="12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EAF2FE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Voir section dédiée « GTM comme hub central » pour le détail Tags/Triggers/Variables/DataLayer.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Ne jamais optimiser une campagne sur une donnée qui n'est pas passée par GTM/GA4 (biais de mesure).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Passage à la performance / scaling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Comparer systématiquement coût d'acquisition (CPC payé) vs revenu par visiteur (RPV).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Scaler par palier (+20-30%/semaine) les combinaisons audience × créa × offre rentables.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Couper immédiatement ce qui est sous le seuil de rentabilité, sans attachement émotionnel.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Règle : RPV &gt; CPC → scale ; 0,5$ &lt; RPV &lt; CPC → tenir en organique seulement ; RPV &lt; 0,20$ → stop.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Scaler le budget, jamais les mêmes zones/créas à l'infini (fatigue = CPM qui monte, CTR qui baisse).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Documenter chaque coupe/scale dans un tableau de suivi hebdomadaire (voir section KPI).</w:t>
            </w:r>
          </w:p>
        </w:tc>
      </w:tr>
      <w:tr>
        <w:tc>
          <w:tcPr>
            <w:tcW w:type="dxa" w:w="90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Monétisation empilée</w:t>
            </w:r>
          </w:p>
        </w:tc>
        <w:tc>
          <w:tcPr>
            <w:tcW w:type="dxa" w:w="370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Display : démarrer AdSense (sans seuil) → monter vers Ezoic → Mediavine → Raptive selon le trafic.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Native : MGID / Revcontent (accessibles) puis Taboola/Outbrain quand le volume le permet.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Affiliation &amp; CPA/CPI : programmes à forte intention (comparatifs, avis, meilleur/prix).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Produits digitaux et lead gen / sponsoring en complément sur les niches Tier S.</w:t>
            </w:r>
          </w:p>
        </w:tc>
        <w:tc>
          <w:tcPr>
            <w:tcW w:type="dxa" w:w="125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EAF6EC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Revenu réel par visiteur = display + native + affiliation + leads (jamais un seul canal isolé).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Changer de régie display peut multiplier le revenu par 4 à trafic égal — surveiller les seuils d'accès.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Ne jamais dépendre d'une seule source de revenu ni d'un seul annonceur.</w:t>
            </w:r>
          </w:p>
        </w:tc>
      </w:tr>
      <w:tr>
        <w:tc>
          <w:tcPr>
            <w:tcW w:type="dxa" w:w="9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13233F"/>
                <w:sz w:val="17"/>
                <w:szCs w:val="17"/>
              </w:rPr>
              <w:t xml:space="preserve">11</w:t>
            </w:r>
          </w:p>
        </w:tc>
        <w:tc>
          <w:tcPr>
            <w:tcW w:type="dxa" w:w="15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222222"/>
                <w:sz w:val="17"/>
                <w:szCs w:val="17"/>
              </w:rPr>
              <w:t xml:space="preserve">Optimisation continue</w:t>
            </w:r>
          </w:p>
        </w:tc>
        <w:tc>
          <w:tcPr>
            <w:tcW w:type="dxa" w:w="3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Zoom hebdomadaire : descendre du global (compte) vers le détail (campagne → ad set/zone → créa/mot-clé).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Suivre Display (RPM, viewability), Clics (CTR, CPC, trafic invalide), Conversions (taux, CPA, valeur, délai).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A/B tester emplacements pub, titres, landing pages (une variable à la fois).</w:t>
            </w:r>
          </w:p>
        </w:tc>
        <w:tc>
          <w:tcPr>
            <w:tcW w:type="dxa" w:w="12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 Arbitrage</w:t>
            </w:r>
          </w:p>
        </w:tc>
        <w:tc>
          <w:tcPr>
            <w:tcW w:type="dxa" w:w="170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40" w:line="260"/>
            </w:pPr>
            <w:r>
              <w:rPr>
                <w:b w:val="false"/>
                <w:bCs w:val="false"/>
                <w:color w:val="5B6470"/>
                <w:sz w:val="17"/>
                <w:szCs w:val="17"/>
              </w:rPr>
              <w:t xml:space="preserve">à compléter</w:t>
            </w:r>
          </w:p>
        </w:tc>
        <w:tc>
          <w:tcPr>
            <w:tcW w:type="dxa" w:w="2950"/>
            <w:shd w:fill="FFFFF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« Zoom » = ne jamais juger une source sur l'agrégat : isoler par zone/sub-id/device avant de décider.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Fenêtre d'attribution : aligner la fenêtre de conversion GTM/Ads/Meta sur celle du programme d'affiliation (cookie 30-90j).</w:t>
            </w:r>
          </w:p>
          <w:p>
            <w:pPr>
              <w:spacing w:after="30" w:line="250"/>
            </w:pPr>
            <w:r>
              <w:rPr>
                <w:color w:val="222222"/>
                <w:sz w:val="17"/>
                <w:szCs w:val="17"/>
              </w:rPr>
              <w:t xml:space="preserve">› Un mauvais RPM ou une intention mal ciblée se voit en temps réel si le tracking GTM est propre — la rigueur se joue au centime.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4. Google Tag Manager — le hub central du trafic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GTM ne sert pas seulement à « poser des pixels » : c'est le point unique où tout le trafic payant et organique est identifié, filtré, catégorisé, puis renvoyé comme signal de performance vers Google Ads et Meta Ads. Installe-le avant la première campagne.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4.1 Architecture recommandée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3233F"/>
          <w:sz w:val="21"/>
          <w:szCs w:val="21"/>
        </w:rPr>
        <w:t xml:space="preserve">Un conteneur GTM unique — </w:t>
      </w:r>
      <w:r>
        <w:rPr>
          <w:color w:val="222222"/>
          <w:sz w:val="21"/>
          <w:szCs w:val="21"/>
        </w:rPr>
        <w:t xml:space="preserve">pour tout le blog, publié en environnement Live distinct de l'environnement de test.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3233F"/>
          <w:sz w:val="21"/>
          <w:szCs w:val="21"/>
        </w:rPr>
        <w:t xml:space="preserve">Tags — </w:t>
      </w:r>
      <w:r>
        <w:rPr>
          <w:color w:val="222222"/>
          <w:sz w:val="21"/>
          <w:szCs w:val="21"/>
        </w:rPr>
        <w:t xml:space="preserve">GA4 Configuration + GA4 Events, Meta Pixel (Base Code + événements standards), Google Ads Conversion Tracking, pixel/postback MGID, postback PropellerAds (S2S de préférence à un pixel côté navigateur, plus fiable face aux ad-blockers).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3233F"/>
          <w:sz w:val="21"/>
          <w:szCs w:val="21"/>
        </w:rPr>
        <w:t xml:space="preserve">Triggers — </w:t>
      </w:r>
      <w:r>
        <w:rPr>
          <w:color w:val="222222"/>
          <w:sz w:val="21"/>
          <w:szCs w:val="21"/>
        </w:rPr>
        <w:t xml:space="preserve">Page View, Scroll Depth (25/50/75/90%), Clic – lien sortant (regex sur le domaine, ≠ domaine du blog), Clic – lien affilié (classe/attribut dédié, ex. data-aff='1'), Visibilité d'un encart pub (Element Visibility), Soumission de formulaire / lead.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3233F"/>
          <w:sz w:val="21"/>
          <w:szCs w:val="21"/>
        </w:rPr>
        <w:t xml:space="preserve">Variables — </w:t>
      </w:r>
      <w:r>
        <w:rPr>
          <w:color w:val="222222"/>
          <w:sz w:val="21"/>
          <w:szCs w:val="21"/>
        </w:rPr>
        <w:t xml:space="preserve">Click URL, Click Classes/ID, Page Path, paramètres UTM (Custom JS Variable qui parse utm_source/medium/campaign/content/term), Zone ID / Sub ID (PropellerAds/MGID passés en paramètre d'URL), Device Category, Pays (via GA4 ou en-tête serveur).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3233F"/>
          <w:sz w:val="21"/>
          <w:szCs w:val="21"/>
        </w:rPr>
        <w:t xml:space="preserve">DataLayer — </w:t>
      </w:r>
      <w:r>
        <w:rPr>
          <w:color w:val="222222"/>
          <w:sz w:val="21"/>
          <w:szCs w:val="21"/>
        </w:rPr>
        <w:t xml:space="preserve">le blog (Astro) pousse des événements propres à chaque action clé : dataLayer.push({event:'affiliate_click', link_id, category, zone_id}) — c'est la donnée la plus fiable, à préférer au clic DOM générique quand c'est possible.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4.2 Filtrer et catégoriser le trafic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L'objectif : ne jamais décider sur un agrégat. Chaque visiteur doit être rattaché à sa source précise pour permettre le tri.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Tagger systématiquement chaque lien de campagne avec des UTM complets (source, medium, campaign, content, term) et, pour le trafic natif, un identifiant de zone/sub-id.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Faire remonter ces paramètres dans GA4 comme dimensions personnalisées, exploitables en Explorations et en Audiences.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Construire des segments : par source (Google Ads / Meta / MGID / PropellerAds / SEO), par device, par pays (Tier 1/2/3), par comportement (scroll ≥75 %, clic sortant, conversion).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Classer le trafic acheté en trois listes actionnables par zone/placement : Perf (convertit, bon ROI), Watch (volume correct, pas encore de conversion — à laisser tourner), Blacklist (CPM élevé, plusieurs impressions, zéro conversion — à exclure).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Repasser ces catégories vers les plateformes publicitaires : audiences personnalisées Meta, listes d'exclusion Google Ads/MGID/PropellerAds, et signaux de valeur pour le smart bidding.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4.3 Passer à la performance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Une fois le tracking GTM/GA4 fiable et un volume de données suffisant :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Google Ads : basculer de Maximiser les clics vers Maximiser les conversions puis CPA cible / ROAS cible dès que le volume de conversions le permet (généralement 30+ conversions/30 jours par campagne).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Meta Ads : passer l'objectif de campagne de Trafic/Reach à Conversions, en pointant l'événement pixel/CAPI le plus proche du revenu réel (achat, lead qualifié) plutôt qu'un simple clic.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Native (MGID/PropellerAds) : activer l'optimisation automatique par zone une fois les listes Perf/Watch/Blacklist stabilisées, en excluant en continu les zones Blacklist.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Value-based bidding : transmettre la valeur réelle du visiteur (RPM display estimé + commission affiliation) et non un simple événement binaire, pour que l'algorithme optimise sur la marge et pas seulement sur le volume.</w:t>
      </w:r>
    </w:p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5. Astuces détaillées par levier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5.1 Display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Densité publicitaire raisonnable (Better Ads Standards) : trop d'encarts fait fuir le trafic payant avant qu'il ne convertisse.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Emplacements pensés dans le gabarit d'article (pas ajoutés après coup) pour éviter le CLS (Cumulative Layout Shift).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Échelle de progression des régies à trafic croissant : AdSense (sans seuil) → Ezoic (~250 000 sessions/mois) → Mediavine (5 000 $/an de revenu) → Raptive (25 000 pages vues/mois, ~50 % de trafic Tier 1). À trafic égal, changer de palier peut multiplier le revenu par 4.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Native en complément (MGID, Revcontent, puis Taboola/Outbrain à volume élevé) : se cumule au display sans effort, souvent oublié.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Fichier ads.txt à jour pour chaque régie branchée, sous peine de perte de revenu silencieuse.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5.2 « Zoom » — l'art de la lecture fine</w:t>
      </w:r>
    </w:p>
    <w:p>
      <w:pPr>
        <w:spacing w:after="160" w:line="300"/>
      </w:pPr>
      <w:r>
        <w:rPr>
          <w:color w:val="222222"/>
          <w:sz w:val="21"/>
          <w:szCs w:val="21"/>
        </w:rPr>
        <w:t xml:space="preserve">Ne jamais juger une campagne, une niche ou une régie sur son chiffre agrégé. Toujours descendre d'un cran 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Compte / campagne → ad set ou groupe d'annonces → mot-clé, créa ou zone/sub-id.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Comparer le même indicateur (CPC, CTR, taux de conversion) à ce niveau de détail avant de couper ou de scaler.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color w:val="222222"/>
          <w:sz w:val="21"/>
          <w:szCs w:val="21"/>
        </w:rPr>
        <w:t xml:space="preserve">Un agrégat rentable peut cacher une zone qui plombe la marge, et inversement une campagne globalement faible peut contenir un segment excellent à isoler et scaler seul.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5.3 Clics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CTR : un CTR anormalement bas signale un mauvais ciblage ou une créa fatiguée ; un CTR élevé sans conversion signale un mauvais accord promesse/page d'atterrissage.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Exact match → utile pour maximiser le volume de clics qualifiés sur une requête précise ; Phrase match → utile pour maximiser les conversions en captant les variantes proches de forte intention.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Trafic invalide / clic frauduleux : surveiller les pics de clics sans engagement (scroll nul, temps sur page ~0s) et exclure les sources concernées.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Clic sortant = la métrique reine sans affiliation directe : c'est ce qu'on optimise quand le revenu vient du display/native plutôt que d'une vente traçable.</w:t>
      </w:r>
    </w:p>
    <w:p>
      <w:pPr>
        <w:pStyle w:val="Heading2"/>
        <w:spacing w:after="160" w:before="360"/>
      </w:pPr>
      <w:r>
        <w:rPr>
          <w:b/>
          <w:bCs/>
          <w:color w:val="137CF0"/>
          <w:sz w:val="25"/>
          <w:szCs w:val="25"/>
        </w:rPr>
        <w:t xml:space="preserve">5.4 Conversions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Distinguer micro-conversions (scroll 75 %, clic sortant) et macro-conversions (vente, lead, dépôt) : les micro-conversions servent de signal précoce avant d'avoir assez de macro-conversions pour optimiser dessus.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Aligner la fenêtre d'attribution GTM/GA4/Ads/Meta sur celle du programme d'affiliation (souvent 30 à 90 jours de cookie) pour ne pas sous-compter le revenu réel.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Tracker en postback / server-to-server (S2S) avec les réseaux d'affiliation et MGID/PropellerAds quand c'est possible : plus fiable que le pixel navigateur face aux ad-blockers et à l'ITP.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Un revenu affiché sous 6 semaines après lancement d'une offre n'est pas encore lisible : suivre les indicateurs avancés (clics sortants, essais) en attendant la conversion finale.</w:t>
      </w:r>
    </w:p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6. Checklist de lancement</w:t>
      </w:r>
    </w:p>
    <w:p>
      <w:pPr>
        <w:pStyle w:val="Heading3"/>
        <w:spacing w:after="120" w:before="240"/>
      </w:pPr>
      <w:r>
        <w:rPr>
          <w:b/>
          <w:bCs/>
          <w:color w:val="13233F"/>
          <w:sz w:val="22"/>
          <w:szCs w:val="22"/>
        </w:rPr>
        <w:t xml:space="preserve">Avant d'écrire la moindre ligne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Niche validée sur les 5 axes + protocole de validation en 4 tests passé.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Modèle de monétisation choisi (display / affiliation / CPA / mix) avant le premier article.</w:t>
      </w:r>
    </w:p>
    <w:p>
      <w:pPr>
        <w:pStyle w:val="Heading3"/>
        <w:spacing w:after="120" w:before="240"/>
      </w:pPr>
      <w:r>
        <w:rPr>
          <w:b/>
          <w:bCs/>
          <w:color w:val="13233F"/>
          <w:sz w:val="22"/>
          <w:szCs w:val="22"/>
        </w:rPr>
        <w:t xml:space="preserve">Fondations techniques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Domaine .com acheté, vérifié (VirusTotal, Wayback, backlinks), hébergé sur Cloudflare.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Blog Astro + Cloudflare (D1/R2/Workers) en place, gabarits avec emplacements pub prévus.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Pages légales publiées : mentions légales, confidentialité, cookies.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Google Tag Manager installé et publié avant toute campagne payante.</w:t>
      </w:r>
    </w:p>
    <w:p>
      <w:pPr>
        <w:pStyle w:val="Heading3"/>
        <w:spacing w:after="120" w:before="240"/>
      </w:pPr>
      <w:r>
        <w:rPr>
          <w:b/>
          <w:bCs/>
          <w:color w:val="13233F"/>
          <w:sz w:val="22"/>
          <w:szCs w:val="22"/>
        </w:rPr>
        <w:t xml:space="preserve">Tracking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GA4 configuré via GTM, événements clés en place (scroll, clic sortant, clic affilié, conversion).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Meta Pixel + Conversions API installés via GTM.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Tag de conversion Google Ads installé et testé en mode Aperçu.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Postback MGID / PropellerAds configuré (S2S de préférence).</w:t>
      </w:r>
    </w:p>
    <w:p>
      <w:pPr>
        <w:pStyle w:val="Heading3"/>
        <w:spacing w:after="120" w:before="240"/>
      </w:pPr>
      <w:r>
        <w:rPr>
          <w:b/>
          <w:bCs/>
          <w:color w:val="13233F"/>
          <w:sz w:val="22"/>
          <w:szCs w:val="22"/>
        </w:rPr>
        <w:t xml:space="preserve">Lancement trafic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Compte Google Ads structuré (exact/phrase match) avec suivi des clics sortants.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Compte Meta Ads avec audiences de départ + budget de test défini.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Compte MGID et/ou PropellerAds ouvert, zones initiales sélectionnées.</w:t>
      </w:r>
    </w:p>
    <w:p>
      <w:pPr>
        <w:pStyle w:val="Heading3"/>
        <w:spacing w:after="120" w:before="240"/>
      </w:pPr>
      <w:r>
        <w:rPr>
          <w:b/>
          <w:bCs/>
          <w:color w:val="13233F"/>
          <w:sz w:val="22"/>
          <w:szCs w:val="22"/>
        </w:rPr>
        <w:t xml:space="preserve">Pilotage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Listes Perf / Watch / Blacklist tenues à jour par zone/placement.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Revue hebdomadaire : RPV vs CPC, décision scale / tenir / couper.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color w:val="222222"/>
          <w:sz w:val="21"/>
          <w:szCs w:val="21"/>
        </w:rPr>
        <w:t xml:space="preserve">Régie display revue à chaque palier de trafic franchi.</w:t>
      </w:r>
    </w:p>
    <w:p>
      <w:r>
        <w:br w:type="page"/>
      </w:r>
    </w:p>
    <w:p>
      <w:pPr>
        <w:pStyle w:val="Heading1"/>
        <w:pBdr>
          <w:bottom w:val="single" w:color="137CF0" w:sz="8" w:space="4"/>
        </w:pBdr>
        <w:spacing w:after="200" w:before="480"/>
      </w:pPr>
      <w:r>
        <w:rPr>
          <w:b/>
          <w:bCs/>
          <w:color w:val="13233F"/>
          <w:sz w:val="32"/>
          <w:szCs w:val="32"/>
        </w:rPr>
        <w:t xml:space="preserve">7. Glossaire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400"/>
      </w:tblGrid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RPM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Revenu Pour Mille impressions — revenu généré pour 1000 pages vues.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RPV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Revenu Par Visiteur — mesure clé de l'ad arbitrage, à comparer au CPC d'achat.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CPC / CPM / CTR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Coût Par Clic / Coût Pour Mille impressions / taux de clic (clics ÷ impressions).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CPA / CPI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Coût (ou paiement) Par Action / Par Install — modèle de rémunération à la conversion.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E-E-A-T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Experience, Expertise, Authoritativeness, Trust — critère qualité de Google, difficile à imiter pour l'IA.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GEO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Generative Engine Optimization — optimiser pour être cité par les IA (ChatGPT, Perplexity, AI Overviews).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Tier 1 / 2 / 3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Classement des pays par valeur publicitaire (Tier 1 : US, UK, CA, AU… — RPM le plus élevé).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DataLayer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Objet JavaScript qui transmet les événements du site vers Google Tag Manager.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UTM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Paramètres d'URL (source, medium, campaign…) qui identifient l'origine précise d'un visiteur.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Postback / S2S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Notification serveur-à-serveur d'une conversion, plus fiable qu'un pixel navigateur.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Zone (native/push)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Emplacement publicitaire individuel chez MGID/PropellerAds ; à classer Perf/Watch/Blacklist.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Value-based bidding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Enchère automatique basée sur la valeur réelle de chaque conversion, pas seulement son volume.</w:t>
            </w:r>
          </w:p>
        </w:tc>
      </w:tr>
      <w:tr>
        <w:tc>
          <w:tcPr>
            <w:tcW w:type="dxa" w:w="2400"/>
            <w:shd w:fill="F2F3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3233F"/>
                <w:sz w:val="19"/>
                <w:szCs w:val="19"/>
              </w:rPr>
              <w:t xml:space="preserve">Lookalike</w:t>
            </w:r>
          </w:p>
        </w:tc>
        <w:tc>
          <w:tcPr>
            <w:tcW w:type="dxa" w:w="8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Audience publicitaire générée à partir des caractéristiques des meilleurs convertisseurs existants.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0"/>
        <w:sz w:val="16"/>
        <w:szCs w:val="16"/>
      </w:rPr>
      <w:t xml:space="preserve">Page </w:t>
    </w:r>
    <w:r>
      <w:rPr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470"/>
        <w:sz w:val="16"/>
        <w:szCs w:val="16"/>
      </w:rPr>
      <w:t xml:space="preserve"> / </w:t>
    </w:r>
    <w:r>
      <w:rPr>
        <w:color w:val="5B64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0"/>
        <w:sz w:val="16"/>
        <w:szCs w:val="16"/>
      </w:rPr>
      <w:t xml:space="preserve">Feuille de route — Blog Monétisable &amp; Ad Arbitrage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2026-09-17T19:51:57.137Z</dcterms:created>
  <dcterms:modified xsi:type="dcterms:W3CDTF">2026-09-17T19:51:57.137Z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