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37CF0"/>
          <w:spacing w:val="40"/>
          <w:sz w:val="26"/>
          <w:szCs w:val="26"/>
        </w:rPr>
        <w:t xml:space="preserve">FEUILLE DE ROUTE</w:t>
      </w:r>
    </w:p>
    <w:p>
      <w:pPr>
        <w:spacing w:after="200" w:before="200"/>
        <w:jc w:val="center"/>
      </w:pPr>
      <w:r>
        <w:rPr>
          <w:b/>
          <w:bCs/>
          <w:color w:val="13233F"/>
          <w:sz w:val="56"/>
          <w:szCs w:val="56"/>
        </w:rPr>
        <w:t xml:space="preserve">Blog Monétisable &amp; Ad Arbitrage</w:t>
      </w:r>
    </w:p>
    <w:p>
      <w:pPr>
        <w:spacing w:after="600"/>
        <w:jc w:val="center"/>
      </w:pPr>
      <w:r>
        <w:rPr>
          <w:i/>
          <w:iCs/>
          <w:color w:val="5B6470"/>
          <w:sz w:val="24"/>
          <w:szCs w:val="24"/>
        </w:rPr>
        <w:t xml:space="preserve">Du choix de la niche à la monétisation — centralisation du tracking sur Google Tag Manager</w:t>
      </w:r>
    </w:p>
    <w:p>
      <w:pPr>
        <w:spacing w:before="1200"/>
        <w:jc w:val="center"/>
      </w:pPr>
      <w:r>
        <w:rPr>
          <w:color w:val="444444"/>
          <w:sz w:val="20"/>
          <w:szCs w:val="20"/>
        </w:rPr>
        <w:t xml:space="preserve">Synthèse actionnable des formations</w:t>
      </w:r>
    </w:p>
    <w:p>
      <w:pPr>
        <w:spacing w:after="40"/>
        <w:jc w:val="center"/>
      </w:pPr>
      <w:r>
        <w:rPr>
          <w:b/>
          <w:bCs/>
          <w:color w:val="137CF0"/>
          <w:sz w:val="22"/>
          <w:szCs w:val="22"/>
        </w:rPr>
        <w:t xml:space="preserve">Affiliate Pro  ·  Ad Arbitrage Pro</w:t>
      </w:r>
    </w:p>
    <w:p>
      <w:pPr>
        <w:spacing w:before="1000"/>
        <w:jc w:val="center"/>
      </w:pPr>
      <w:r>
        <w:rPr>
          <w:color w:val="5B6470"/>
          <w:sz w:val="18"/>
          <w:szCs w:val="18"/>
        </w:rPr>
        <w:t xml:space="preserve">18 septembre 2026</w:t>
      </w:r>
    </w:p>
    <w:p>
      <w:r>
        <w:br w:type="page"/>
      </w:r>
    </w:p>
    <w:p>
      <w:pPr>
        <w:pStyle w:val="Heading1"/>
        <w:pBdr>
          <w:bottom w:val="single" w:color="137CF0" w:sz="8" w:space="4"/>
        </w:pBdr>
        <w:spacing w:after="200" w:before="480"/>
      </w:pPr>
      <w:r>
        <w:rPr>
          <w:b/>
          <w:bCs/>
          <w:color w:val="13233F"/>
          <w:sz w:val="32"/>
          <w:szCs w:val="32"/>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37CF0" w:sz="8" w:space="4"/>
        </w:pBdr>
        <w:spacing w:after="200" w:before="480"/>
      </w:pPr>
      <w:r>
        <w:rPr>
          <w:b/>
          <w:bCs/>
          <w:color w:val="13233F"/>
          <w:sz w:val="32"/>
          <w:szCs w:val="32"/>
        </w:rPr>
        <w:t xml:space="preserve">1. Objectif de ce guide</w:t>
      </w:r>
    </w:p>
    <w:p>
      <w:pPr>
        <w:spacing w:after="160" w:line="300"/>
      </w:pPr>
      <w:r>
        <w:rPr>
          <w:color w:val="222222"/>
          <w:sz w:val="21"/>
          <w:szCs w:val="21"/>
        </w:rPr>
        <w:t xml:space="preserve">Ce document rassemble et complète, sous forme de feuille de route chronologique, le contenu des formations Affiliate Pro et Ad Arbitrage Pro. Il prolonge le tableau déjà initié (Choix de niche → Choix de domaine → Montage du blog → Lancement Google Ads) en y ajoutant les étapes suivantes : mise en place du tracking, Meta Ads, MGID/PropellerAds, centralisation via Google Tag Manager, catégorisation et passage à la performance, puis monétisation empilée et optimisation continue.</w:t>
      </w:r>
    </w:p>
    <w:tbl>
      <w:tblPr>
        <w:tblW w:type="pct" w:w="100%"/>
        <w:tblBorders>
          <w:top w:val="single" w:color="B26A00" w:sz="4"/>
          <w:left w:val="single" w:color="B26A00" w:sz="24"/>
          <w:bottom w:val="single" w:color="B26A00" w:sz="4"/>
          <w:right w:val="single" w:color="B26A00" w:sz="4"/>
          <w:insideH w:val="single" w:color="auto" w:sz="4"/>
          <w:insideV w:val="single" w:color="auto" w:sz="4"/>
        </w:tblBorders>
      </w:tblPr>
      <w:tblGrid>
        <w:gridCol w:w="100"/>
      </w:tblGrid>
      <w:tr>
        <w:tc>
          <w:tcPr>
            <w:shd w:fill="FFF4E0" w:val="clear"/>
            <w:tcMar>
              <w:top w:type="dxa" w:w="160"/>
              <w:left w:type="dxa" w:w="220"/>
              <w:bottom w:type="dxa" w:w="160"/>
              <w:right w:type="dxa" w:w="220"/>
            </w:tcMar>
          </w:tcPr>
          <w:p>
            <w:pPr>
              <w:spacing w:after="80"/>
            </w:pPr>
            <w:r>
              <w:rPr>
                <w:b/>
                <w:bCs/>
                <w:color w:val="B26A00"/>
                <w:sz w:val="21"/>
                <w:szCs w:val="21"/>
              </w:rPr>
              <w:t xml:space="preserve">Note méthodologique</w:t>
            </w:r>
          </w:p>
          <w:p>
            <w:pPr>
              <w:spacing w:after="40" w:line="270"/>
            </w:pPr>
            <w:r>
              <w:rPr>
                <w:color w:val="333333"/>
                <w:sz w:val="20"/>
                <w:szCs w:val="20"/>
              </w:rPr>
              <w:t xml:space="preserve">• Les lignes « Choix de niche », « Choix de domaine », « Montage du blog » et « Lancement Google Ads » reprennent et détaillent ton tableau initial (contenu vérifié dans les modules fournis).</w:t>
            </w:r>
          </w:p>
          <w:p>
            <w:pPr>
              <w:spacing w:after="40" w:line="270"/>
            </w:pPr>
            <w:r>
              <w:rPr>
                <w:color w:val="333333"/>
                <w:sz w:val="20"/>
                <w:szCs w:val="20"/>
              </w:rPr>
              <w:t xml:space="preserve">• Les étapes GTM, Meta Ads, MGID/PropellerAds, centralisation et optimisation sont construites à partir des meilleures pratiques d'ad arbitrage — la colonne « Réf. formation » est laissée à compléter avec les intitulés exacts de session/leçon de ton programme, que je n'ai pas eus en entrée pour ces modules précis.</w:t>
            </w:r>
          </w:p>
          <w:p>
            <w:pPr>
              <w:spacing w:after="40" w:line="270"/>
            </w:pPr>
            <w:r>
              <w:rPr>
                <w:color w:val="333333"/>
                <w:sz w:val="20"/>
                <w:szCs w:val="20"/>
              </w:rPr>
              <w:t xml:space="preserve">• Adapte librement les libellés « Réf. formation » une fois les modules correspondants identifiés dans ton espace de cours.</w:t>
            </w:r>
          </w:p>
        </w:tc>
      </w:tr>
    </w:tbl>
    <w:p>
      <w:pPr>
        <w:spacing w:after="200"/>
      </w:pPr>
    </w:p>
    <w:p>
      <w:pPr>
        <w:pStyle w:val="Heading1"/>
        <w:pBdr>
          <w:bottom w:val="single" w:color="137CF0" w:sz="8" w:space="4"/>
        </w:pBdr>
        <w:spacing w:after="200" w:before="480"/>
      </w:pPr>
      <w:r>
        <w:rPr>
          <w:b/>
          <w:bCs/>
          <w:color w:val="13233F"/>
          <w:sz w:val="32"/>
          <w:szCs w:val="32"/>
        </w:rPr>
        <w:t xml:space="preserve">2. Vue d'ensemble — la mécanique de l'ad arbitrage</w:t>
      </w:r>
    </w:p>
    <w:p>
      <w:pPr>
        <w:spacing w:after="160" w:line="300"/>
      </w:pPr>
      <w:r>
        <w:rPr>
          <w:color w:val="222222"/>
          <w:sz w:val="21"/>
          <w:szCs w:val="21"/>
        </w:rPr>
        <w:t xml:space="preserve">Le modèle tient en quatre temps, répétés en boucle et pilotés au centime :</w:t>
      </w:r>
    </w:p>
    <w:p>
      <w:pPr>
        <w:pStyle w:val="ListParagraph"/>
        <w:numPr>
          <w:ilvl w:val="0"/>
          <w:numId w:val="2"/>
        </w:numPr>
        <w:spacing w:after="90" w:line="280"/>
      </w:pPr>
      <w:r>
        <w:rPr>
          <w:color w:val="222222"/>
          <w:sz w:val="21"/>
          <w:szCs w:val="21"/>
        </w:rPr>
        <w:t xml:space="preserve">Achat — Tu achètes du trafic ciblé (Google Ads, Meta Ads, native MGID, push PropellerAds) avec un ciblage précis : géographie, device, audience, intention.</w:t>
      </w:r>
    </w:p>
    <w:p>
      <w:pPr>
        <w:pStyle w:val="ListParagraph"/>
        <w:numPr>
          <w:ilvl w:val="0"/>
          <w:numId w:val="2"/>
        </w:numPr>
        <w:spacing w:after="90" w:line="280"/>
      </w:pPr>
      <w:r>
        <w:rPr>
          <w:color w:val="222222"/>
          <w:sz w:val="21"/>
          <w:szCs w:val="21"/>
        </w:rPr>
        <w:t xml:space="preserve">Contenu — Le trafic arrive sur une page monétisée dès sa conception (display haut RPM + affiliation à intention commerciale + native).</w:t>
      </w:r>
    </w:p>
    <w:p>
      <w:pPr>
        <w:pStyle w:val="ListParagraph"/>
        <w:numPr>
          <w:ilvl w:val="0"/>
          <w:numId w:val="2"/>
        </w:numPr>
        <w:spacing w:after="90" w:line="280"/>
      </w:pPr>
      <w:r>
        <w:rPr>
          <w:color w:val="222222"/>
          <w:sz w:val="21"/>
          <w:szCs w:val="21"/>
        </w:rPr>
        <w:t xml:space="preserve">Revenu — Les couches de monétisation se cumulent : display, native, affiliation/CPA, produits digitaux, lead gen.</w:t>
      </w:r>
    </w:p>
    <w:p>
      <w:pPr>
        <w:pStyle w:val="ListParagraph"/>
        <w:numPr>
          <w:ilvl w:val="0"/>
          <w:numId w:val="2"/>
        </w:numPr>
        <w:spacing w:after="90" w:line="280"/>
      </w:pPr>
      <w:r>
        <w:rPr>
          <w:color w:val="222222"/>
          <w:sz w:val="21"/>
          <w:szCs w:val="21"/>
        </w:rPr>
        <w:t xml:space="preserve">Marge — Tu compares le coût d'acquisition (CPC payé) au revenu par visiteur (RPV) mesuré via Google Tag Manager, et tu coupes ou tu scales.</w:t>
      </w:r>
    </w:p>
    <w:p>
      <w:pPr>
        <w:spacing w:after="120"/>
      </w:pPr>
    </w:p>
    <w:p>
      <w:pPr>
        <w:spacing w:after="160" w:line="300"/>
      </w:pPr>
      <w:r>
        <w:rPr>
          <w:b/>
          <w:bCs/>
          <w:color w:val="13233F"/>
          <w:sz w:val="21"/>
          <w:szCs w:val="21"/>
        </w:rPr>
        <w:t xml:space="preserve">Profit par visiteur = RPM de sortie − CPC d'achat, maximisé par le ciblage et l'intention.</w:t>
      </w:r>
    </w:p>
    <w:p>
      <w:pPr>
        <w:spacing w:after="160"/>
      </w:pPr>
    </w:p>
    <w:p>
      <w:pPr>
        <w:pStyle w:val="Heading2"/>
        <w:spacing w:after="160" w:before="360"/>
      </w:pPr>
      <w:r>
        <w:rPr>
          <w:b/>
          <w:bCs/>
          <w:color w:val="137CF0"/>
          <w:sz w:val="25"/>
          <w:szCs w:val="25"/>
        </w:rPr>
        <w:t xml:space="preserve">Les 5 axes qui qualifient une niche gagnante</w:t>
      </w:r>
    </w:p>
    <w:p>
      <w:pPr>
        <w:pStyle w:val="ListParagraph"/>
        <w:numPr>
          <w:ilvl w:val="0"/>
          <w:numId w:val="3"/>
        </w:numPr>
        <w:spacing w:after="90" w:line="280"/>
      </w:pPr>
      <w:r>
        <w:rPr>
          <w:color w:val="222222"/>
          <w:sz w:val="21"/>
          <w:szCs w:val="21"/>
        </w:rPr>
        <w:t xml:space="preserve">Résistance à l'IA — vécu, tests réels, photos personnelles, données locales.</w:t>
      </w:r>
    </w:p>
    <w:p>
      <w:pPr>
        <w:pStyle w:val="ListParagraph"/>
        <w:numPr>
          <w:ilvl w:val="0"/>
          <w:numId w:val="3"/>
        </w:numPr>
        <w:spacing w:after="90" w:line="280"/>
      </w:pPr>
      <w:r>
        <w:rPr>
          <w:color w:val="222222"/>
          <w:sz w:val="21"/>
          <w:szCs w:val="21"/>
        </w:rPr>
        <w:t xml:space="preserve">RPM — valeur du trafic, pas volume brut.</w:t>
      </w:r>
    </w:p>
    <w:p>
      <w:pPr>
        <w:pStyle w:val="ListParagraph"/>
        <w:numPr>
          <w:ilvl w:val="0"/>
          <w:numId w:val="3"/>
        </w:numPr>
        <w:spacing w:after="90" w:line="280"/>
      </w:pPr>
      <w:r>
        <w:rPr>
          <w:color w:val="222222"/>
          <w:sz w:val="21"/>
          <w:szCs w:val="21"/>
        </w:rPr>
        <w:t xml:space="preserve">Intention de recherche — commerciale / transactionnelle &gt; informationnelle / navigationnelle.</w:t>
      </w:r>
    </w:p>
    <w:p>
      <w:pPr>
        <w:pStyle w:val="ListParagraph"/>
        <w:numPr>
          <w:ilvl w:val="0"/>
          <w:numId w:val="3"/>
        </w:numPr>
        <w:spacing w:after="90" w:line="280"/>
      </w:pPr>
      <w:r>
        <w:rPr>
          <w:color w:val="222222"/>
          <w:sz w:val="21"/>
          <w:szCs w:val="21"/>
        </w:rPr>
        <w:t xml:space="preserve">Modèle de monétisation — display + affiliation + CPA + leads, jamais une seule couche.</w:t>
      </w:r>
    </w:p>
    <w:p>
      <w:pPr>
        <w:pStyle w:val="ListParagraph"/>
        <w:numPr>
          <w:ilvl w:val="0"/>
          <w:numId w:val="3"/>
        </w:numPr>
        <w:spacing w:after="90" w:line="280"/>
      </w:pPr>
      <w:r>
        <w:rPr>
          <w:color w:val="222222"/>
          <w:sz w:val="21"/>
          <w:szCs w:val="21"/>
        </w:rPr>
        <w:t xml:space="preserve">Géographie — Tier 1 (US, UK, CA, AU) prioritaire ; niche locale (RPM élevé, audience captive) vs mondiale (volume, RPM dilué).</w:t>
      </w:r>
    </w:p>
    <w:p>
      <w:r>
        <w:br w:type="page"/>
      </w:r>
    </w:p>
    <w:p>
      <w:pPr>
        <w:pStyle w:val="Heading1"/>
        <w:pBdr>
          <w:bottom w:val="single" w:color="137CF0" w:sz="8" w:space="4"/>
        </w:pBdr>
        <w:spacing w:after="200" w:before="480"/>
      </w:pPr>
      <w:r>
        <w:rPr>
          <w:b/>
          <w:bCs/>
          <w:color w:val="13233F"/>
          <w:sz w:val="32"/>
          <w:szCs w:val="32"/>
        </w:rPr>
        <w:t xml:space="preserve">3. Le tableau maître — chronologie complète</w:t>
      </w:r>
    </w:p>
    <w:p>
      <w:pPr>
        <w:spacing w:after="160" w:line="300"/>
      </w:pPr>
      <w:r>
        <w:rPr>
          <w:color w:val="222222"/>
          <w:sz w:val="21"/>
          <w:szCs w:val="21"/>
        </w:rPr>
        <w:t xml:space="preserve">Tableau chronologique complet, du choix de la niche à l'optimisation continue. Les colonnes Programme / Réf. formation reprennent la structure de ton tableau initial.</w:t>
      </w:r>
    </w:p>
    <w:p>
      <w:pPr>
        <w:spacing w:after="120"/>
      </w:pP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700"/>
        <w:gridCol w:w="1250"/>
        <w:gridCol w:w="1700"/>
        <w:gridCol w:w="2950"/>
      </w:tblGrid>
      <w:tr>
        <w:trPr>
          <w:tblHeader/>
        </w:trPr>
        <w:tc>
          <w:tcPr>
            <w:tcW w:type="dxa" w:w="900"/>
            <w:shd w:fill="13233F" w:val="clear"/>
            <w:tcMar>
              <w:top w:type="dxa" w:w="100"/>
              <w:left w:type="dxa" w:w="100"/>
              <w:bottom w:type="dxa" w:w="100"/>
              <w:right w:type="dxa" w:w="100"/>
            </w:tcMar>
            <w:vAlign w:val="center"/>
          </w:tcPr>
          <w:p>
            <w:r>
              <w:rPr>
                <w:b/>
                <w:bCs/>
                <w:color w:val="FFFFFF"/>
                <w:sz w:val="18"/>
                <w:szCs w:val="18"/>
              </w:rPr>
              <w:t xml:space="preserve">Phase</w:t>
            </w:r>
          </w:p>
        </w:tc>
        <w:tc>
          <w:tcPr>
            <w:tcW w:type="dxa" w:w="1500"/>
            <w:shd w:fill="13233F" w:val="clear"/>
            <w:tcMar>
              <w:top w:type="dxa" w:w="100"/>
              <w:left w:type="dxa" w:w="100"/>
              <w:bottom w:type="dxa" w:w="100"/>
              <w:right w:type="dxa" w:w="100"/>
            </w:tcMar>
            <w:vAlign w:val="center"/>
          </w:tcPr>
          <w:p>
            <w:r>
              <w:rPr>
                <w:b/>
                <w:bCs/>
                <w:color w:val="FFFFFF"/>
                <w:sz w:val="18"/>
                <w:szCs w:val="18"/>
              </w:rPr>
              <w:t xml:space="preserve">Étape</w:t>
            </w:r>
          </w:p>
        </w:tc>
        <w:tc>
          <w:tcPr>
            <w:tcW w:type="dxa" w:w="3700"/>
            <w:shd w:fill="13233F" w:val="clear"/>
            <w:tcMar>
              <w:top w:type="dxa" w:w="100"/>
              <w:left w:type="dxa" w:w="100"/>
              <w:bottom w:type="dxa" w:w="100"/>
              <w:right w:type="dxa" w:w="100"/>
            </w:tcMar>
            <w:vAlign w:val="center"/>
          </w:tcPr>
          <w:p>
            <w:r>
              <w:rPr>
                <w:b/>
                <w:bCs/>
                <w:color w:val="FFFFFF"/>
                <w:sz w:val="18"/>
                <w:szCs w:val="18"/>
              </w:rPr>
              <w:t xml:space="preserve">Recommandations</w:t>
            </w:r>
          </w:p>
        </w:tc>
        <w:tc>
          <w:tcPr>
            <w:tcW w:type="dxa" w:w="1250"/>
            <w:shd w:fill="13233F" w:val="clear"/>
            <w:tcMar>
              <w:top w:type="dxa" w:w="100"/>
              <w:left w:type="dxa" w:w="100"/>
              <w:bottom w:type="dxa" w:w="100"/>
              <w:right w:type="dxa" w:w="100"/>
            </w:tcMar>
            <w:vAlign w:val="center"/>
          </w:tcPr>
          <w:p>
            <w:r>
              <w:rPr>
                <w:b/>
                <w:bCs/>
                <w:color w:val="FFFFFF"/>
                <w:sz w:val="18"/>
                <w:szCs w:val="18"/>
              </w:rPr>
              <w:t xml:space="preserve">Programme</w:t>
            </w:r>
          </w:p>
        </w:tc>
        <w:tc>
          <w:tcPr>
            <w:tcW w:type="dxa" w:w="1700"/>
            <w:shd w:fill="13233F" w:val="clear"/>
            <w:tcMar>
              <w:top w:type="dxa" w:w="100"/>
              <w:left w:type="dxa" w:w="100"/>
              <w:bottom w:type="dxa" w:w="100"/>
              <w:right w:type="dxa" w:w="100"/>
            </w:tcMar>
            <w:vAlign w:val="center"/>
          </w:tcPr>
          <w:p>
            <w:r>
              <w:rPr>
                <w:b/>
                <w:bCs/>
                <w:color w:val="FFFFFF"/>
                <w:sz w:val="18"/>
                <w:szCs w:val="18"/>
              </w:rPr>
              <w:t xml:space="preserve">Réf. formation</w:t>
            </w:r>
          </w:p>
        </w:tc>
        <w:tc>
          <w:tcPr>
            <w:tcW w:type="dxa" w:w="2950"/>
            <w:shd w:fill="13233F" w:val="clear"/>
            <w:tcMar>
              <w:top w:type="dxa" w:w="100"/>
              <w:left w:type="dxa" w:w="100"/>
              <w:bottom w:type="dxa" w:w="100"/>
              <w:right w:type="dxa" w:w="100"/>
            </w:tcMar>
            <w:vAlign w:val="center"/>
          </w:tcPr>
          <w:p>
            <w:r>
              <w:rPr>
                <w:b/>
                <w:bCs/>
                <w:color w:val="FFFFFF"/>
                <w:sz w:val="18"/>
                <w:szCs w:val="18"/>
              </w:rPr>
              <w:t xml:space="preserve">Astuces clés / KPI</w:t>
            </w:r>
          </w:p>
        </w:tc>
      </w:tr>
      <w:tr>
        <w:tc>
          <w:tcPr>
            <w:tcW w:type="dxa" w:w="900"/>
            <w:shd w:fill="F2F3F5" w:val="clear"/>
            <w:tcMar>
              <w:top w:type="dxa" w:w="100"/>
              <w:left w:type="dxa" w:w="100"/>
              <w:bottom w:type="dxa" w:w="100"/>
              <w:right w:type="dxa" w:w="100"/>
            </w:tcMar>
            <w:vAlign w:val="top"/>
          </w:tcPr>
          <w:p>
            <w:pPr>
              <w:spacing w:after="40" w:line="260"/>
            </w:pPr>
            <w:r>
              <w:rPr>
                <w:b/>
                <w:bCs/>
                <w:color w:val="13233F"/>
                <w:sz w:val="17"/>
                <w:szCs w:val="17"/>
              </w:rPr>
              <w:t xml:space="preserve">0</w:t>
            </w:r>
          </w:p>
        </w:tc>
        <w:tc>
          <w:tcPr>
            <w:tcW w:type="dxa" w:w="1500"/>
            <w:shd w:fill="F2F3F5" w:val="clear"/>
            <w:tcMar>
              <w:top w:type="dxa" w:w="100"/>
              <w:left w:type="dxa" w:w="100"/>
              <w:bottom w:type="dxa" w:w="100"/>
              <w:right w:type="dxa" w:w="100"/>
            </w:tcMar>
            <w:vAlign w:val="top"/>
          </w:tcPr>
          <w:p>
            <w:pPr>
              <w:spacing w:after="40" w:line="260"/>
            </w:pPr>
            <w:r>
              <w:rPr>
                <w:b/>
                <w:bCs/>
                <w:color w:val="222222"/>
                <w:sz w:val="17"/>
                <w:szCs w:val="17"/>
              </w:rPr>
              <w:t xml:space="preserve">Mindset &amp; validation</w:t>
            </w:r>
          </w:p>
        </w:tc>
        <w:tc>
          <w:tcPr>
            <w:tcW w:type="dxa" w:w="3700"/>
            <w:shd w:fill="F2F3F5" w:val="clear"/>
            <w:tcMar>
              <w:top w:type="dxa" w:w="100"/>
              <w:left w:type="dxa" w:w="100"/>
              <w:bottom w:type="dxa" w:w="100"/>
              <w:right w:type="dxa" w:w="100"/>
            </w:tcMar>
            <w:vAlign w:val="top"/>
          </w:tcPr>
          <w:p>
            <w:pPr>
              <w:spacing w:after="30" w:line="250"/>
            </w:pPr>
            <w:r>
              <w:rPr>
                <w:color w:val="222222"/>
                <w:sz w:val="17"/>
                <w:szCs w:val="17"/>
              </w:rPr>
              <w:t xml:space="preserve">› Ne jamais écrire avant de valider : protocole en 4 tests (programmes → volume → SERP → test économique).</w:t>
            </w:r>
          </w:p>
          <w:p>
            <w:pPr>
              <w:spacing w:after="30" w:line="250"/>
            </w:pPr>
            <w:r>
              <w:rPr>
                <w:color w:val="222222"/>
                <w:sz w:val="17"/>
                <w:szCs w:val="17"/>
              </w:rPr>
              <w:t xml:space="preserve">› Logique d'arbitrage : Achat trafic → Contenu monétisé → Revenu → Marge → Scale.</w:t>
            </w:r>
          </w:p>
        </w:tc>
        <w:tc>
          <w:tcPr>
            <w:tcW w:type="dxa" w:w="1250"/>
            <w:shd w:fill="F2F3F5" w:val="clear"/>
            <w:tcMar>
              <w:top w:type="dxa" w:w="100"/>
              <w:left w:type="dxa" w:w="100"/>
              <w:bottom w:type="dxa" w:w="100"/>
              <w:right w:type="dxa" w:w="100"/>
            </w:tcMar>
            <w:vAlign w:val="top"/>
          </w:tcPr>
          <w:p>
            <w:pPr>
              <w:spacing w:after="40" w:line="260"/>
            </w:pPr>
            <w:r>
              <w:rPr>
                <w:b w:val="false"/>
                <w:bCs w:val="false"/>
                <w:color w:val="222222"/>
                <w:sz w:val="17"/>
                <w:szCs w:val="17"/>
              </w:rPr>
              <w:t xml:space="preserve">Affiliate Pro</w:t>
            </w:r>
          </w:p>
        </w:tc>
        <w:tc>
          <w:tcPr>
            <w:tcW w:type="dxa" w:w="1700"/>
            <w:shd w:fill="F2F3F5" w:val="clear"/>
            <w:tcMar>
              <w:top w:type="dxa" w:w="100"/>
              <w:left w:type="dxa" w:w="100"/>
              <w:bottom w:type="dxa" w:w="100"/>
              <w:right w:type="dxa" w:w="100"/>
            </w:tcMar>
            <w:vAlign w:val="top"/>
          </w:tcPr>
          <w:p>
            <w:pPr>
              <w:spacing w:after="40" w:line="260"/>
            </w:pPr>
            <w:r>
              <w:rPr>
                <w:b w:val="false"/>
                <w:bCs w:val="false"/>
                <w:color w:val="5B6470"/>
                <w:sz w:val="17"/>
                <w:szCs w:val="17"/>
              </w:rPr>
              <w:t xml:space="preserve">à compléter</w:t>
            </w:r>
          </w:p>
        </w:tc>
        <w:tc>
          <w:tcPr>
            <w:tcW w:type="dxa" w:w="2950"/>
            <w:shd w:fill="F2F3F5" w:val="clear"/>
            <w:tcMar>
              <w:top w:type="dxa" w:w="100"/>
              <w:left w:type="dxa" w:w="100"/>
              <w:bottom w:type="dxa" w:w="100"/>
              <w:right w:type="dxa" w:w="100"/>
            </w:tcMar>
            <w:vAlign w:val="top"/>
          </w:tcPr>
          <w:p>
            <w:pPr>
              <w:spacing w:after="30" w:line="250"/>
            </w:pPr>
            <w:r>
              <w:rPr>
                <w:color w:val="222222"/>
                <w:sz w:val="17"/>
                <w:szCs w:val="17"/>
              </w:rPr>
              <w:t xml:space="preserve">› Seuil d'abandon test 1 : &lt; 4 programmes conformes.</w:t>
            </w:r>
          </w:p>
          <w:p>
            <w:pPr>
              <w:spacing w:after="30" w:line="250"/>
            </w:pPr>
            <w:r>
              <w:rPr>
                <w:color w:val="222222"/>
                <w:sz w:val="17"/>
                <w:szCs w:val="17"/>
              </w:rPr>
              <w:t xml:space="preserve">› Seuil d'abandon test 2 : &lt; 2000 recherches/mois cumulées.</w:t>
            </w:r>
          </w:p>
          <w:p>
            <w:pPr>
              <w:spacing w:after="30" w:line="250"/>
            </w:pPr>
            <w:r>
              <w:rPr>
                <w:color w:val="222222"/>
                <w:sz w:val="17"/>
                <w:szCs w:val="17"/>
              </w:rPr>
              <w:t xml:space="preserve">› Décision test 4 : RPV &gt; CPC → scale ; RPV &lt; 0,20$ → stop.</w:t>
            </w:r>
          </w:p>
        </w:tc>
      </w:tr>
      <w:tr>
        <w:tc>
          <w:tcPr>
            <w:tcW w:type="dxa" w:w="900"/>
            <w:shd w:fill="FFFFFF" w:val="clear"/>
            <w:tcMar>
              <w:top w:type="dxa" w:w="100"/>
              <w:left w:type="dxa" w:w="100"/>
              <w:bottom w:type="dxa" w:w="100"/>
              <w:right w:type="dxa" w:w="100"/>
            </w:tcMar>
            <w:vAlign w:val="top"/>
          </w:tcPr>
          <w:p>
            <w:pPr>
              <w:spacing w:after="40" w:line="260"/>
            </w:pPr>
            <w:r>
              <w:rPr>
                <w:b/>
                <w:bCs/>
                <w:color w:val="13233F"/>
                <w:sz w:val="17"/>
                <w:szCs w:val="17"/>
              </w:rPr>
              <w:t xml:space="preserve">1</w:t>
            </w:r>
          </w:p>
        </w:tc>
        <w:tc>
          <w:tcPr>
            <w:tcW w:type="dxa" w:w="1500"/>
            <w:shd w:fill="FFFFFF" w:val="clear"/>
            <w:tcMar>
              <w:top w:type="dxa" w:w="100"/>
              <w:left w:type="dxa" w:w="100"/>
              <w:bottom w:type="dxa" w:w="100"/>
              <w:right w:type="dxa" w:w="100"/>
            </w:tcMar>
            <w:vAlign w:val="top"/>
          </w:tcPr>
          <w:p>
            <w:pPr>
              <w:spacing w:after="40" w:line="260"/>
            </w:pPr>
            <w:r>
              <w:rPr>
                <w:b/>
                <w:bCs/>
                <w:color w:val="222222"/>
                <w:sz w:val="17"/>
                <w:szCs w:val="17"/>
              </w:rPr>
              <w:t xml:space="preserve">Choix de niche</w:t>
            </w:r>
          </w:p>
        </w:tc>
        <w:tc>
          <w:tcPr>
            <w:tcW w:type="dxa" w:w="3700"/>
            <w:shd w:fill="FFFFFF" w:val="clear"/>
            <w:tcMar>
              <w:top w:type="dxa" w:w="100"/>
              <w:left w:type="dxa" w:w="100"/>
              <w:bottom w:type="dxa" w:w="100"/>
              <w:right w:type="dxa" w:w="100"/>
            </w:tcMar>
            <w:vAlign w:val="top"/>
          </w:tcPr>
          <w:p>
            <w:pPr>
              <w:spacing w:after="30" w:line="250"/>
            </w:pPr>
            <w:r>
              <w:rPr>
                <w:color w:val="222222"/>
                <w:sz w:val="17"/>
                <w:szCs w:val="17"/>
              </w:rPr>
              <w:t xml:space="preserve">› Faire une étude de tendances (Google Trends, Keyword Planner).</w:t>
            </w:r>
          </w:p>
          <w:p>
            <w:pPr>
              <w:spacing w:after="30" w:line="250"/>
            </w:pPr>
            <w:r>
              <w:rPr>
                <w:color w:val="222222"/>
                <w:sz w:val="17"/>
                <w:szCs w:val="17"/>
              </w:rPr>
              <w:t xml:space="preserve">› Croiser les 5 axes : Résistance IA, RPM, Intention de recherche, Modèle de monétisation, Géographie.</w:t>
            </w:r>
          </w:p>
          <w:p>
            <w:pPr>
              <w:spacing w:after="30" w:line="250"/>
            </w:pPr>
            <w:r>
              <w:rPr>
                <w:color w:val="222222"/>
                <w:sz w:val="17"/>
                <w:szCs w:val="17"/>
              </w:rPr>
              <w:t xml:space="preserve">› Prioriser Tier 1 (US/UK/CA/AU) et intentions commerciales/transactionnelles.</w:t>
            </w:r>
          </w:p>
        </w:tc>
        <w:tc>
          <w:tcPr>
            <w:tcW w:type="dxa" w:w="1250"/>
            <w:shd w:fill="FFFFFF" w:val="clear"/>
            <w:tcMar>
              <w:top w:type="dxa" w:w="100"/>
              <w:left w:type="dxa" w:w="100"/>
              <w:bottom w:type="dxa" w:w="100"/>
              <w:right w:type="dxa" w:w="100"/>
            </w:tcMar>
            <w:vAlign w:val="top"/>
          </w:tcPr>
          <w:p>
            <w:pPr>
              <w:spacing w:after="40" w:line="260"/>
            </w:pPr>
            <w:r>
              <w:rPr>
                <w:b w:val="false"/>
                <w:bCs w:val="false"/>
                <w:color w:val="222222"/>
                <w:sz w:val="17"/>
                <w:szCs w:val="17"/>
              </w:rPr>
              <w:t xml:space="preserve">Affiliate Pro</w:t>
            </w:r>
          </w:p>
        </w:tc>
        <w:tc>
          <w:tcPr>
            <w:tcW w:type="dxa" w:w="1700"/>
            <w:shd w:fill="FFFFFF" w:val="clear"/>
            <w:tcMar>
              <w:top w:type="dxa" w:w="100"/>
              <w:left w:type="dxa" w:w="100"/>
              <w:bottom w:type="dxa" w:w="100"/>
              <w:right w:type="dxa" w:w="100"/>
            </w:tcMar>
            <w:vAlign w:val="top"/>
          </w:tcPr>
          <w:p>
            <w:pPr>
              <w:spacing w:after="40" w:line="260"/>
            </w:pPr>
            <w:r>
              <w:rPr>
                <w:b w:val="false"/>
                <w:bCs w:val="false"/>
                <w:color w:val="5B6470"/>
                <w:sz w:val="17"/>
                <w:szCs w:val="17"/>
              </w:rPr>
              <w:t xml:space="preserve">à compléter</w:t>
            </w:r>
          </w:p>
        </w:tc>
        <w:tc>
          <w:tcPr>
            <w:tcW w:type="dxa" w:w="2950"/>
            <w:shd w:fill="FFFFFF" w:val="clear"/>
            <w:tcMar>
              <w:top w:type="dxa" w:w="100"/>
              <w:left w:type="dxa" w:w="100"/>
              <w:bottom w:type="dxa" w:w="100"/>
              <w:right w:type="dxa" w:w="100"/>
            </w:tcMar>
            <w:vAlign w:val="top"/>
          </w:tcPr>
          <w:p>
            <w:pPr>
              <w:spacing w:after="30" w:line="250"/>
            </w:pPr>
            <w:r>
              <w:rPr>
                <w:color w:val="222222"/>
                <w:sz w:val="17"/>
                <w:szCs w:val="17"/>
              </w:rPr>
              <w:t xml:space="preserve">› RPM = revenu par visiteur, pas volume brut (10k visiteurs à 40$ RPM &gt; 100k à 2$).</w:t>
            </w:r>
          </w:p>
          <w:p>
            <w:pPr>
              <w:spacing w:after="30" w:line="250"/>
            </w:pPr>
            <w:r>
              <w:rPr>
                <w:color w:val="222222"/>
                <w:sz w:val="17"/>
                <w:szCs w:val="17"/>
              </w:rPr>
              <w:t xml:space="preserve">› Display faible ≠ niche pauvre si CPA/affiliation forte (ex. gaming).</w:t>
            </w:r>
          </w:p>
          <w:p>
            <w:pPr>
              <w:spacing w:after="30" w:line="250"/>
            </w:pPr>
            <w:r>
              <w:rPr>
                <w:color w:val="222222"/>
                <w:sz w:val="17"/>
                <w:szCs w:val="17"/>
              </w:rPr>
              <w:t xml:space="preserve">› Angle précis &gt; niche large (zoomer pour battre l'IA sur l'E-E-A-T).</w:t>
            </w:r>
          </w:p>
        </w:tc>
      </w:tr>
      <w:tr>
        <w:tc>
          <w:tcPr>
            <w:tcW w:type="dxa" w:w="900"/>
            <w:shd w:fill="F2F3F5" w:val="clear"/>
            <w:tcMar>
              <w:top w:type="dxa" w:w="100"/>
              <w:left w:type="dxa" w:w="100"/>
              <w:bottom w:type="dxa" w:w="100"/>
              <w:right w:type="dxa" w:w="100"/>
            </w:tcMar>
            <w:vAlign w:val="top"/>
          </w:tcPr>
          <w:p>
            <w:pPr>
              <w:spacing w:after="40" w:line="260"/>
            </w:pPr>
            <w:r>
              <w:rPr>
                <w:b/>
                <w:bCs/>
                <w:color w:val="13233F"/>
                <w:sz w:val="17"/>
                <w:szCs w:val="17"/>
              </w:rPr>
              <w:t xml:space="preserve">2</w:t>
            </w:r>
          </w:p>
        </w:tc>
        <w:tc>
          <w:tcPr>
            <w:tcW w:type="dxa" w:w="1500"/>
            <w:shd w:fill="F2F3F5" w:val="clear"/>
            <w:tcMar>
              <w:top w:type="dxa" w:w="100"/>
              <w:left w:type="dxa" w:w="100"/>
              <w:bottom w:type="dxa" w:w="100"/>
              <w:right w:type="dxa" w:w="100"/>
            </w:tcMar>
            <w:vAlign w:val="top"/>
          </w:tcPr>
          <w:p>
            <w:pPr>
              <w:spacing w:after="40" w:line="260"/>
            </w:pPr>
            <w:r>
              <w:rPr>
                <w:b/>
                <w:bCs/>
                <w:color w:val="222222"/>
                <w:sz w:val="17"/>
                <w:szCs w:val="17"/>
              </w:rPr>
              <w:t xml:space="preserve">Choix de domaine</w:t>
            </w:r>
          </w:p>
        </w:tc>
        <w:tc>
          <w:tcPr>
            <w:tcW w:type="dxa" w:w="3700"/>
            <w:shd w:fill="F2F3F5" w:val="clear"/>
            <w:tcMar>
              <w:top w:type="dxa" w:w="100"/>
              <w:left w:type="dxa" w:w="100"/>
              <w:bottom w:type="dxa" w:w="100"/>
              <w:right w:type="dxa" w:w="100"/>
            </w:tcMar>
            <w:vAlign w:val="top"/>
          </w:tcPr>
          <w:p>
            <w:pPr>
              <w:spacing w:after="30" w:line="250"/>
            </w:pPr>
            <w:r>
              <w:rPr>
                <w:color w:val="222222"/>
                <w:sz w:val="17"/>
                <w:szCs w:val="17"/>
              </w:rPr>
              <w:t xml:space="preserve">› Choisir un nom de domaine .com, orienté marque (pas mot-clé exact).</w:t>
            </w:r>
          </w:p>
          <w:p>
            <w:pPr>
              <w:spacing w:after="30" w:line="250"/>
            </w:pPr>
            <w:r>
              <w:rPr>
                <w:color w:val="222222"/>
                <w:sz w:val="17"/>
                <w:szCs w:val="17"/>
              </w:rPr>
              <w:t xml:space="preserve">› Héberger le nom de domaine sur Cloudflare.</w:t>
            </w:r>
          </w:p>
          <w:p>
            <w:pPr>
              <w:spacing w:after="30" w:line="250"/>
            </w:pPr>
            <w:r>
              <w:rPr>
                <w:color w:val="222222"/>
                <w:sz w:val="17"/>
                <w:szCs w:val="17"/>
              </w:rPr>
              <w:t xml:space="preserve">› Renseigner une adresse USA (crédibilité régies pub / Tier 1).</w:t>
            </w:r>
          </w:p>
        </w:tc>
        <w:tc>
          <w:tcPr>
            <w:tcW w:type="dxa" w:w="1250"/>
            <w:shd w:fill="F2F3F5" w:val="clear"/>
            <w:tcMar>
              <w:top w:type="dxa" w:w="100"/>
              <w:left w:type="dxa" w:w="100"/>
              <w:bottom w:type="dxa" w:w="100"/>
              <w:right w:type="dxa" w:w="100"/>
            </w:tcMar>
            <w:vAlign w:val="top"/>
          </w:tcPr>
          <w:p>
            <w:pPr>
              <w:spacing w:after="40" w:line="260"/>
            </w:pPr>
            <w:r>
              <w:rPr>
                <w:b w:val="false"/>
                <w:bCs w:val="false"/>
                <w:color w:val="222222"/>
                <w:sz w:val="17"/>
                <w:szCs w:val="17"/>
              </w:rPr>
              <w:t xml:space="preserve">Affiliate Pro</w:t>
            </w:r>
          </w:p>
        </w:tc>
        <w:tc>
          <w:tcPr>
            <w:tcW w:type="dxa" w:w="1700"/>
            <w:shd w:fill="F2F3F5" w:val="clear"/>
            <w:tcMar>
              <w:top w:type="dxa" w:w="100"/>
              <w:left w:type="dxa" w:w="100"/>
              <w:bottom w:type="dxa" w:w="100"/>
              <w:right w:type="dxa" w:w="100"/>
            </w:tcMar>
            <w:vAlign w:val="top"/>
          </w:tcPr>
          <w:p>
            <w:pPr>
              <w:spacing w:after="40" w:line="260"/>
            </w:pPr>
            <w:r>
              <w:rPr>
                <w:b w:val="false"/>
                <w:bCs w:val="false"/>
                <w:color w:val="5B6470"/>
                <w:sz w:val="17"/>
                <w:szCs w:val="17"/>
              </w:rPr>
              <w:t xml:space="preserve">à compléter</w:t>
            </w:r>
          </w:p>
        </w:tc>
        <w:tc>
          <w:tcPr>
            <w:tcW w:type="dxa" w:w="2950"/>
            <w:shd w:fill="F2F3F5" w:val="clear"/>
            <w:tcMar>
              <w:top w:type="dxa" w:w="100"/>
              <w:left w:type="dxa" w:w="100"/>
              <w:bottom w:type="dxa" w:w="100"/>
              <w:right w:type="dxa" w:w="100"/>
            </w:tcMar>
            <w:vAlign w:val="top"/>
          </w:tcPr>
          <w:p>
            <w:pPr>
              <w:spacing w:after="30" w:line="250"/>
            </w:pPr>
            <w:r>
              <w:rPr>
                <w:color w:val="222222"/>
                <w:sz w:val="17"/>
                <w:szCs w:val="17"/>
              </w:rPr>
              <w:t xml:space="preserve">› Vérifier l'historique avant achat : VirusTotal, Wayback Machine, site:domaine.com, profil de backlinks.</w:t>
            </w:r>
          </w:p>
          <w:p>
            <w:pPr>
              <w:spacing w:after="30" w:line="250"/>
            </w:pPr>
            <w:r>
              <w:rPr>
                <w:color w:val="222222"/>
                <w:sz w:val="17"/>
                <w:szCs w:val="17"/>
              </w:rPr>
              <w:t xml:space="preserve">› Éviter tirets, chiffres, fautes volontaires (signal spam).</w:t>
            </w:r>
          </w:p>
          <w:p>
            <w:pPr>
              <w:spacing w:after="30" w:line="250"/>
            </w:pPr>
            <w:r>
              <w:rPr>
                <w:color w:val="222222"/>
                <w:sz w:val="17"/>
                <w:szCs w:val="17"/>
              </w:rPr>
              <w:t xml:space="preserve">› Le geociblage se joue sur le contenu/hébergement, pas sur le pays du registrar.</w:t>
            </w:r>
          </w:p>
        </w:tc>
      </w:tr>
      <w:tr>
        <w:tc>
          <w:tcPr>
            <w:tcW w:type="dxa" w:w="900"/>
            <w:shd w:fill="FFFFFF" w:val="clear"/>
            <w:tcMar>
              <w:top w:type="dxa" w:w="100"/>
              <w:left w:type="dxa" w:w="100"/>
              <w:bottom w:type="dxa" w:w="100"/>
              <w:right w:type="dxa" w:w="100"/>
            </w:tcMar>
            <w:vAlign w:val="top"/>
          </w:tcPr>
          <w:p>
            <w:pPr>
              <w:spacing w:after="40" w:line="260"/>
            </w:pPr>
            <w:r>
              <w:rPr>
                <w:b/>
                <w:bCs/>
                <w:color w:val="13233F"/>
                <w:sz w:val="17"/>
                <w:szCs w:val="17"/>
              </w:rPr>
              <w:t xml:space="preserve">3</w:t>
            </w:r>
          </w:p>
        </w:tc>
        <w:tc>
          <w:tcPr>
            <w:tcW w:type="dxa" w:w="1500"/>
            <w:shd w:fill="FFFFFF" w:val="clear"/>
            <w:tcMar>
              <w:top w:type="dxa" w:w="100"/>
              <w:left w:type="dxa" w:w="100"/>
              <w:bottom w:type="dxa" w:w="100"/>
              <w:right w:type="dxa" w:w="100"/>
            </w:tcMar>
            <w:vAlign w:val="top"/>
          </w:tcPr>
          <w:p>
            <w:pPr>
              <w:spacing w:after="40" w:line="260"/>
            </w:pPr>
            <w:r>
              <w:rPr>
                <w:b/>
                <w:bCs/>
                <w:color w:val="222222"/>
                <w:sz w:val="17"/>
                <w:szCs w:val="17"/>
              </w:rPr>
              <w:t xml:space="preserve">Montage du blog</w:t>
            </w:r>
          </w:p>
        </w:tc>
        <w:tc>
          <w:tcPr>
            <w:tcW w:type="dxa" w:w="3700"/>
            <w:shd w:fill="FFFFFF" w:val="clear"/>
            <w:tcMar>
              <w:top w:type="dxa" w:w="100"/>
              <w:left w:type="dxa" w:w="100"/>
              <w:bottom w:type="dxa" w:w="100"/>
              <w:right w:type="dxa" w:w="100"/>
            </w:tcMar>
            <w:vAlign w:val="top"/>
          </w:tcPr>
          <w:p>
            <w:pPr>
              <w:spacing w:after="30" w:line="250"/>
            </w:pPr>
            <w:r>
              <w:rPr>
                <w:color w:val="222222"/>
                <w:sz w:val="17"/>
                <w:szCs w:val="17"/>
              </w:rPr>
              <w:t xml:space="preserve">› Utiliser Claude Code / Codex, framework Astro + Cloudflare (D1, R2, Workers, cache KV).</w:t>
            </w:r>
          </w:p>
          <w:p>
            <w:pPr>
              <w:spacing w:after="30" w:line="250"/>
            </w:pPr>
            <w:r>
              <w:rPr>
                <w:color w:val="222222"/>
                <w:sz w:val="17"/>
                <w:szCs w:val="17"/>
              </w:rPr>
              <w:t xml:space="preserve">› Contenu monétisable dès la conception (encarts pensés dans le gabarit).</w:t>
            </w:r>
          </w:p>
          <w:p>
            <w:pPr>
              <w:spacing w:after="30" w:line="250"/>
            </w:pPr>
            <w:r>
              <w:rPr>
                <w:color w:val="222222"/>
                <w:sz w:val="17"/>
                <w:szCs w:val="17"/>
              </w:rPr>
              <w:t xml:space="preserve">› Page d'article : titre, splitée en sections, contenu cliquable ; listing catégorie (photos…) ; la catégorie ne se référence pas seule.</w:t>
            </w:r>
          </w:p>
        </w:tc>
        <w:tc>
          <w:tcPr>
            <w:tcW w:type="dxa" w:w="1250"/>
            <w:shd w:fill="FFFFFF" w:val="clear"/>
            <w:tcMar>
              <w:top w:type="dxa" w:w="100"/>
              <w:left w:type="dxa" w:w="100"/>
              <w:bottom w:type="dxa" w:w="100"/>
              <w:right w:type="dxa" w:w="100"/>
            </w:tcMar>
            <w:vAlign w:val="top"/>
          </w:tcPr>
          <w:p>
            <w:pPr>
              <w:spacing w:after="40" w:line="260"/>
            </w:pPr>
            <w:r>
              <w:rPr>
                <w:b w:val="false"/>
                <w:bCs w:val="false"/>
                <w:color w:val="222222"/>
                <w:sz w:val="17"/>
                <w:szCs w:val="17"/>
              </w:rPr>
              <w:t xml:space="preserve">Ad Arbitrage</w:t>
            </w:r>
          </w:p>
        </w:tc>
        <w:tc>
          <w:tcPr>
            <w:tcW w:type="dxa" w:w="1700"/>
            <w:shd w:fill="FFFFFF" w:val="clear"/>
            <w:tcMar>
              <w:top w:type="dxa" w:w="100"/>
              <w:left w:type="dxa" w:w="100"/>
              <w:bottom w:type="dxa" w:w="100"/>
              <w:right w:type="dxa" w:w="100"/>
            </w:tcMar>
            <w:vAlign w:val="top"/>
          </w:tcPr>
          <w:p>
            <w:pPr>
              <w:spacing w:after="40" w:line="260"/>
            </w:pPr>
            <w:r>
              <w:rPr>
                <w:b w:val="false"/>
                <w:bCs w:val="false"/>
                <w:color w:val="222222"/>
                <w:sz w:val="17"/>
                <w:szCs w:val="17"/>
              </w:rPr>
              <w:t xml:space="preserve">S3 – L1 – P1 : Création d'un blog moderne avec Astro et Cloudflare</w:t>
            </w:r>
          </w:p>
        </w:tc>
        <w:tc>
          <w:tcPr>
            <w:tcW w:type="dxa" w:w="2950"/>
            <w:shd w:fill="FFFFFF" w:val="clear"/>
            <w:tcMar>
              <w:top w:type="dxa" w:w="100"/>
              <w:left w:type="dxa" w:w="100"/>
              <w:bottom w:type="dxa" w:w="100"/>
              <w:right w:type="dxa" w:w="100"/>
            </w:tcMar>
            <w:vAlign w:val="top"/>
          </w:tcPr>
          <w:p>
            <w:pPr>
              <w:spacing w:after="30" w:line="250"/>
            </w:pPr>
            <w:r>
              <w:rPr>
                <w:color w:val="222222"/>
                <w:sz w:val="17"/>
                <w:szCs w:val="17"/>
              </w:rPr>
              <w:t xml:space="preserve">› Header/menu/footer en composants réutilisables (1 modif = tout le site).</w:t>
            </w:r>
          </w:p>
          <w:p>
            <w:pPr>
              <w:spacing w:after="30" w:line="250"/>
            </w:pPr>
            <w:r>
              <w:rPr>
                <w:color w:val="222222"/>
                <w:sz w:val="17"/>
                <w:szCs w:val="17"/>
              </w:rPr>
              <w:t xml:space="preserve">› Maillage interne : article → 3-5 liés, catégorie → piliers (+1 à +2 pages vues/visiteur).</w:t>
            </w:r>
          </w:p>
          <w:p>
            <w:pPr>
              <w:spacing w:after="30" w:line="250"/>
            </w:pPr>
            <w:r>
              <w:rPr>
                <w:color w:val="222222"/>
                <w:sz w:val="17"/>
                <w:szCs w:val="17"/>
              </w:rPr>
              <w:t xml:space="preserve">› Core Web Vitals : LCP &lt; 2,5s, CLS &lt; 0,1, INP &lt; 200ms → vitesse = revenu.</w:t>
            </w:r>
          </w:p>
          <w:p>
            <w:pPr>
              <w:spacing w:after="30" w:line="250"/>
            </w:pPr>
            <w:r>
              <w:rPr>
                <w:color w:val="222222"/>
                <w:sz w:val="17"/>
                <w:szCs w:val="17"/>
              </w:rPr>
              <w:t xml:space="preserve">› Pages légales obligatoires (mentions, confidentialité, cookies) = condition d'accès AdSense/RSoC.</w:t>
            </w:r>
          </w:p>
        </w:tc>
      </w:tr>
      <w:tr>
        <w:tc>
          <w:tcPr>
            <w:tcW w:type="dxa" w:w="900"/>
            <w:shd w:fill="EAF2FE" w:val="clear"/>
            <w:tcMar>
              <w:top w:type="dxa" w:w="100"/>
              <w:left w:type="dxa" w:w="100"/>
              <w:bottom w:type="dxa" w:w="100"/>
              <w:right w:type="dxa" w:w="100"/>
            </w:tcMar>
            <w:vAlign w:val="top"/>
          </w:tcPr>
          <w:p>
            <w:pPr>
              <w:spacing w:after="40" w:line="260"/>
            </w:pPr>
            <w:r>
              <w:rPr>
                <w:b/>
                <w:bCs/>
                <w:color w:val="13233F"/>
                <w:sz w:val="17"/>
                <w:szCs w:val="17"/>
              </w:rPr>
              <w:t xml:space="preserve">4</w:t>
            </w:r>
          </w:p>
        </w:tc>
        <w:tc>
          <w:tcPr>
            <w:tcW w:type="dxa" w:w="1500"/>
            <w:shd w:fill="EAF2FE" w:val="clear"/>
            <w:tcMar>
              <w:top w:type="dxa" w:w="100"/>
              <w:left w:type="dxa" w:w="100"/>
              <w:bottom w:type="dxa" w:w="100"/>
              <w:right w:type="dxa" w:w="100"/>
            </w:tcMar>
            <w:vAlign w:val="top"/>
          </w:tcPr>
          <w:p>
            <w:pPr>
              <w:spacing w:after="40" w:line="260"/>
            </w:pPr>
            <w:r>
              <w:rPr>
                <w:b/>
                <w:bCs/>
                <w:color w:val="222222"/>
                <w:sz w:val="17"/>
                <w:szCs w:val="17"/>
              </w:rPr>
              <w:t xml:space="preserve">Tracking central — Google Tag Manager</w:t>
            </w:r>
          </w:p>
        </w:tc>
        <w:tc>
          <w:tcPr>
            <w:tcW w:type="dxa" w:w="3700"/>
            <w:shd w:fill="EAF2FE" w:val="clear"/>
            <w:tcMar>
              <w:top w:type="dxa" w:w="100"/>
              <w:left w:type="dxa" w:w="100"/>
              <w:bottom w:type="dxa" w:w="100"/>
              <w:right w:type="dxa" w:w="100"/>
            </w:tcMar>
            <w:vAlign w:val="top"/>
          </w:tcPr>
          <w:p>
            <w:pPr>
              <w:spacing w:after="30" w:line="250"/>
            </w:pPr>
            <w:r>
              <w:rPr>
                <w:color w:val="222222"/>
                <w:sz w:val="17"/>
                <w:szCs w:val="17"/>
              </w:rPr>
              <w:t xml:space="preserve">› Installer le conteneur GTM en tout premier, avant toute campagne payante.</w:t>
            </w:r>
          </w:p>
          <w:p>
            <w:pPr>
              <w:spacing w:after="30" w:line="250"/>
            </w:pPr>
            <w:r>
              <w:rPr>
                <w:color w:val="222222"/>
                <w:sz w:val="17"/>
                <w:szCs w:val="17"/>
              </w:rPr>
              <w:t xml:space="preserve">› Centraliser dans GTM : GA4 (config + events), Meta Pixel, tag de conversion Google Ads, pixel/postback MGID &amp; PropellerAds.</w:t>
            </w:r>
          </w:p>
          <w:p>
            <w:pPr>
              <w:spacing w:after="30" w:line="250"/>
            </w:pPr>
            <w:r>
              <w:rPr>
                <w:color w:val="222222"/>
                <w:sz w:val="17"/>
                <w:szCs w:val="17"/>
              </w:rPr>
              <w:t xml:space="preserve">› Faire pousser par le blog un dataLayer propre (voir section dédiée GTM).</w:t>
            </w:r>
          </w:p>
        </w:tc>
        <w:tc>
          <w:tcPr>
            <w:tcW w:type="dxa" w:w="1250"/>
            <w:shd w:fill="EAF2FE" w:val="clear"/>
            <w:tcMar>
              <w:top w:type="dxa" w:w="100"/>
              <w:left w:type="dxa" w:w="100"/>
              <w:bottom w:type="dxa" w:w="100"/>
              <w:right w:type="dxa" w:w="100"/>
            </w:tcMar>
            <w:vAlign w:val="top"/>
          </w:tcPr>
          <w:p>
            <w:pPr>
              <w:spacing w:after="40" w:line="260"/>
            </w:pPr>
            <w:r>
              <w:rPr>
                <w:b w:val="false"/>
                <w:bCs w:val="false"/>
                <w:color w:val="222222"/>
                <w:sz w:val="17"/>
                <w:szCs w:val="17"/>
              </w:rPr>
              <w:t xml:space="preserve">Ad Arbitrage</w:t>
            </w:r>
          </w:p>
        </w:tc>
        <w:tc>
          <w:tcPr>
            <w:tcW w:type="dxa" w:w="1700"/>
            <w:shd w:fill="EAF2FE" w:val="clear"/>
            <w:tcMar>
              <w:top w:type="dxa" w:w="100"/>
              <w:left w:type="dxa" w:w="100"/>
              <w:bottom w:type="dxa" w:w="100"/>
              <w:right w:type="dxa" w:w="100"/>
            </w:tcMar>
            <w:vAlign w:val="top"/>
          </w:tcPr>
          <w:p>
            <w:pPr>
              <w:spacing w:after="40" w:line="260"/>
            </w:pPr>
            <w:r>
              <w:rPr>
                <w:b w:val="false"/>
                <w:bCs w:val="false"/>
                <w:color w:val="5B6470"/>
                <w:sz w:val="17"/>
                <w:szCs w:val="17"/>
              </w:rPr>
              <w:t xml:space="preserve">à compléter</w:t>
            </w:r>
          </w:p>
        </w:tc>
        <w:tc>
          <w:tcPr>
            <w:tcW w:type="dxa" w:w="2950"/>
            <w:shd w:fill="EAF2FE" w:val="clear"/>
            <w:tcMar>
              <w:top w:type="dxa" w:w="100"/>
              <w:left w:type="dxa" w:w="100"/>
              <w:bottom w:type="dxa" w:w="100"/>
              <w:right w:type="dxa" w:w="100"/>
            </w:tcMar>
            <w:vAlign w:val="top"/>
          </w:tcPr>
          <w:p>
            <w:pPr>
              <w:spacing w:after="30" w:line="250"/>
            </w:pPr>
            <w:r>
              <w:rPr>
                <w:color w:val="222222"/>
                <w:sz w:val="17"/>
                <w:szCs w:val="17"/>
              </w:rPr>
              <w:t xml:space="preserve">› 1 seul GTM = 1 seule source de vérité pour tous les canaux publicitaires.</w:t>
            </w:r>
          </w:p>
          <w:p>
            <w:pPr>
              <w:spacing w:after="30" w:line="250"/>
            </w:pPr>
            <w:r>
              <w:rPr>
                <w:color w:val="222222"/>
                <w:sz w:val="17"/>
                <w:szCs w:val="17"/>
              </w:rPr>
              <w:t xml:space="preserve">› Publier une Version de conteneur à chaque changement + tester en mode Aperçu avant publication.</w:t>
            </w:r>
          </w:p>
          <w:p>
            <w:pPr>
              <w:spacing w:after="30" w:line="250"/>
            </w:pPr>
            <w:r>
              <w:rPr>
                <w:color w:val="222222"/>
                <w:sz w:val="17"/>
                <w:szCs w:val="17"/>
              </w:rPr>
              <w:t xml:space="preserve">› Prévoir le server-side GTM si adblockers/ITP dégradent le tracking (option avancée).</w:t>
            </w:r>
          </w:p>
        </w:tc>
      </w:tr>
      <w:tr>
        <w:tc>
          <w:tcPr>
            <w:tcW w:type="dxa" w:w="900"/>
            <w:shd w:fill="FFFFFF" w:val="clear"/>
            <w:tcMar>
              <w:top w:type="dxa" w:w="100"/>
              <w:left w:type="dxa" w:w="100"/>
              <w:bottom w:type="dxa" w:w="100"/>
              <w:right w:type="dxa" w:w="100"/>
            </w:tcMar>
            <w:vAlign w:val="top"/>
          </w:tcPr>
          <w:p>
            <w:pPr>
              <w:spacing w:after="40" w:line="260"/>
            </w:pPr>
            <w:r>
              <w:rPr>
                <w:b/>
                <w:bCs/>
                <w:color w:val="13233F"/>
                <w:sz w:val="17"/>
                <w:szCs w:val="17"/>
              </w:rPr>
              <w:t xml:space="preserve">5</w:t>
            </w:r>
          </w:p>
        </w:tc>
        <w:tc>
          <w:tcPr>
            <w:tcW w:type="dxa" w:w="1500"/>
            <w:shd w:fill="FFFFFF" w:val="clear"/>
            <w:tcMar>
              <w:top w:type="dxa" w:w="100"/>
              <w:left w:type="dxa" w:w="100"/>
              <w:bottom w:type="dxa" w:w="100"/>
              <w:right w:type="dxa" w:w="100"/>
            </w:tcMar>
            <w:vAlign w:val="top"/>
          </w:tcPr>
          <w:p>
            <w:pPr>
              <w:spacing w:after="40" w:line="260"/>
            </w:pPr>
            <w:r>
              <w:rPr>
                <w:b/>
                <w:bCs/>
                <w:color w:val="222222"/>
                <w:sz w:val="17"/>
                <w:szCs w:val="17"/>
              </w:rPr>
              <w:t xml:space="preserve">Lancement Google Ads</w:t>
            </w:r>
          </w:p>
        </w:tc>
        <w:tc>
          <w:tcPr>
            <w:tcW w:type="dxa" w:w="3700"/>
            <w:shd w:fill="FFFFFF" w:val="clear"/>
            <w:tcMar>
              <w:top w:type="dxa" w:w="100"/>
              <w:left w:type="dxa" w:w="100"/>
              <w:bottom w:type="dxa" w:w="100"/>
              <w:right w:type="dxa" w:w="100"/>
            </w:tcMar>
            <w:vAlign w:val="top"/>
          </w:tcPr>
          <w:p>
            <w:pPr>
              <w:spacing w:after="30" w:line="250"/>
            </w:pPr>
            <w:r>
              <w:rPr>
                <w:color w:val="222222"/>
                <w:sz w:val="17"/>
                <w:szCs w:val="17"/>
              </w:rPr>
              <w:t xml:space="preserve">› Amener du trafic qualifié, optimiser pour les events (clic sortant).</w:t>
            </w:r>
          </w:p>
          <w:p>
            <w:pPr>
              <w:spacing w:after="30" w:line="250"/>
            </w:pPr>
            <w:r>
              <w:rPr>
                <w:color w:val="222222"/>
                <w:sz w:val="17"/>
                <w:szCs w:val="17"/>
              </w:rPr>
              <w:t xml:space="preserve">› Affiliation → optimiser sur les liens sortants ; sans affiliation → optimiser sur les liens internes.</w:t>
            </w:r>
          </w:p>
          <w:p>
            <w:pPr>
              <w:spacing w:after="30" w:line="250"/>
            </w:pPr>
            <w:r>
              <w:rPr>
                <w:color w:val="222222"/>
                <w:sz w:val="17"/>
                <w:szCs w:val="17"/>
              </w:rPr>
              <w:t xml:space="preserve">› Display : surveiller la qualité du trafic ; définir les coûts.</w:t>
            </w:r>
          </w:p>
          <w:p>
            <w:pPr>
              <w:spacing w:after="30" w:line="250"/>
            </w:pPr>
            <w:r>
              <w:rPr>
                <w:color w:val="222222"/>
                <w:sz w:val="17"/>
                <w:szCs w:val="17"/>
              </w:rPr>
              <w:t xml:space="preserve">› Exact match → maximiser les clics ; Phrase match → maximiser les conversions.</w:t>
            </w:r>
          </w:p>
        </w:tc>
        <w:tc>
          <w:tcPr>
            <w:tcW w:type="dxa" w:w="1250"/>
            <w:shd w:fill="FFFFFF" w:val="clear"/>
            <w:tcMar>
              <w:top w:type="dxa" w:w="100"/>
              <w:left w:type="dxa" w:w="100"/>
              <w:bottom w:type="dxa" w:w="100"/>
              <w:right w:type="dxa" w:w="100"/>
            </w:tcMar>
            <w:vAlign w:val="top"/>
          </w:tcPr>
          <w:p>
            <w:pPr>
              <w:spacing w:after="40" w:line="260"/>
            </w:pPr>
            <w:r>
              <w:rPr>
                <w:b w:val="false"/>
                <w:bCs w:val="false"/>
                <w:color w:val="222222"/>
                <w:sz w:val="17"/>
                <w:szCs w:val="17"/>
              </w:rPr>
              <w:t xml:space="preserve">Ad Arbitrage</w:t>
            </w:r>
          </w:p>
        </w:tc>
        <w:tc>
          <w:tcPr>
            <w:tcW w:type="dxa" w:w="1700"/>
            <w:shd w:fill="FFFFFF" w:val="clear"/>
            <w:tcMar>
              <w:top w:type="dxa" w:w="100"/>
              <w:left w:type="dxa" w:w="100"/>
              <w:bottom w:type="dxa" w:w="100"/>
              <w:right w:type="dxa" w:w="100"/>
            </w:tcMar>
            <w:vAlign w:val="top"/>
          </w:tcPr>
          <w:p>
            <w:pPr>
              <w:spacing w:after="40" w:line="260"/>
            </w:pPr>
            <w:r>
              <w:rPr>
                <w:b w:val="false"/>
                <w:bCs w:val="false"/>
                <w:color w:val="222222"/>
                <w:sz w:val="17"/>
                <w:szCs w:val="17"/>
              </w:rPr>
              <w:t xml:space="preserve">S6 – L1 : Paramétrage et optimisation des campagnes Google Ads</w:t>
            </w:r>
          </w:p>
        </w:tc>
        <w:tc>
          <w:tcPr>
            <w:tcW w:type="dxa" w:w="2950"/>
            <w:shd w:fill="FFFFFF" w:val="clear"/>
            <w:tcMar>
              <w:top w:type="dxa" w:w="100"/>
              <w:left w:type="dxa" w:w="100"/>
              <w:bottom w:type="dxa" w:w="100"/>
              <w:right w:type="dxa" w:w="100"/>
            </w:tcMar>
            <w:vAlign w:val="top"/>
          </w:tcPr>
          <w:p>
            <w:pPr>
              <w:spacing w:after="30" w:line="250"/>
            </w:pPr>
            <w:r>
              <w:rPr>
                <w:color w:val="222222"/>
                <w:sz w:val="17"/>
                <w:szCs w:val="17"/>
              </w:rPr>
              <w:t xml:space="preserve">› Ne basculer en Maximiser les conversions / CPA cible que si le tag de conversion GTM est fiable (min. ~30 conversions/mois).</w:t>
            </w:r>
          </w:p>
          <w:p>
            <w:pPr>
              <w:spacing w:after="30" w:line="250"/>
            </w:pPr>
            <w:r>
              <w:rPr>
                <w:color w:val="222222"/>
                <w:sz w:val="17"/>
                <w:szCs w:val="17"/>
              </w:rPr>
              <w:t xml:space="preserve">› Exclure les placements/mots-clés à fort CPC et zéro conversion après un volume suffisant de clics.</w:t>
            </w:r>
          </w:p>
          <w:p>
            <w:pPr>
              <w:spacing w:after="30" w:line="250"/>
            </w:pPr>
            <w:r>
              <w:rPr>
                <w:color w:val="222222"/>
                <w:sz w:val="17"/>
                <w:szCs w:val="17"/>
              </w:rPr>
              <w:t xml:space="preserve">› Value-based bidding : faire remonter la valeur réelle (RPM display + commission affiliation) via GTM/GA4.</w:t>
            </w:r>
          </w:p>
          <w:p>
            <w:pPr>
              <w:spacing w:after="30" w:line="250"/>
            </w:pPr>
            <w:r>
              <w:rPr>
                <w:color w:val="222222"/>
                <w:sz w:val="17"/>
                <w:szCs w:val="17"/>
              </w:rPr>
              <w:t xml:space="preserve">› Distinguer 2 campagnes : Discovery en CPA Cible (piloté manuellement) vs zoom Search en Exact Match.</w:t>
            </w:r>
          </w:p>
          <w:p>
            <w:pPr>
              <w:spacing w:after="30" w:line="250"/>
            </w:pPr>
            <w:r>
              <w:rPr>
                <w:color w:val="222222"/>
                <w:sz w:val="17"/>
                <w:szCs w:val="17"/>
              </w:rPr>
              <w:t xml:space="preserve">› Préférer le ROAS Cible au CPA Cible dès que plusieurs GEO sont actives : le bid part du payout par géo, pas d'un coût fixe (détail en §4.4).</w:t>
            </w:r>
          </w:p>
          <w:p>
            <w:pPr>
              <w:spacing w:after="30" w:line="250"/>
            </w:pPr>
            <w:r>
              <w:rPr>
                <w:color w:val="222222"/>
                <w:sz w:val="17"/>
                <w:szCs w:val="17"/>
              </w:rPr>
              <w:t xml:space="preserve">› Pmax : démarrer en optimisation CPA, puis basculer sur l'optimisation valeur de conversion une fois l'historique suffisant.</w:t>
            </w:r>
          </w:p>
        </w:tc>
      </w:tr>
      <w:tr>
        <w:tc>
          <w:tcPr>
            <w:tcW w:type="dxa" w:w="900"/>
            <w:shd w:fill="EAF2FE" w:val="clear"/>
            <w:tcMar>
              <w:top w:type="dxa" w:w="100"/>
              <w:left w:type="dxa" w:w="100"/>
              <w:bottom w:type="dxa" w:w="100"/>
              <w:right w:type="dxa" w:w="100"/>
            </w:tcMar>
            <w:vAlign w:val="top"/>
          </w:tcPr>
          <w:p>
            <w:pPr>
              <w:spacing w:after="40" w:line="260"/>
            </w:pPr>
            <w:r>
              <w:rPr>
                <w:b/>
                <w:bCs/>
                <w:color w:val="13233F"/>
                <w:sz w:val="17"/>
                <w:szCs w:val="17"/>
              </w:rPr>
              <w:t xml:space="preserve">6</w:t>
            </w:r>
          </w:p>
        </w:tc>
        <w:tc>
          <w:tcPr>
            <w:tcW w:type="dxa" w:w="1500"/>
            <w:shd w:fill="EAF2FE" w:val="clear"/>
            <w:tcMar>
              <w:top w:type="dxa" w:w="100"/>
              <w:left w:type="dxa" w:w="100"/>
              <w:bottom w:type="dxa" w:w="100"/>
              <w:right w:type="dxa" w:w="100"/>
            </w:tcMar>
            <w:vAlign w:val="top"/>
          </w:tcPr>
          <w:p>
            <w:pPr>
              <w:spacing w:after="40" w:line="260"/>
            </w:pPr>
            <w:r>
              <w:rPr>
                <w:b/>
                <w:bCs/>
                <w:color w:val="222222"/>
                <w:sz w:val="17"/>
                <w:szCs w:val="17"/>
              </w:rPr>
              <w:t xml:space="preserve">Lancement Meta Ads</w:t>
            </w:r>
          </w:p>
        </w:tc>
        <w:tc>
          <w:tcPr>
            <w:tcW w:type="dxa" w:w="3700"/>
            <w:shd w:fill="EAF2FE" w:val="clear"/>
            <w:tcMar>
              <w:top w:type="dxa" w:w="100"/>
              <w:left w:type="dxa" w:w="100"/>
              <w:bottom w:type="dxa" w:w="100"/>
              <w:right w:type="dxa" w:w="100"/>
            </w:tcMar>
            <w:vAlign w:val="top"/>
          </w:tcPr>
          <w:p>
            <w:pPr>
              <w:spacing w:after="30" w:line="250"/>
            </w:pPr>
            <w:r>
              <w:rPr>
                <w:color w:val="222222"/>
                <w:sz w:val="17"/>
                <w:szCs w:val="17"/>
              </w:rPr>
              <w:t xml:space="preserve">› Installer le Pixel Meta via GTM (balise Meta Pixel + Conversions API si possible).</w:t>
            </w:r>
          </w:p>
          <w:p>
            <w:pPr>
              <w:spacing w:after="30" w:line="250"/>
            </w:pPr>
            <w:r>
              <w:rPr>
                <w:color w:val="222222"/>
                <w:sz w:val="17"/>
                <w:szCs w:val="17"/>
              </w:rPr>
              <w:t xml:space="preserve">› Cibler par pays (Tier 1), âge, device, centres d'intérêt ; tester Advantage+ / audiences larges vs ciblage précis.</w:t>
            </w:r>
          </w:p>
          <w:p>
            <w:pPr>
              <w:spacing w:after="30" w:line="250"/>
            </w:pPr>
            <w:r>
              <w:rPr>
                <w:color w:val="222222"/>
                <w:sz w:val="17"/>
                <w:szCs w:val="17"/>
              </w:rPr>
              <w:t xml:space="preserve">› Objectif de campagne = Conversions (pas Trafic/Reach) dès que le pixel remonte des events fiables.</w:t>
            </w:r>
          </w:p>
          <w:p>
            <w:pPr>
              <w:spacing w:after="30" w:line="250"/>
            </w:pPr>
            <w:r>
              <w:rPr>
                <w:color w:val="222222"/>
                <w:sz w:val="17"/>
                <w:szCs w:val="17"/>
              </w:rPr>
              <w:t xml:space="preserve">› Tester 3-5 créas par ad set, couper sous performance après un seuil de dépense défini.</w:t>
            </w:r>
          </w:p>
        </w:tc>
        <w:tc>
          <w:tcPr>
            <w:tcW w:type="dxa" w:w="1250"/>
            <w:shd w:fill="EAF2FE" w:val="clear"/>
            <w:tcMar>
              <w:top w:type="dxa" w:w="100"/>
              <w:left w:type="dxa" w:w="100"/>
              <w:bottom w:type="dxa" w:w="100"/>
              <w:right w:type="dxa" w:w="100"/>
            </w:tcMar>
            <w:vAlign w:val="top"/>
          </w:tcPr>
          <w:p>
            <w:pPr>
              <w:spacing w:after="40" w:line="260"/>
            </w:pPr>
            <w:r>
              <w:rPr>
                <w:b w:val="false"/>
                <w:bCs w:val="false"/>
                <w:color w:val="222222"/>
                <w:sz w:val="17"/>
                <w:szCs w:val="17"/>
              </w:rPr>
              <w:t xml:space="preserve">Ad Arbitrage</w:t>
            </w:r>
          </w:p>
        </w:tc>
        <w:tc>
          <w:tcPr>
            <w:tcW w:type="dxa" w:w="1700"/>
            <w:shd w:fill="EAF2FE" w:val="clear"/>
            <w:tcMar>
              <w:top w:type="dxa" w:w="100"/>
              <w:left w:type="dxa" w:w="100"/>
              <w:bottom w:type="dxa" w:w="100"/>
              <w:right w:type="dxa" w:w="100"/>
            </w:tcMar>
            <w:vAlign w:val="top"/>
          </w:tcPr>
          <w:p>
            <w:pPr>
              <w:spacing w:after="40" w:line="260"/>
            </w:pPr>
            <w:r>
              <w:rPr>
                <w:b w:val="false"/>
                <w:bCs w:val="false"/>
                <w:color w:val="5B6470"/>
                <w:sz w:val="17"/>
                <w:szCs w:val="17"/>
              </w:rPr>
              <w:t xml:space="preserve">à compléter</w:t>
            </w:r>
          </w:p>
        </w:tc>
        <w:tc>
          <w:tcPr>
            <w:tcW w:type="dxa" w:w="2950"/>
            <w:shd w:fill="EAF2FE" w:val="clear"/>
            <w:tcMar>
              <w:top w:type="dxa" w:w="100"/>
              <w:left w:type="dxa" w:w="100"/>
              <w:bottom w:type="dxa" w:w="100"/>
              <w:right w:type="dxa" w:w="100"/>
            </w:tcMar>
            <w:vAlign w:val="top"/>
          </w:tcPr>
          <w:p>
            <w:pPr>
              <w:spacing w:after="30" w:line="250"/>
            </w:pPr>
            <w:r>
              <w:rPr>
                <w:color w:val="222222"/>
                <w:sz w:val="17"/>
                <w:szCs w:val="17"/>
              </w:rPr>
              <w:t xml:space="preserve">› Fréquence capping : au-delà de 3-4, le CTR chute et le CPM grimpe (fatigue créative).</w:t>
            </w:r>
          </w:p>
          <w:p>
            <w:pPr>
              <w:spacing w:after="30" w:line="250"/>
            </w:pPr>
            <w:r>
              <w:rPr>
                <w:color w:val="222222"/>
                <w:sz w:val="17"/>
                <w:szCs w:val="17"/>
              </w:rPr>
              <w:t xml:space="preserve">› Retargeting sur les visiteurs ayant déclenché un event 'scroll 75%' ou 'clic sortant' non converti.</w:t>
            </w:r>
          </w:p>
          <w:p>
            <w:pPr>
              <w:spacing w:after="30" w:line="250"/>
            </w:pPr>
            <w:r>
              <w:rPr>
                <w:color w:val="222222"/>
                <w:sz w:val="17"/>
                <w:szCs w:val="17"/>
              </w:rPr>
              <w:t xml:space="preserve">› Lookalike audience à partir des convertisseurs remontés par GTM/CAPI, jamais des simples visiteurs.</w:t>
            </w:r>
          </w:p>
          <w:p>
            <w:pPr>
              <w:spacing w:after="30" w:line="250"/>
            </w:pPr>
            <w:r>
              <w:rPr>
                <w:color w:val="222222"/>
                <w:sz w:val="17"/>
                <w:szCs w:val="17"/>
              </w:rPr>
              <w:t xml:space="preserve">› CBO (Campaign Budget Optimization) une fois 2-3 ad sets rentables identifiés.</w:t>
            </w:r>
          </w:p>
        </w:tc>
      </w:tr>
      <w:tr>
        <w:tc>
          <w:tcPr>
            <w:tcW w:type="dxa" w:w="900"/>
            <w:shd w:fill="FFFFFF" w:val="clear"/>
            <w:tcMar>
              <w:top w:type="dxa" w:w="100"/>
              <w:left w:type="dxa" w:w="100"/>
              <w:bottom w:type="dxa" w:w="100"/>
              <w:right w:type="dxa" w:w="100"/>
            </w:tcMar>
            <w:vAlign w:val="top"/>
          </w:tcPr>
          <w:p>
            <w:pPr>
              <w:spacing w:after="40" w:line="260"/>
            </w:pPr>
            <w:r>
              <w:rPr>
                <w:b/>
                <w:bCs/>
                <w:color w:val="13233F"/>
                <w:sz w:val="17"/>
                <w:szCs w:val="17"/>
              </w:rPr>
              <w:t xml:space="preserve">7</w:t>
            </w:r>
          </w:p>
        </w:tc>
        <w:tc>
          <w:tcPr>
            <w:tcW w:type="dxa" w:w="1500"/>
            <w:shd w:fill="FFFFFF" w:val="clear"/>
            <w:tcMar>
              <w:top w:type="dxa" w:w="100"/>
              <w:left w:type="dxa" w:w="100"/>
              <w:bottom w:type="dxa" w:w="100"/>
              <w:right w:type="dxa" w:w="100"/>
            </w:tcMar>
            <w:vAlign w:val="top"/>
          </w:tcPr>
          <w:p>
            <w:pPr>
              <w:spacing w:after="40" w:line="260"/>
            </w:pPr>
            <w:r>
              <w:rPr>
                <w:b/>
                <w:bCs/>
                <w:color w:val="222222"/>
                <w:sz w:val="17"/>
                <w:szCs w:val="17"/>
              </w:rPr>
              <w:t xml:space="preserve">Trafic natif &amp; push — MGID / PropellerAds</w:t>
            </w:r>
          </w:p>
        </w:tc>
        <w:tc>
          <w:tcPr>
            <w:tcW w:type="dxa" w:w="3700"/>
            <w:shd w:fill="FFFFFF" w:val="clear"/>
            <w:tcMar>
              <w:top w:type="dxa" w:w="100"/>
              <w:left w:type="dxa" w:w="100"/>
              <w:bottom w:type="dxa" w:w="100"/>
              <w:right w:type="dxa" w:w="100"/>
            </w:tcMar>
            <w:vAlign w:val="top"/>
          </w:tcPr>
          <w:p>
            <w:pPr>
              <w:spacing w:after="30" w:line="250"/>
            </w:pPr>
            <w:r>
              <w:rPr>
                <w:color w:val="222222"/>
                <w:sz w:val="17"/>
                <w:szCs w:val="17"/>
              </w:rPr>
              <w:t xml:space="preserve">› Ouvrir un compte annonceur MGID (native) et/ou PropellerAds (push, onclick/pop, interstitiel).</w:t>
            </w:r>
          </w:p>
          <w:p>
            <w:pPr>
              <w:spacing w:after="30" w:line="250"/>
            </w:pPr>
            <w:r>
              <w:rPr>
                <w:color w:val="222222"/>
                <w:sz w:val="17"/>
                <w:szCs w:val="17"/>
              </w:rPr>
              <w:t xml:space="preserve">› Charger le pixel de conversion MGID/PropellerAds dans GTM (postback S2S recommandé).</w:t>
            </w:r>
          </w:p>
          <w:p>
            <w:pPr>
              <w:spacing w:after="30" w:line="250"/>
            </w:pPr>
            <w:r>
              <w:rPr>
                <w:color w:val="222222"/>
                <w:sz w:val="17"/>
                <w:szCs w:val="17"/>
              </w:rPr>
              <w:t xml:space="preserve">› Cibler par pays, device, catégorie de zones ; démarrer en Smart CPM/CPC puis affiner.</w:t>
            </w:r>
          </w:p>
          <w:p>
            <w:pPr>
              <w:spacing w:after="30" w:line="250"/>
            </w:pPr>
            <w:r>
              <w:rPr>
                <w:color w:val="222222"/>
                <w:sz w:val="17"/>
                <w:szCs w:val="17"/>
              </w:rPr>
              <w:t xml:space="preserve">› Tester plusieurs formats de widgets 'contenu recommandé' en bas d'article (cumulable avec le display).</w:t>
            </w:r>
          </w:p>
        </w:tc>
        <w:tc>
          <w:tcPr>
            <w:tcW w:type="dxa" w:w="1250"/>
            <w:shd w:fill="FFFFFF" w:val="clear"/>
            <w:tcMar>
              <w:top w:type="dxa" w:w="100"/>
              <w:left w:type="dxa" w:w="100"/>
              <w:bottom w:type="dxa" w:w="100"/>
              <w:right w:type="dxa" w:w="100"/>
            </w:tcMar>
            <w:vAlign w:val="top"/>
          </w:tcPr>
          <w:p>
            <w:pPr>
              <w:spacing w:after="40" w:line="260"/>
            </w:pPr>
            <w:r>
              <w:rPr>
                <w:b w:val="false"/>
                <w:bCs w:val="false"/>
                <w:color w:val="222222"/>
                <w:sz w:val="17"/>
                <w:szCs w:val="17"/>
              </w:rPr>
              <w:t xml:space="preserve">Ad Arbitrage</w:t>
            </w:r>
          </w:p>
        </w:tc>
        <w:tc>
          <w:tcPr>
            <w:tcW w:type="dxa" w:w="1700"/>
            <w:shd w:fill="FFFFFF" w:val="clear"/>
            <w:tcMar>
              <w:top w:type="dxa" w:w="100"/>
              <w:left w:type="dxa" w:w="100"/>
              <w:bottom w:type="dxa" w:w="100"/>
              <w:right w:type="dxa" w:w="100"/>
            </w:tcMar>
            <w:vAlign w:val="top"/>
          </w:tcPr>
          <w:p>
            <w:pPr>
              <w:spacing w:after="40" w:line="260"/>
            </w:pPr>
            <w:r>
              <w:rPr>
                <w:b w:val="false"/>
                <w:bCs w:val="false"/>
                <w:color w:val="5B6470"/>
                <w:sz w:val="17"/>
                <w:szCs w:val="17"/>
              </w:rPr>
              <w:t xml:space="preserve">à compléter</w:t>
            </w:r>
          </w:p>
        </w:tc>
        <w:tc>
          <w:tcPr>
            <w:tcW w:type="dxa" w:w="2950"/>
            <w:shd w:fill="FFFFFF" w:val="clear"/>
            <w:tcMar>
              <w:top w:type="dxa" w:w="100"/>
              <w:left w:type="dxa" w:w="100"/>
              <w:bottom w:type="dxa" w:w="100"/>
              <w:right w:type="dxa" w:w="100"/>
            </w:tcMar>
            <w:vAlign w:val="top"/>
          </w:tcPr>
          <w:p>
            <w:pPr>
              <w:spacing w:after="30" w:line="250"/>
            </w:pPr>
            <w:r>
              <w:rPr>
                <w:color w:val="222222"/>
                <w:sz w:val="17"/>
                <w:szCs w:val="17"/>
              </w:rPr>
              <w:t xml:space="preserve">› Classer chaque zone en 3 listes : Perf (convertit, bon ROI) / Watch (volume correct, pas encore de conversion) / Blacklist (CPM élevé, 0 conversion sur volume suffisant).</w:t>
            </w:r>
          </w:p>
          <w:p>
            <w:pPr>
              <w:spacing w:after="30" w:line="250"/>
            </w:pPr>
            <w:r>
              <w:rPr>
                <w:color w:val="222222"/>
                <w:sz w:val="17"/>
                <w:szCs w:val="17"/>
              </w:rPr>
              <w:t xml:space="preserve">› Exclure une zone Blacklist dès qu'elle dépasse le coût d'un lead sans conversion sur un échantillon significatif.</w:t>
            </w:r>
          </w:p>
          <w:p>
            <w:pPr>
              <w:spacing w:after="30" w:line="250"/>
            </w:pPr>
            <w:r>
              <w:rPr>
                <w:color w:val="222222"/>
                <w:sz w:val="17"/>
                <w:szCs w:val="17"/>
              </w:rPr>
              <w:t xml:space="preserve">› Le native se cumule au display sans effort supplémentaire — ne pas l'oublier dans le revenu total.</w:t>
            </w:r>
          </w:p>
        </w:tc>
      </w:tr>
      <w:tr>
        <w:tc>
          <w:tcPr>
            <w:tcW w:type="dxa" w:w="900"/>
            <w:shd w:fill="EAF2FE" w:val="clear"/>
            <w:tcMar>
              <w:top w:type="dxa" w:w="100"/>
              <w:left w:type="dxa" w:w="100"/>
              <w:bottom w:type="dxa" w:w="100"/>
              <w:right w:type="dxa" w:w="100"/>
            </w:tcMar>
            <w:vAlign w:val="top"/>
          </w:tcPr>
          <w:p>
            <w:pPr>
              <w:spacing w:after="40" w:line="260"/>
            </w:pPr>
            <w:r>
              <w:rPr>
                <w:b/>
                <w:bCs/>
                <w:color w:val="13233F"/>
                <w:sz w:val="17"/>
                <w:szCs w:val="17"/>
              </w:rPr>
              <w:t xml:space="preserve">8</w:t>
            </w:r>
          </w:p>
        </w:tc>
        <w:tc>
          <w:tcPr>
            <w:tcW w:type="dxa" w:w="1500"/>
            <w:shd w:fill="EAF2FE" w:val="clear"/>
            <w:tcMar>
              <w:top w:type="dxa" w:w="100"/>
              <w:left w:type="dxa" w:w="100"/>
              <w:bottom w:type="dxa" w:w="100"/>
              <w:right w:type="dxa" w:w="100"/>
            </w:tcMar>
            <w:vAlign w:val="top"/>
          </w:tcPr>
          <w:p>
            <w:pPr>
              <w:spacing w:after="40" w:line="260"/>
            </w:pPr>
            <w:r>
              <w:rPr>
                <w:b/>
                <w:bCs/>
                <w:color w:val="222222"/>
                <w:sz w:val="17"/>
                <w:szCs w:val="17"/>
              </w:rPr>
              <w:t xml:space="preserve">Centralisation &amp; catégorisation via GTM</w:t>
            </w:r>
          </w:p>
        </w:tc>
        <w:tc>
          <w:tcPr>
            <w:tcW w:type="dxa" w:w="3700"/>
            <w:shd w:fill="EAF2FE" w:val="clear"/>
            <w:tcMar>
              <w:top w:type="dxa" w:w="100"/>
              <w:left w:type="dxa" w:w="100"/>
              <w:bottom w:type="dxa" w:w="100"/>
              <w:right w:type="dxa" w:w="100"/>
            </w:tcMar>
            <w:vAlign w:val="top"/>
          </w:tcPr>
          <w:p>
            <w:pPr>
              <w:spacing w:after="30" w:line="250"/>
            </w:pPr>
            <w:r>
              <w:rPr>
                <w:color w:val="222222"/>
                <w:sz w:val="17"/>
                <w:szCs w:val="17"/>
              </w:rPr>
              <w:t xml:space="preserve">› Faire de GTM le hub unique : toutes les sources (Google Ads, Meta, MGID, PropellerAds, SEO) taguées et identifiables.</w:t>
            </w:r>
          </w:p>
          <w:p>
            <w:pPr>
              <w:spacing w:after="30" w:line="250"/>
            </w:pPr>
            <w:r>
              <w:rPr>
                <w:color w:val="222222"/>
                <w:sz w:val="17"/>
                <w:szCs w:val="17"/>
              </w:rPr>
              <w:t xml:space="preserve">› Filtrer le trafic par UTM (source/medium/campaign/content/term) + Zone ID / Sub ID via variables GTM.</w:t>
            </w:r>
          </w:p>
          <w:p>
            <w:pPr>
              <w:spacing w:after="30" w:line="250"/>
            </w:pPr>
            <w:r>
              <w:rPr>
                <w:color w:val="222222"/>
                <w:sz w:val="17"/>
                <w:szCs w:val="17"/>
              </w:rPr>
              <w:t xml:space="preserve">› Catégoriser en audiences GA4 : par source, par device, par pays (Tier), par comportement (scroll, clic sortant, conversion).</w:t>
            </w:r>
          </w:p>
          <w:p>
            <w:pPr>
              <w:spacing w:after="30" w:line="250"/>
            </w:pPr>
            <w:r>
              <w:rPr>
                <w:color w:val="222222"/>
                <w:sz w:val="17"/>
                <w:szCs w:val="17"/>
              </w:rPr>
              <w:t xml:space="preserve">› Faire remonter ces catégories comme signaux vers Google Ads / Meta pour le smart bidding.</w:t>
            </w:r>
          </w:p>
        </w:tc>
        <w:tc>
          <w:tcPr>
            <w:tcW w:type="dxa" w:w="1250"/>
            <w:shd w:fill="EAF2FE" w:val="clear"/>
            <w:tcMar>
              <w:top w:type="dxa" w:w="100"/>
              <w:left w:type="dxa" w:w="100"/>
              <w:bottom w:type="dxa" w:w="100"/>
              <w:right w:type="dxa" w:w="100"/>
            </w:tcMar>
            <w:vAlign w:val="top"/>
          </w:tcPr>
          <w:p>
            <w:pPr>
              <w:spacing w:after="40" w:line="260"/>
            </w:pPr>
            <w:r>
              <w:rPr>
                <w:b w:val="false"/>
                <w:bCs w:val="false"/>
                <w:color w:val="222222"/>
                <w:sz w:val="17"/>
                <w:szCs w:val="17"/>
              </w:rPr>
              <w:t xml:space="preserve">Ad Arbitrage</w:t>
            </w:r>
          </w:p>
        </w:tc>
        <w:tc>
          <w:tcPr>
            <w:tcW w:type="dxa" w:w="1700"/>
            <w:shd w:fill="EAF2FE" w:val="clear"/>
            <w:tcMar>
              <w:top w:type="dxa" w:w="100"/>
              <w:left w:type="dxa" w:w="100"/>
              <w:bottom w:type="dxa" w:w="100"/>
              <w:right w:type="dxa" w:w="100"/>
            </w:tcMar>
            <w:vAlign w:val="top"/>
          </w:tcPr>
          <w:p>
            <w:pPr>
              <w:spacing w:after="40" w:line="260"/>
            </w:pPr>
            <w:r>
              <w:rPr>
                <w:b w:val="false"/>
                <w:bCs w:val="false"/>
                <w:color w:val="5B6470"/>
                <w:sz w:val="17"/>
                <w:szCs w:val="17"/>
              </w:rPr>
              <w:t xml:space="preserve">à compléter</w:t>
            </w:r>
          </w:p>
        </w:tc>
        <w:tc>
          <w:tcPr>
            <w:tcW w:type="dxa" w:w="2950"/>
            <w:shd w:fill="EAF2FE" w:val="clear"/>
            <w:tcMar>
              <w:top w:type="dxa" w:w="100"/>
              <w:left w:type="dxa" w:w="100"/>
              <w:bottom w:type="dxa" w:w="100"/>
              <w:right w:type="dxa" w:w="100"/>
            </w:tcMar>
            <w:vAlign w:val="top"/>
          </w:tcPr>
          <w:p>
            <w:pPr>
              <w:spacing w:after="30" w:line="250"/>
            </w:pPr>
            <w:r>
              <w:rPr>
                <w:color w:val="222222"/>
                <w:sz w:val="17"/>
                <w:szCs w:val="17"/>
              </w:rPr>
              <w:t xml:space="preserve">› Voir section dédiée « GTM comme hub central » pour le détail Tags/Triggers/Variables/DataLayer.</w:t>
            </w:r>
          </w:p>
          <w:p>
            <w:pPr>
              <w:spacing w:after="30" w:line="250"/>
            </w:pPr>
            <w:r>
              <w:rPr>
                <w:color w:val="222222"/>
                <w:sz w:val="17"/>
                <w:szCs w:val="17"/>
              </w:rPr>
              <w:t xml:space="preserve">› Ne jamais optimiser une campagne sur une donnée qui n'est pas passée par GTM/GA4 (biais de mesure).</w:t>
            </w:r>
          </w:p>
        </w:tc>
      </w:tr>
      <w:tr>
        <w:tc>
          <w:tcPr>
            <w:tcW w:type="dxa" w:w="900"/>
            <w:shd w:fill="FFFFFF" w:val="clear"/>
            <w:tcMar>
              <w:top w:type="dxa" w:w="100"/>
              <w:left w:type="dxa" w:w="100"/>
              <w:bottom w:type="dxa" w:w="100"/>
              <w:right w:type="dxa" w:w="100"/>
            </w:tcMar>
            <w:vAlign w:val="top"/>
          </w:tcPr>
          <w:p>
            <w:pPr>
              <w:spacing w:after="40" w:line="260"/>
            </w:pPr>
            <w:r>
              <w:rPr>
                <w:b/>
                <w:bCs/>
                <w:color w:val="13233F"/>
                <w:sz w:val="17"/>
                <w:szCs w:val="17"/>
              </w:rPr>
              <w:t xml:space="preserve">9</w:t>
            </w:r>
          </w:p>
        </w:tc>
        <w:tc>
          <w:tcPr>
            <w:tcW w:type="dxa" w:w="1500"/>
            <w:shd w:fill="FFFFFF" w:val="clear"/>
            <w:tcMar>
              <w:top w:type="dxa" w:w="100"/>
              <w:left w:type="dxa" w:w="100"/>
              <w:bottom w:type="dxa" w:w="100"/>
              <w:right w:type="dxa" w:w="100"/>
            </w:tcMar>
            <w:vAlign w:val="top"/>
          </w:tcPr>
          <w:p>
            <w:pPr>
              <w:spacing w:after="40" w:line="260"/>
            </w:pPr>
            <w:r>
              <w:rPr>
                <w:b/>
                <w:bCs/>
                <w:color w:val="222222"/>
                <w:sz w:val="17"/>
                <w:szCs w:val="17"/>
              </w:rPr>
              <w:t xml:space="preserve">Passage à la performance / scaling</w:t>
            </w:r>
          </w:p>
        </w:tc>
        <w:tc>
          <w:tcPr>
            <w:tcW w:type="dxa" w:w="3700"/>
            <w:shd w:fill="FFFFFF" w:val="clear"/>
            <w:tcMar>
              <w:top w:type="dxa" w:w="100"/>
              <w:left w:type="dxa" w:w="100"/>
              <w:bottom w:type="dxa" w:w="100"/>
              <w:right w:type="dxa" w:w="100"/>
            </w:tcMar>
            <w:vAlign w:val="top"/>
          </w:tcPr>
          <w:p>
            <w:pPr>
              <w:spacing w:after="30" w:line="250"/>
            </w:pPr>
            <w:r>
              <w:rPr>
                <w:color w:val="222222"/>
                <w:sz w:val="17"/>
                <w:szCs w:val="17"/>
              </w:rPr>
              <w:t xml:space="preserve">› Comparer systématiquement coût d'acquisition (CPC payé) vs revenu par visiteur (RPV).</w:t>
            </w:r>
          </w:p>
          <w:p>
            <w:pPr>
              <w:spacing w:after="30" w:line="250"/>
            </w:pPr>
            <w:r>
              <w:rPr>
                <w:color w:val="222222"/>
                <w:sz w:val="17"/>
                <w:szCs w:val="17"/>
              </w:rPr>
              <w:t xml:space="preserve">› Scaler par palier (+20-30%/semaine) les combinaisons audience × créa × offre rentables.</w:t>
            </w:r>
          </w:p>
          <w:p>
            <w:pPr>
              <w:spacing w:after="30" w:line="250"/>
            </w:pPr>
            <w:r>
              <w:rPr>
                <w:color w:val="222222"/>
                <w:sz w:val="17"/>
                <w:szCs w:val="17"/>
              </w:rPr>
              <w:t xml:space="preserve">› Couper immédiatement ce qui est sous le seuil de rentabilité, sans attachement émotionnel.</w:t>
            </w:r>
          </w:p>
        </w:tc>
        <w:tc>
          <w:tcPr>
            <w:tcW w:type="dxa" w:w="1250"/>
            <w:shd w:fill="FFFFFF" w:val="clear"/>
            <w:tcMar>
              <w:top w:type="dxa" w:w="100"/>
              <w:left w:type="dxa" w:w="100"/>
              <w:bottom w:type="dxa" w:w="100"/>
              <w:right w:type="dxa" w:w="100"/>
            </w:tcMar>
            <w:vAlign w:val="top"/>
          </w:tcPr>
          <w:p>
            <w:pPr>
              <w:spacing w:after="40" w:line="260"/>
            </w:pPr>
            <w:r>
              <w:rPr>
                <w:b w:val="false"/>
                <w:bCs w:val="false"/>
                <w:color w:val="222222"/>
                <w:sz w:val="17"/>
                <w:szCs w:val="17"/>
              </w:rPr>
              <w:t xml:space="preserve">Ad Arbitrage</w:t>
            </w:r>
          </w:p>
        </w:tc>
        <w:tc>
          <w:tcPr>
            <w:tcW w:type="dxa" w:w="1700"/>
            <w:shd w:fill="FFFFFF" w:val="clear"/>
            <w:tcMar>
              <w:top w:type="dxa" w:w="100"/>
              <w:left w:type="dxa" w:w="100"/>
              <w:bottom w:type="dxa" w:w="100"/>
              <w:right w:type="dxa" w:w="100"/>
            </w:tcMar>
            <w:vAlign w:val="top"/>
          </w:tcPr>
          <w:p>
            <w:pPr>
              <w:spacing w:after="40" w:line="260"/>
            </w:pPr>
            <w:r>
              <w:rPr>
                <w:b w:val="false"/>
                <w:bCs w:val="false"/>
                <w:color w:val="5B6470"/>
                <w:sz w:val="17"/>
                <w:szCs w:val="17"/>
              </w:rPr>
              <w:t xml:space="preserve">à compléter</w:t>
            </w:r>
          </w:p>
        </w:tc>
        <w:tc>
          <w:tcPr>
            <w:tcW w:type="dxa" w:w="2950"/>
            <w:shd w:fill="FFFFFF" w:val="clear"/>
            <w:tcMar>
              <w:top w:type="dxa" w:w="100"/>
              <w:left w:type="dxa" w:w="100"/>
              <w:bottom w:type="dxa" w:w="100"/>
              <w:right w:type="dxa" w:w="100"/>
            </w:tcMar>
            <w:vAlign w:val="top"/>
          </w:tcPr>
          <w:p>
            <w:pPr>
              <w:spacing w:after="30" w:line="250"/>
            </w:pPr>
            <w:r>
              <w:rPr>
                <w:color w:val="222222"/>
                <w:sz w:val="17"/>
                <w:szCs w:val="17"/>
              </w:rPr>
              <w:t xml:space="preserve">› Règle : RPV &gt; CPC → scale ; 0,5$ &lt; RPV &lt; CPC → tenir en organique seulement ; RPV &lt; 0,20$ → stop.</w:t>
            </w:r>
          </w:p>
          <w:p>
            <w:pPr>
              <w:spacing w:after="30" w:line="250"/>
            </w:pPr>
            <w:r>
              <w:rPr>
                <w:color w:val="222222"/>
                <w:sz w:val="17"/>
                <w:szCs w:val="17"/>
              </w:rPr>
              <w:t xml:space="preserve">› Scaler le budget, jamais les mêmes zones/créas à l'infini (fatigue = CPM qui monte, CTR qui baisse).</w:t>
            </w:r>
          </w:p>
          <w:p>
            <w:pPr>
              <w:spacing w:after="30" w:line="250"/>
            </w:pPr>
            <w:r>
              <w:rPr>
                <w:color w:val="222222"/>
                <w:sz w:val="17"/>
                <w:szCs w:val="17"/>
              </w:rPr>
              <w:t xml:space="preserve">› Documenter chaque coupe/scale dans un tableau de suivi hebdomadaire (voir section KPI).</w:t>
            </w:r>
          </w:p>
        </w:tc>
      </w:tr>
      <w:tr>
        <w:tc>
          <w:tcPr>
            <w:tcW w:type="dxa" w:w="900"/>
            <w:shd w:fill="EAF6EC" w:val="clear"/>
            <w:tcMar>
              <w:top w:type="dxa" w:w="100"/>
              <w:left w:type="dxa" w:w="100"/>
              <w:bottom w:type="dxa" w:w="100"/>
              <w:right w:type="dxa" w:w="100"/>
            </w:tcMar>
            <w:vAlign w:val="top"/>
          </w:tcPr>
          <w:p>
            <w:pPr>
              <w:spacing w:after="40" w:line="260"/>
            </w:pPr>
            <w:r>
              <w:rPr>
                <w:b/>
                <w:bCs/>
                <w:color w:val="13233F"/>
                <w:sz w:val="17"/>
                <w:szCs w:val="17"/>
              </w:rPr>
              <w:t xml:space="preserve">10</w:t>
            </w:r>
          </w:p>
        </w:tc>
        <w:tc>
          <w:tcPr>
            <w:tcW w:type="dxa" w:w="1500"/>
            <w:shd w:fill="EAF6EC" w:val="clear"/>
            <w:tcMar>
              <w:top w:type="dxa" w:w="100"/>
              <w:left w:type="dxa" w:w="100"/>
              <w:bottom w:type="dxa" w:w="100"/>
              <w:right w:type="dxa" w:w="100"/>
            </w:tcMar>
            <w:vAlign w:val="top"/>
          </w:tcPr>
          <w:p>
            <w:pPr>
              <w:spacing w:after="40" w:line="260"/>
            </w:pPr>
            <w:r>
              <w:rPr>
                <w:b/>
                <w:bCs/>
                <w:color w:val="222222"/>
                <w:sz w:val="17"/>
                <w:szCs w:val="17"/>
              </w:rPr>
              <w:t xml:space="preserve">Monétisation empilée</w:t>
            </w:r>
          </w:p>
        </w:tc>
        <w:tc>
          <w:tcPr>
            <w:tcW w:type="dxa" w:w="3700"/>
            <w:shd w:fill="EAF6EC" w:val="clear"/>
            <w:tcMar>
              <w:top w:type="dxa" w:w="100"/>
              <w:left w:type="dxa" w:w="100"/>
              <w:bottom w:type="dxa" w:w="100"/>
              <w:right w:type="dxa" w:w="100"/>
            </w:tcMar>
            <w:vAlign w:val="top"/>
          </w:tcPr>
          <w:p>
            <w:pPr>
              <w:spacing w:after="30" w:line="250"/>
            </w:pPr>
            <w:r>
              <w:rPr>
                <w:color w:val="222222"/>
                <w:sz w:val="17"/>
                <w:szCs w:val="17"/>
              </w:rPr>
              <w:t xml:space="preserve">› Display : démarrer AdSense (sans seuil) → monter vers Ezoic → Mediavine → Raptive selon le trafic.</w:t>
            </w:r>
          </w:p>
          <w:p>
            <w:pPr>
              <w:spacing w:after="30" w:line="250"/>
            </w:pPr>
            <w:r>
              <w:rPr>
                <w:color w:val="222222"/>
                <w:sz w:val="17"/>
                <w:szCs w:val="17"/>
              </w:rPr>
              <w:t xml:space="preserve">› Native : MGID / Revcontent (accessibles) puis Taboola/Outbrain quand le volume le permet.</w:t>
            </w:r>
          </w:p>
          <w:p>
            <w:pPr>
              <w:spacing w:after="30" w:line="250"/>
            </w:pPr>
            <w:r>
              <w:rPr>
                <w:color w:val="222222"/>
                <w:sz w:val="17"/>
                <w:szCs w:val="17"/>
              </w:rPr>
              <w:t xml:space="preserve">› Affiliation &amp; CPA/CPI : programmes à forte intention (comparatifs, avis, meilleur/prix).</w:t>
            </w:r>
          </w:p>
          <w:p>
            <w:pPr>
              <w:spacing w:after="30" w:line="250"/>
            </w:pPr>
            <w:r>
              <w:rPr>
                <w:color w:val="222222"/>
                <w:sz w:val="17"/>
                <w:szCs w:val="17"/>
              </w:rPr>
              <w:t xml:space="preserve">› Produits digitaux et lead gen / sponsoring en complément sur les niches Tier S.</w:t>
            </w:r>
          </w:p>
        </w:tc>
        <w:tc>
          <w:tcPr>
            <w:tcW w:type="dxa" w:w="1250"/>
            <w:shd w:fill="EAF6EC" w:val="clear"/>
            <w:tcMar>
              <w:top w:type="dxa" w:w="100"/>
              <w:left w:type="dxa" w:w="100"/>
              <w:bottom w:type="dxa" w:w="100"/>
              <w:right w:type="dxa" w:w="100"/>
            </w:tcMar>
            <w:vAlign w:val="top"/>
          </w:tcPr>
          <w:p>
            <w:pPr>
              <w:spacing w:after="40" w:line="260"/>
            </w:pPr>
            <w:r>
              <w:rPr>
                <w:b w:val="false"/>
                <w:bCs w:val="false"/>
                <w:color w:val="222222"/>
                <w:sz w:val="17"/>
                <w:szCs w:val="17"/>
              </w:rPr>
              <w:t xml:space="preserve">Ad Arbitrage</w:t>
            </w:r>
          </w:p>
        </w:tc>
        <w:tc>
          <w:tcPr>
            <w:tcW w:type="dxa" w:w="1700"/>
            <w:shd w:fill="EAF6EC" w:val="clear"/>
            <w:tcMar>
              <w:top w:type="dxa" w:w="100"/>
              <w:left w:type="dxa" w:w="100"/>
              <w:bottom w:type="dxa" w:w="100"/>
              <w:right w:type="dxa" w:w="100"/>
            </w:tcMar>
            <w:vAlign w:val="top"/>
          </w:tcPr>
          <w:p>
            <w:pPr>
              <w:spacing w:after="40" w:line="260"/>
            </w:pPr>
            <w:r>
              <w:rPr>
                <w:b w:val="false"/>
                <w:bCs w:val="false"/>
                <w:color w:val="5B6470"/>
                <w:sz w:val="17"/>
                <w:szCs w:val="17"/>
              </w:rPr>
              <w:t xml:space="preserve">à compléter</w:t>
            </w:r>
          </w:p>
        </w:tc>
        <w:tc>
          <w:tcPr>
            <w:tcW w:type="dxa" w:w="2950"/>
            <w:shd w:fill="EAF6EC" w:val="clear"/>
            <w:tcMar>
              <w:top w:type="dxa" w:w="100"/>
              <w:left w:type="dxa" w:w="100"/>
              <w:bottom w:type="dxa" w:w="100"/>
              <w:right w:type="dxa" w:w="100"/>
            </w:tcMar>
            <w:vAlign w:val="top"/>
          </w:tcPr>
          <w:p>
            <w:pPr>
              <w:spacing w:after="30" w:line="250"/>
            </w:pPr>
            <w:r>
              <w:rPr>
                <w:color w:val="222222"/>
                <w:sz w:val="17"/>
                <w:szCs w:val="17"/>
              </w:rPr>
              <w:t xml:space="preserve">› Revenu réel par visiteur = display + native + affiliation + leads (jamais un seul canal isolé).</w:t>
            </w:r>
          </w:p>
          <w:p>
            <w:pPr>
              <w:spacing w:after="30" w:line="250"/>
            </w:pPr>
            <w:r>
              <w:rPr>
                <w:color w:val="222222"/>
                <w:sz w:val="17"/>
                <w:szCs w:val="17"/>
              </w:rPr>
              <w:t xml:space="preserve">› Changer de régie display peut multiplier le revenu par 4 à trafic égal — surveiller les seuils d'accès.</w:t>
            </w:r>
          </w:p>
          <w:p>
            <w:pPr>
              <w:spacing w:after="30" w:line="250"/>
            </w:pPr>
            <w:r>
              <w:rPr>
                <w:color w:val="222222"/>
                <w:sz w:val="17"/>
                <w:szCs w:val="17"/>
              </w:rPr>
              <w:t xml:space="preserve">› Ne jamais dépendre d'une seule source de revenu ni d'un seul annonceur.</w:t>
            </w:r>
          </w:p>
        </w:tc>
      </w:tr>
      <w:tr>
        <w:tc>
          <w:tcPr>
            <w:tcW w:type="dxa" w:w="900"/>
            <w:shd w:fill="FFFFFF" w:val="clear"/>
            <w:tcMar>
              <w:top w:type="dxa" w:w="100"/>
              <w:left w:type="dxa" w:w="100"/>
              <w:bottom w:type="dxa" w:w="100"/>
              <w:right w:type="dxa" w:w="100"/>
            </w:tcMar>
            <w:vAlign w:val="top"/>
          </w:tcPr>
          <w:p>
            <w:pPr>
              <w:spacing w:after="40" w:line="260"/>
            </w:pPr>
            <w:r>
              <w:rPr>
                <w:b/>
                <w:bCs/>
                <w:color w:val="13233F"/>
                <w:sz w:val="17"/>
                <w:szCs w:val="17"/>
              </w:rPr>
              <w:t xml:space="preserve">11</w:t>
            </w:r>
          </w:p>
        </w:tc>
        <w:tc>
          <w:tcPr>
            <w:tcW w:type="dxa" w:w="1500"/>
            <w:shd w:fill="FFFFFF" w:val="clear"/>
            <w:tcMar>
              <w:top w:type="dxa" w:w="100"/>
              <w:left w:type="dxa" w:w="100"/>
              <w:bottom w:type="dxa" w:w="100"/>
              <w:right w:type="dxa" w:w="100"/>
            </w:tcMar>
            <w:vAlign w:val="top"/>
          </w:tcPr>
          <w:p>
            <w:pPr>
              <w:spacing w:after="40" w:line="260"/>
            </w:pPr>
            <w:r>
              <w:rPr>
                <w:b/>
                <w:bCs/>
                <w:color w:val="222222"/>
                <w:sz w:val="17"/>
                <w:szCs w:val="17"/>
              </w:rPr>
              <w:t xml:space="preserve">Optimisation continue</w:t>
            </w:r>
          </w:p>
        </w:tc>
        <w:tc>
          <w:tcPr>
            <w:tcW w:type="dxa" w:w="3700"/>
            <w:shd w:fill="FFFFFF" w:val="clear"/>
            <w:tcMar>
              <w:top w:type="dxa" w:w="100"/>
              <w:left w:type="dxa" w:w="100"/>
              <w:bottom w:type="dxa" w:w="100"/>
              <w:right w:type="dxa" w:w="100"/>
            </w:tcMar>
            <w:vAlign w:val="top"/>
          </w:tcPr>
          <w:p>
            <w:pPr>
              <w:spacing w:after="30" w:line="250"/>
            </w:pPr>
            <w:r>
              <w:rPr>
                <w:color w:val="222222"/>
                <w:sz w:val="17"/>
                <w:szCs w:val="17"/>
              </w:rPr>
              <w:t xml:space="preserve">› Zoom hebdomadaire : descendre du global (compte) vers le détail (campagne → ad set/zone → créa/mot-clé).</w:t>
            </w:r>
          </w:p>
          <w:p>
            <w:pPr>
              <w:spacing w:after="30" w:line="250"/>
            </w:pPr>
            <w:r>
              <w:rPr>
                <w:color w:val="222222"/>
                <w:sz w:val="17"/>
                <w:szCs w:val="17"/>
              </w:rPr>
              <w:t xml:space="preserve">› Suivre Display (RPM, viewability), Clics (CTR, CPC, trafic invalide), Conversions (taux, CPA, valeur, délai).</w:t>
            </w:r>
          </w:p>
          <w:p>
            <w:pPr>
              <w:spacing w:after="30" w:line="250"/>
            </w:pPr>
            <w:r>
              <w:rPr>
                <w:color w:val="222222"/>
                <w:sz w:val="17"/>
                <w:szCs w:val="17"/>
              </w:rPr>
              <w:t xml:space="preserve">› A/B tester emplacements pub, titres, landing pages (une variable à la fois).</w:t>
            </w:r>
          </w:p>
        </w:tc>
        <w:tc>
          <w:tcPr>
            <w:tcW w:type="dxa" w:w="1250"/>
            <w:shd w:fill="FFFFFF" w:val="clear"/>
            <w:tcMar>
              <w:top w:type="dxa" w:w="100"/>
              <w:left w:type="dxa" w:w="100"/>
              <w:bottom w:type="dxa" w:w="100"/>
              <w:right w:type="dxa" w:w="100"/>
            </w:tcMar>
            <w:vAlign w:val="top"/>
          </w:tcPr>
          <w:p>
            <w:pPr>
              <w:spacing w:after="40" w:line="260"/>
            </w:pPr>
            <w:r>
              <w:rPr>
                <w:b w:val="false"/>
                <w:bCs w:val="false"/>
                <w:color w:val="222222"/>
                <w:sz w:val="17"/>
                <w:szCs w:val="17"/>
              </w:rPr>
              <w:t xml:space="preserve">Ad Arbitrage</w:t>
            </w:r>
          </w:p>
        </w:tc>
        <w:tc>
          <w:tcPr>
            <w:tcW w:type="dxa" w:w="1700"/>
            <w:shd w:fill="FFFFFF" w:val="clear"/>
            <w:tcMar>
              <w:top w:type="dxa" w:w="100"/>
              <w:left w:type="dxa" w:w="100"/>
              <w:bottom w:type="dxa" w:w="100"/>
              <w:right w:type="dxa" w:w="100"/>
            </w:tcMar>
            <w:vAlign w:val="top"/>
          </w:tcPr>
          <w:p>
            <w:pPr>
              <w:spacing w:after="40" w:line="260"/>
            </w:pPr>
            <w:r>
              <w:rPr>
                <w:b w:val="false"/>
                <w:bCs w:val="false"/>
                <w:color w:val="5B6470"/>
                <w:sz w:val="17"/>
                <w:szCs w:val="17"/>
              </w:rPr>
              <w:t xml:space="preserve">à compléter</w:t>
            </w:r>
          </w:p>
        </w:tc>
        <w:tc>
          <w:tcPr>
            <w:tcW w:type="dxa" w:w="2950"/>
            <w:shd w:fill="FFFFFF" w:val="clear"/>
            <w:tcMar>
              <w:top w:type="dxa" w:w="100"/>
              <w:left w:type="dxa" w:w="100"/>
              <w:bottom w:type="dxa" w:w="100"/>
              <w:right w:type="dxa" w:w="100"/>
            </w:tcMar>
            <w:vAlign w:val="top"/>
          </w:tcPr>
          <w:p>
            <w:pPr>
              <w:spacing w:after="30" w:line="250"/>
            </w:pPr>
            <w:r>
              <w:rPr>
                <w:color w:val="222222"/>
                <w:sz w:val="17"/>
                <w:szCs w:val="17"/>
              </w:rPr>
              <w:t xml:space="preserve">› « Zoom » = ne jamais juger une source sur l'agrégat : isoler par zone/sub-id/device avant de décider.</w:t>
            </w:r>
          </w:p>
          <w:p>
            <w:pPr>
              <w:spacing w:after="30" w:line="250"/>
            </w:pPr>
            <w:r>
              <w:rPr>
                <w:color w:val="222222"/>
                <w:sz w:val="17"/>
                <w:szCs w:val="17"/>
              </w:rPr>
              <w:t xml:space="preserve">› Fenêtre d'attribution : aligner la fenêtre de conversion GTM/Ads/Meta sur celle du programme d'affiliation (cookie 30-90j).</w:t>
            </w:r>
          </w:p>
          <w:p>
            <w:pPr>
              <w:spacing w:after="30" w:line="250"/>
            </w:pPr>
            <w:r>
              <w:rPr>
                <w:color w:val="222222"/>
                <w:sz w:val="17"/>
                <w:szCs w:val="17"/>
              </w:rPr>
              <w:t xml:space="preserve">› Un mauvais RPM ou une intention mal ciblée se voit en temps réel si le tracking GTM est propre — la rigueur se joue au centime.</w:t>
            </w:r>
          </w:p>
        </w:tc>
      </w:tr>
    </w:tbl>
    <w:p>
      <w:r>
        <w:br w:type="page"/>
      </w:r>
    </w:p>
    <w:p>
      <w:pPr>
        <w:pStyle w:val="Heading1"/>
        <w:pBdr>
          <w:bottom w:val="single" w:color="137CF0" w:sz="8" w:space="4"/>
        </w:pBdr>
        <w:spacing w:after="200" w:before="480"/>
      </w:pPr>
      <w:r>
        <w:rPr>
          <w:b/>
          <w:bCs/>
          <w:color w:val="13233F"/>
          <w:sz w:val="32"/>
          <w:szCs w:val="32"/>
        </w:rPr>
        <w:t xml:space="preserve">4. Google Tag Manager — le hub central du trafic</w:t>
      </w:r>
    </w:p>
    <w:p>
      <w:pPr>
        <w:spacing w:after="160" w:line="300"/>
      </w:pPr>
      <w:r>
        <w:rPr>
          <w:color w:val="222222"/>
          <w:sz w:val="21"/>
          <w:szCs w:val="21"/>
        </w:rPr>
        <w:t xml:space="preserve">GTM ne sert pas seulement à « poser des pixels » : c'est le point unique où tout le trafic payant et organique est identifié, filtré, catégorisé, puis renvoyé comme signal de performance vers Google Ads et Meta Ads. Installe-le avant la première campagne.</w:t>
      </w:r>
    </w:p>
    <w:p>
      <w:pPr>
        <w:pStyle w:val="Heading2"/>
        <w:spacing w:after="160" w:before="360"/>
      </w:pPr>
      <w:r>
        <w:rPr>
          <w:b/>
          <w:bCs/>
          <w:color w:val="137CF0"/>
          <w:sz w:val="25"/>
          <w:szCs w:val="25"/>
        </w:rPr>
        <w:t xml:space="preserve">4.1 Architecture recommandée</w:t>
      </w:r>
    </w:p>
    <w:p>
      <w:pPr>
        <w:pStyle w:val="ListParagraph"/>
        <w:numPr>
          <w:ilvl w:val="0"/>
          <w:numId w:val="3"/>
        </w:numPr>
        <w:spacing w:after="90" w:line="280"/>
      </w:pPr>
      <w:r>
        <w:rPr>
          <w:b/>
          <w:bCs/>
          <w:color w:val="13233F"/>
          <w:sz w:val="21"/>
          <w:szCs w:val="21"/>
        </w:rPr>
        <w:t xml:space="preserve">Un conteneur GTM unique — </w:t>
      </w:r>
      <w:r>
        <w:rPr>
          <w:color w:val="222222"/>
          <w:sz w:val="21"/>
          <w:szCs w:val="21"/>
        </w:rPr>
        <w:t xml:space="preserve">pour tout le blog, publié en environnement Live distinct de l'environnement de test.</w:t>
      </w:r>
    </w:p>
    <w:p>
      <w:pPr>
        <w:pStyle w:val="ListParagraph"/>
        <w:numPr>
          <w:ilvl w:val="0"/>
          <w:numId w:val="3"/>
        </w:numPr>
        <w:spacing w:after="90" w:line="280"/>
      </w:pPr>
      <w:r>
        <w:rPr>
          <w:b/>
          <w:bCs/>
          <w:color w:val="13233F"/>
          <w:sz w:val="21"/>
          <w:szCs w:val="21"/>
        </w:rPr>
        <w:t xml:space="preserve">Tags — </w:t>
      </w:r>
      <w:r>
        <w:rPr>
          <w:color w:val="222222"/>
          <w:sz w:val="21"/>
          <w:szCs w:val="21"/>
        </w:rPr>
        <w:t xml:space="preserve">GA4 Configuration + GA4 Events, Meta Pixel (Base Code + événements standards), Google Ads Conversion Tracking, pixel/postback MGID, postback PropellerAds (S2S de préférence à un pixel côté navigateur, plus fiable face aux ad-blockers).</w:t>
      </w:r>
    </w:p>
    <w:p>
      <w:pPr>
        <w:pStyle w:val="ListParagraph"/>
        <w:numPr>
          <w:ilvl w:val="0"/>
          <w:numId w:val="3"/>
        </w:numPr>
        <w:spacing w:after="90" w:line="280"/>
      </w:pPr>
      <w:r>
        <w:rPr>
          <w:b/>
          <w:bCs/>
          <w:color w:val="13233F"/>
          <w:sz w:val="21"/>
          <w:szCs w:val="21"/>
        </w:rPr>
        <w:t xml:space="preserve">Triggers — </w:t>
      </w:r>
      <w:r>
        <w:rPr>
          <w:color w:val="222222"/>
          <w:sz w:val="21"/>
          <w:szCs w:val="21"/>
        </w:rPr>
        <w:t xml:space="preserve">Page View, Scroll Depth (25/50/75/90%), Clic – lien sortant (regex sur le domaine, ≠ domaine du blog), Clic – lien affilié (classe/attribut dédié, ex. data-aff='1'), Visibilité d'un encart pub (Element Visibility), Soumission de formulaire / lead.</w:t>
      </w:r>
    </w:p>
    <w:p>
      <w:pPr>
        <w:pStyle w:val="ListParagraph"/>
        <w:numPr>
          <w:ilvl w:val="0"/>
          <w:numId w:val="3"/>
        </w:numPr>
        <w:spacing w:after="90" w:line="280"/>
      </w:pPr>
      <w:r>
        <w:rPr>
          <w:b/>
          <w:bCs/>
          <w:color w:val="13233F"/>
          <w:sz w:val="21"/>
          <w:szCs w:val="21"/>
        </w:rPr>
        <w:t xml:space="preserve">Variables — </w:t>
      </w:r>
      <w:r>
        <w:rPr>
          <w:color w:val="222222"/>
          <w:sz w:val="21"/>
          <w:szCs w:val="21"/>
        </w:rPr>
        <w:t xml:space="preserve">Click URL, Click Classes/ID, Page Path, paramètres UTM (Custom JS Variable qui parse utm_source/medium/campaign/content/term), Zone ID / Sub ID (PropellerAds/MGID passés en paramètre d'URL), Device Category, Pays (via GA4 ou en-tête serveur).</w:t>
      </w:r>
    </w:p>
    <w:p>
      <w:pPr>
        <w:pStyle w:val="ListParagraph"/>
        <w:numPr>
          <w:ilvl w:val="0"/>
          <w:numId w:val="3"/>
        </w:numPr>
        <w:spacing w:after="90" w:line="280"/>
      </w:pPr>
      <w:r>
        <w:rPr>
          <w:b/>
          <w:bCs/>
          <w:color w:val="13233F"/>
          <w:sz w:val="21"/>
          <w:szCs w:val="21"/>
        </w:rPr>
        <w:t xml:space="preserve">DataLayer — </w:t>
      </w:r>
      <w:r>
        <w:rPr>
          <w:color w:val="222222"/>
          <w:sz w:val="21"/>
          <w:szCs w:val="21"/>
        </w:rPr>
        <w:t xml:space="preserve">le blog (Astro) pousse des événements propres à chaque action clé : dataLayer.push({event:'affiliate_click', link_id, category, zone_id}) — c'est la donnée la plus fiable, à préférer au clic DOM générique quand c'est possible.</w:t>
      </w:r>
    </w:p>
    <w:p>
      <w:pPr>
        <w:pStyle w:val="Heading2"/>
        <w:spacing w:after="160" w:before="360"/>
      </w:pPr>
      <w:r>
        <w:rPr>
          <w:b/>
          <w:bCs/>
          <w:color w:val="137CF0"/>
          <w:sz w:val="25"/>
          <w:szCs w:val="25"/>
        </w:rPr>
        <w:t xml:space="preserve">4.2 Filtrer et catégoriser le trafic</w:t>
      </w:r>
    </w:p>
    <w:p>
      <w:pPr>
        <w:spacing w:after="160" w:line="300"/>
      </w:pPr>
      <w:r>
        <w:rPr>
          <w:color w:val="222222"/>
          <w:sz w:val="21"/>
          <w:szCs w:val="21"/>
        </w:rPr>
        <w:t xml:space="preserve">L'objectif : ne jamais décider sur un agrégat. Chaque visiteur doit être rattaché à sa source précise pour permettre le tri.</w:t>
      </w:r>
    </w:p>
    <w:p>
      <w:pPr>
        <w:pStyle w:val="ListParagraph"/>
        <w:numPr>
          <w:ilvl w:val="0"/>
          <w:numId w:val="2"/>
        </w:numPr>
        <w:spacing w:after="90" w:line="280"/>
      </w:pPr>
      <w:r>
        <w:rPr>
          <w:color w:val="222222"/>
          <w:sz w:val="21"/>
          <w:szCs w:val="21"/>
        </w:rPr>
        <w:t xml:space="preserve">Tagger systématiquement chaque lien de campagne avec des UTM complets (source, medium, campaign, content, term) et, pour le trafic natif, un identifiant de zone/sub-id.</w:t>
      </w:r>
    </w:p>
    <w:p>
      <w:pPr>
        <w:pStyle w:val="ListParagraph"/>
        <w:numPr>
          <w:ilvl w:val="0"/>
          <w:numId w:val="2"/>
        </w:numPr>
        <w:spacing w:after="90" w:line="280"/>
      </w:pPr>
      <w:r>
        <w:rPr>
          <w:color w:val="222222"/>
          <w:sz w:val="21"/>
          <w:szCs w:val="21"/>
        </w:rPr>
        <w:t xml:space="preserve">Faire remonter ces paramètres dans GA4 comme dimensions personnalisées, exploitables en Explorations et en Audiences.</w:t>
      </w:r>
    </w:p>
    <w:p>
      <w:pPr>
        <w:pStyle w:val="ListParagraph"/>
        <w:numPr>
          <w:ilvl w:val="0"/>
          <w:numId w:val="2"/>
        </w:numPr>
        <w:spacing w:after="90" w:line="280"/>
      </w:pPr>
      <w:r>
        <w:rPr>
          <w:color w:val="222222"/>
          <w:sz w:val="21"/>
          <w:szCs w:val="21"/>
        </w:rPr>
        <w:t xml:space="preserve">Construire des segments : par source (Google Ads / Meta / MGID / PropellerAds / SEO), par device, par pays (Tier 1/2/3), par comportement (scroll ≥75 %, clic sortant, conversion).</w:t>
      </w:r>
    </w:p>
    <w:p>
      <w:pPr>
        <w:pStyle w:val="ListParagraph"/>
        <w:numPr>
          <w:ilvl w:val="0"/>
          <w:numId w:val="2"/>
        </w:numPr>
        <w:spacing w:after="90" w:line="280"/>
      </w:pPr>
      <w:r>
        <w:rPr>
          <w:color w:val="222222"/>
          <w:sz w:val="21"/>
          <w:szCs w:val="21"/>
        </w:rPr>
        <w:t xml:space="preserve">Classer le trafic acheté en trois listes actionnables par zone/placement : Perf (convertit, bon ROI), Watch (volume correct, pas encore de conversion — à laisser tourner), Blacklist (CPM élevé, plusieurs impressions, zéro conversion — à exclure).</w:t>
      </w:r>
    </w:p>
    <w:p>
      <w:pPr>
        <w:pStyle w:val="ListParagraph"/>
        <w:numPr>
          <w:ilvl w:val="0"/>
          <w:numId w:val="2"/>
        </w:numPr>
        <w:spacing w:after="90" w:line="280"/>
      </w:pPr>
      <w:r>
        <w:rPr>
          <w:color w:val="222222"/>
          <w:sz w:val="21"/>
          <w:szCs w:val="21"/>
        </w:rPr>
        <w:t xml:space="preserve">Repasser ces catégories vers les plateformes publicitaires : audiences personnalisées Meta, listes d'exclusion Google Ads/MGID/PropellerAds, et signaux de valeur pour le smart bidding.</w:t>
      </w:r>
    </w:p>
    <w:p>
      <w:pPr>
        <w:pStyle w:val="Heading2"/>
        <w:spacing w:after="160" w:before="360"/>
      </w:pPr>
      <w:r>
        <w:rPr>
          <w:b/>
          <w:bCs/>
          <w:color w:val="137CF0"/>
          <w:sz w:val="25"/>
          <w:szCs w:val="25"/>
        </w:rPr>
        <w:t xml:space="preserve">4.3 Passer à la performance</w:t>
      </w:r>
    </w:p>
    <w:p>
      <w:pPr>
        <w:spacing w:after="160" w:line="300"/>
      </w:pPr>
      <w:r>
        <w:rPr>
          <w:color w:val="222222"/>
          <w:sz w:val="21"/>
          <w:szCs w:val="21"/>
        </w:rPr>
        <w:t xml:space="preserve">Une fois le tracking GTM/GA4 fiable et un volume de données suffisant :</w:t>
      </w:r>
    </w:p>
    <w:p>
      <w:pPr>
        <w:pStyle w:val="ListParagraph"/>
        <w:numPr>
          <w:ilvl w:val="0"/>
          <w:numId w:val="3"/>
        </w:numPr>
        <w:spacing w:after="90" w:line="280"/>
      </w:pPr>
      <w:r>
        <w:rPr>
          <w:color w:val="222222"/>
          <w:sz w:val="21"/>
          <w:szCs w:val="21"/>
        </w:rPr>
        <w:t xml:space="preserve">Google Ads : basculer de Maximiser les clics vers Maximiser les conversions puis CPA cible / ROAS cible dès que le volume de conversions le permet (généralement 30+ conversions/30 jours par campagne).</w:t>
      </w:r>
    </w:p>
    <w:p>
      <w:pPr>
        <w:pStyle w:val="ListParagraph"/>
        <w:numPr>
          <w:ilvl w:val="0"/>
          <w:numId w:val="3"/>
        </w:numPr>
        <w:spacing w:after="90" w:line="280"/>
      </w:pPr>
      <w:r>
        <w:rPr>
          <w:color w:val="222222"/>
          <w:sz w:val="21"/>
          <w:szCs w:val="21"/>
        </w:rPr>
        <w:t xml:space="preserve">Meta Ads : passer l'objectif de campagne de Trafic/Reach à Conversions, en pointant l'événement pixel/CAPI le plus proche du revenu réel (achat, lead qualifié) plutôt qu'un simple clic.</w:t>
      </w:r>
    </w:p>
    <w:p>
      <w:pPr>
        <w:pStyle w:val="ListParagraph"/>
        <w:numPr>
          <w:ilvl w:val="0"/>
          <w:numId w:val="3"/>
        </w:numPr>
        <w:spacing w:after="90" w:line="280"/>
      </w:pPr>
      <w:r>
        <w:rPr>
          <w:color w:val="222222"/>
          <w:sz w:val="21"/>
          <w:szCs w:val="21"/>
        </w:rPr>
        <w:t xml:space="preserve">Native (MGID/PropellerAds) : activer l'optimisation automatique par zone une fois les listes Perf/Watch/Blacklist stabilisées, en excluant en continu les zones Blacklist.</w:t>
      </w:r>
    </w:p>
    <w:p>
      <w:pPr>
        <w:pStyle w:val="ListParagraph"/>
        <w:numPr>
          <w:ilvl w:val="0"/>
          <w:numId w:val="3"/>
        </w:numPr>
        <w:spacing w:after="90" w:line="280"/>
      </w:pPr>
      <w:r>
        <w:rPr>
          <w:color w:val="222222"/>
          <w:sz w:val="21"/>
          <w:szCs w:val="21"/>
        </w:rPr>
        <w:t xml:space="preserve">Value-based bidding : transmettre la valeur réelle du visiteur (RPM display estimé + commission affiliation) et non un simple événement binaire, pour que l'algorithme optimise sur la marge et pas seulement sur le volume.</w:t>
      </w:r>
    </w:p>
    <w:p>
      <w:r>
        <w:br w:type="page"/>
      </w:r>
    </w:p>
    <w:p>
      <w:pPr>
        <w:pStyle w:val="Heading2"/>
        <w:spacing w:after="160" w:before="360"/>
      </w:pPr>
      <w:r>
        <w:rPr>
          <w:b/>
          <w:bCs/>
          <w:color w:val="13233F"/>
          <w:sz w:val="25"/>
          <w:szCs w:val="25"/>
        </w:rPr>
        <w:t xml:space="preserve">4.4 Google Ads avancé — Discovery, zoom Exact Match &amp; Performance Max</w:t>
      </w:r>
    </w:p>
    <w:p>
      <w:pPr>
        <w:pStyle w:val="Heading3"/>
        <w:spacing w:after="120" w:before="240"/>
      </w:pPr>
      <w:r>
        <w:rPr>
          <w:b/>
          <w:bCs/>
          <w:color w:val="13233F"/>
          <w:sz w:val="22"/>
          <w:szCs w:val="22"/>
        </w:rPr>
        <w:t xml:space="preserve">4.4.1 Distinguer deux campagnes</w:t>
      </w:r>
    </w:p>
    <w:p>
      <w:pPr>
        <w:pStyle w:val="ListParagraph"/>
        <w:numPr>
          <w:ilvl w:val="0"/>
          <w:numId w:val="3"/>
        </w:numPr>
        <w:spacing w:after="90" w:line="280"/>
      </w:pPr>
      <w:r>
        <w:rPr>
          <w:b/>
          <w:bCs/>
          <w:color w:val="13233F"/>
          <w:sz w:val="21"/>
          <w:szCs w:val="21"/>
        </w:rPr>
        <w:t xml:space="preserve">Discovery (découverte, large) — </w:t>
      </w:r>
      <w:r>
        <w:rPr>
          <w:color w:val="222222"/>
          <w:sz w:val="21"/>
          <w:szCs w:val="21"/>
        </w:rPr>
        <w:t xml:space="preserve">ciblage automatique et audiences larges. Piloté en CPA Cible (Target CPA) : on fixe un coût par acquisition objectif et on ajuste manuellement au fil des données (enchère, audiences, exclusions).</w:t>
      </w:r>
    </w:p>
    <w:p>
      <w:pPr>
        <w:pStyle w:val="ListParagraph"/>
        <w:numPr>
          <w:ilvl w:val="0"/>
          <w:numId w:val="3"/>
        </w:numPr>
        <w:spacing w:after="90" w:line="280"/>
      </w:pPr>
      <w:r>
        <w:rPr>
          <w:b/>
          <w:bCs/>
          <w:color w:val="13233F"/>
          <w:sz w:val="21"/>
          <w:szCs w:val="21"/>
        </w:rPr>
        <w:t xml:space="preserve">Zoom Search (recherche précise) — </w:t>
      </w:r>
      <w:r>
        <w:rPr>
          <w:color w:val="222222"/>
          <w:sz w:val="21"/>
          <w:szCs w:val="21"/>
        </w:rPr>
        <w:t xml:space="preserve">mots-clés en Exact Match uniquement — on descend sur l'intention la plus qualifiée déjà identifiée, sans dilution par des variantes larges.</w:t>
      </w:r>
    </w:p>
    <w:p>
      <w:pPr>
        <w:spacing w:after="160" w:line="300"/>
      </w:pPr>
      <w:r>
        <w:rPr>
          <w:i/>
          <w:iCs/>
          <w:color w:val="5B6470"/>
          <w:sz w:val="21"/>
          <w:szCs w:val="21"/>
        </w:rPr>
        <w:t xml:space="preserve">Le principe rejoint le « Zoom » de la section 5.2 : Discovery sert à découvrir/élargir, la campagne Exact Match sert à concentrer le budget sur ce qui convertit déjà.</w:t>
      </w:r>
    </w:p>
    <w:p>
      <w:pPr>
        <w:pStyle w:val="Heading3"/>
        <w:spacing w:after="120" w:before="240"/>
      </w:pPr>
      <w:r>
        <w:rPr>
          <w:b/>
          <w:bCs/>
          <w:color w:val="13233F"/>
          <w:sz w:val="22"/>
          <w:szCs w:val="22"/>
        </w:rPr>
        <w:t xml:space="preserve">4.4.2 Choisir la stratégie d'enchère : ROAS plutôt que CPA</w:t>
      </w:r>
    </w:p>
    <w:p>
      <w:pPr>
        <w:spacing w:after="160" w:line="300"/>
      </w:pPr>
      <w:r>
        <w:rPr>
          <w:color w:val="222222"/>
          <w:sz w:val="21"/>
          <w:szCs w:val="21"/>
        </w:rPr>
        <w:t xml:space="preserve">Dès que la campagne touche plusieurs GEO, préférer le ROAS Cible (Target ROAS) au CPA Cible. Un CPA cible fixe un coût par conversion unique, alors que le payout d'une offre affiliée varie d'un pays à l'autre : le ROAS s'adapte automatiquement à la valeur réelle de chaque conversion remontée, GEO par GEO.</w:t>
      </w:r>
    </w:p>
    <w:p>
      <w:pPr>
        <w:pStyle w:val="ListParagraph"/>
        <w:numPr>
          <w:ilvl w:val="0"/>
          <w:numId w:val="3"/>
        </w:numPr>
        <w:spacing w:after="90" w:line="280"/>
      </w:pPr>
      <w:r>
        <w:rPr>
          <w:b/>
          <w:bCs/>
          <w:color w:val="13233F"/>
          <w:sz w:val="21"/>
          <w:szCs w:val="21"/>
        </w:rPr>
        <w:t xml:space="preserve">Le BID part du payout — </w:t>
      </w:r>
      <w:r>
        <w:rPr>
          <w:color w:val="222222"/>
          <w:sz w:val="21"/>
          <w:szCs w:val="21"/>
        </w:rPr>
        <w:t xml:space="preserve">on ne fixe pas une enchère au hasard : elle se calcule à partir du payout réel de l'offre (la commission versée par conversion), remonté via GTM/postback vers Google Ads comme valeur de conversion.</w:t>
      </w:r>
    </w:p>
    <w:tbl>
      <w:tblPr>
        <w:tblW w:type="pct" w:w="100%"/>
        <w:tblBorders>
          <w:top w:val="single" w:color="137CF0" w:sz="4"/>
          <w:left w:val="single" w:color="137CF0" w:sz="24"/>
          <w:bottom w:val="single" w:color="137CF0" w:sz="4"/>
          <w:right w:val="single" w:color="137CF0" w:sz="4"/>
          <w:insideH w:val="single" w:color="auto" w:sz="4"/>
          <w:insideV w:val="single" w:color="auto" w:sz="4"/>
        </w:tblBorders>
      </w:tblPr>
      <w:tblGrid>
        <w:gridCol w:w="100"/>
      </w:tblGrid>
      <w:tr>
        <w:tc>
          <w:tcPr>
            <w:shd w:fill="EAF2FE" w:val="clear"/>
            <w:tcMar>
              <w:top w:type="dxa" w:w="160"/>
              <w:left w:type="dxa" w:w="220"/>
              <w:bottom w:type="dxa" w:w="160"/>
              <w:right w:type="dxa" w:w="220"/>
            </w:tcMar>
          </w:tcPr>
          <w:p>
            <w:pPr>
              <w:spacing w:after="80"/>
            </w:pPr>
            <w:r>
              <w:rPr>
                <w:b/>
                <w:bCs/>
                <w:color w:val="137CF0"/>
                <w:sz w:val="21"/>
                <w:szCs w:val="21"/>
              </w:rPr>
              <w:t xml:space="preserve">Exemple de calcul</w:t>
            </w:r>
          </w:p>
          <w:p>
            <w:pPr>
              <w:spacing w:after="40" w:line="270"/>
            </w:pPr>
            <w:r>
              <w:rPr>
                <w:color w:val="333333"/>
                <w:sz w:val="20"/>
                <w:szCs w:val="20"/>
              </w:rPr>
              <w:t xml:space="preserve">• Payout (commission reçue par conversion) : 75 % de la valeur de la vente/du lead.</w:t>
            </w:r>
          </w:p>
          <w:p>
            <w:pPr>
              <w:spacing w:after="40" w:line="270"/>
            </w:pPr>
            <w:r>
              <w:rPr>
                <w:color w:val="333333"/>
                <w:sz w:val="20"/>
                <w:szCs w:val="20"/>
              </w:rPr>
              <w:t xml:space="preserve">• ROAS Cible : 100 % — seuil de rentabilité (dépense publicitaire = revenu généré).</w:t>
            </w:r>
          </w:p>
          <w:p>
            <w:pPr>
              <w:spacing w:after="40" w:line="270"/>
            </w:pPr>
            <w:r>
              <w:rPr>
                <w:color w:val="333333"/>
                <w:sz w:val="20"/>
                <w:szCs w:val="20"/>
              </w:rPr>
              <w:t xml:space="preserve">• L'enchère effective de Google Ads s'ajuste automatiquement pour que le rapport revenu/dépense tende vers ce ROAS cible, GEO par GEO, à partir des valeurs de conversion réellement transmises.</w:t>
            </w:r>
          </w:p>
        </w:tc>
      </w:tr>
    </w:tbl>
    <w:p>
      <w:pPr>
        <w:pStyle w:val="Heading3"/>
        <w:spacing w:after="120" w:before="240"/>
      </w:pPr>
      <w:r>
        <w:rPr>
          <w:b/>
          <w:bCs/>
          <w:color w:val="13233F"/>
          <w:sz w:val="22"/>
          <w:szCs w:val="22"/>
        </w:rPr>
        <w:t xml:space="preserve">4.4.3 Performance Max (Pmax) : CPA d'abord, valeur ensuite</w:t>
      </w:r>
    </w:p>
    <w:p>
      <w:pPr>
        <w:pStyle w:val="ListParagraph"/>
        <w:numPr>
          <w:ilvl w:val="0"/>
          <w:numId w:val="2"/>
        </w:numPr>
        <w:spacing w:after="90" w:line="280"/>
      </w:pPr>
      <w:r>
        <w:rPr>
          <w:color w:val="222222"/>
          <w:sz w:val="21"/>
          <w:szCs w:val="21"/>
        </w:rPr>
        <w:t xml:space="preserve">Phase de démarrage — optimiser sur le CPA (Maximiser les conversions / CPA cible) tant que le volume de conversions est encore faible : ça laisse l'algorithme apprendre sur du volume plutôt que sur une valeur bruitée.</w:t>
      </w:r>
    </w:p>
    <w:p>
      <w:pPr>
        <w:pStyle w:val="ListParagraph"/>
        <w:numPr>
          <w:ilvl w:val="0"/>
          <w:numId w:val="2"/>
        </w:numPr>
        <w:spacing w:after="90" w:line="280"/>
      </w:pPr>
      <w:r>
        <w:rPr>
          <w:color w:val="222222"/>
          <w:sz w:val="21"/>
          <w:szCs w:val="21"/>
        </w:rPr>
        <w:t xml:space="preserve">Phase de maturité — une fois un historique de conversions suffisant accumulé (plusieurs semaines, volume stable), basculer vers l'optimisation sur la valeur de conversion (Maximiser la valeur de conversion / ROAS cible), pour que Pmax priorise les conversions à plus forte valeur (payout élevé, bon GEO) plutôt que le seul volume.</w:t>
      </w:r>
    </w:p>
    <w:p>
      <w:pPr>
        <w:spacing w:after="160" w:line="300"/>
      </w:pPr>
      <w:r>
        <w:rPr>
          <w:b/>
          <w:bCs/>
          <w:color w:val="13233F"/>
          <w:sz w:val="21"/>
          <w:szCs w:val="21"/>
        </w:rPr>
        <w:t xml:space="preserve">Ne jamais activer le pilotage par valeur avant que les valeurs de conversion transmises soient fiables (voir 4.4.4) — sinon Pmax optimise sur du bruit.</w:t>
      </w:r>
    </w:p>
    <w:p>
      <w:pPr>
        <w:pStyle w:val="Heading3"/>
        <w:spacing w:after="120" w:before="240"/>
      </w:pPr>
      <w:r>
        <w:rPr>
          <w:b/>
          <w:bCs/>
          <w:color w:val="13233F"/>
          <w:sz w:val="22"/>
          <w:szCs w:val="22"/>
        </w:rPr>
        <w:t xml:space="preserve">4.4.4 Data Pmax vs Data CSV — ce qu'on envoie à Google</w:t>
      </w:r>
    </w:p>
    <w:p>
      <w:pPr>
        <w:spacing w:after="160" w:line="300"/>
      </w:pPr>
      <w:r>
        <w:rPr>
          <w:color w:val="222222"/>
          <w:sz w:val="21"/>
          <w:szCs w:val="21"/>
        </w:rPr>
        <w:t xml:space="preserve">Deux flux de données distincts alimentent Google Ads, à ne pas confondre :</w:t>
      </w:r>
    </w:p>
    <w:p>
      <w:pPr>
        <w:pStyle w:val="ListParagraph"/>
        <w:numPr>
          <w:ilvl w:val="0"/>
          <w:numId w:val="3"/>
        </w:numPr>
        <w:spacing w:after="90" w:line="280"/>
      </w:pPr>
      <w:r>
        <w:rPr>
          <w:b/>
          <w:bCs/>
          <w:color w:val="13233F"/>
          <w:sz w:val="21"/>
          <w:szCs w:val="21"/>
        </w:rPr>
        <w:t xml:space="preserve">Data Pmax (données natives de la campagne) — </w:t>
      </w:r>
      <w:r>
        <w:rPr>
          <w:color w:val="222222"/>
          <w:sz w:val="21"/>
          <w:szCs w:val="21"/>
        </w:rPr>
        <w:t xml:space="preserve">groupes d'assets (textes, images, vidéos, logos), signaux d'audience (audiences existantes, données démographiques, centres d'intérêt fournis pour amorcer le ciblage) et, si besoin, un flux de pages (page feed) qui liste les URLs à pousser en priorité. Pmax combine ces éléments automatiquement sur tous les emplacements Google (Search, Display, YouTube, Discover, Gmail, Maps).</w:t>
      </w:r>
    </w:p>
    <w:p>
      <w:pPr>
        <w:pStyle w:val="ListParagraph"/>
        <w:numPr>
          <w:ilvl w:val="0"/>
          <w:numId w:val="3"/>
        </w:numPr>
        <w:spacing w:after="90" w:line="280"/>
      </w:pPr>
      <w:r>
        <w:rPr>
          <w:b/>
          <w:bCs/>
          <w:color w:val="13233F"/>
          <w:sz w:val="21"/>
          <w:szCs w:val="21"/>
        </w:rPr>
        <w:t xml:space="preserve">Data CSV (import externe, hors flux natif) — </w:t>
      </w:r>
      <w:r>
        <w:rPr>
          <w:color w:val="222222"/>
          <w:sz w:val="21"/>
          <w:szCs w:val="21"/>
        </w:rPr>
        <w:t xml:space="preserve">fichiers envoyés manuellement ou automatiquement à Google Ads : import de conversions hors ligne (Offline Conversion Import — CSV avec GCLID, date/heure du clic, valeur de conversion réelle) et Customer Match (CSV de contacts emails/téléphones hachés pour créer des signaux d'audience).</w:t>
      </w:r>
    </w:p>
    <w:tbl>
      <w:tblPr>
        <w:tblW w:type="pct" w:w="100%"/>
        <w:tblBorders>
          <w:top w:val="single" w:color="B26A00" w:sz="4"/>
          <w:left w:val="single" w:color="B26A00" w:sz="24"/>
          <w:bottom w:val="single" w:color="B26A00" w:sz="4"/>
          <w:right w:val="single" w:color="B26A00" w:sz="4"/>
          <w:insideH w:val="single" w:color="auto" w:sz="4"/>
          <w:insideV w:val="single" w:color="auto" w:sz="4"/>
        </w:tblBorders>
      </w:tblPr>
      <w:tblGrid>
        <w:gridCol w:w="100"/>
      </w:tblGrid>
      <w:tr>
        <w:tc>
          <w:tcPr>
            <w:shd w:fill="FFF4E0" w:val="clear"/>
            <w:tcMar>
              <w:top w:type="dxa" w:w="160"/>
              <w:left w:type="dxa" w:w="220"/>
              <w:bottom w:type="dxa" w:w="160"/>
              <w:right w:type="dxa" w:w="220"/>
            </w:tcMar>
          </w:tcPr>
          <w:p>
            <w:pPr>
              <w:spacing w:after="80"/>
            </w:pPr>
            <w:r>
              <w:rPr>
                <w:b/>
                <w:bCs/>
                <w:color w:val="B26A00"/>
                <w:sz w:val="21"/>
                <w:szCs w:val="21"/>
              </w:rPr>
              <w:t xml:space="preserve">Pourquoi le CSV est essentiel en ad arbitrage</w:t>
            </w:r>
          </w:p>
          <w:p>
            <w:pPr>
              <w:spacing w:after="40" w:line="270"/>
            </w:pPr>
            <w:r>
              <w:rPr>
                <w:color w:val="333333"/>
                <w:sz w:val="20"/>
                <w:szCs w:val="20"/>
              </w:rPr>
              <w:t xml:space="preserve">• Le payout d'une conversion affiliée n'est souvent connu/validé que plusieurs jours après le clic (délai de validation du programme).</w:t>
            </w:r>
          </w:p>
          <w:p>
            <w:pPr>
              <w:spacing w:after="40" w:line="270"/>
            </w:pPr>
            <w:r>
              <w:rPr>
                <w:color w:val="333333"/>
                <w:sz w:val="20"/>
                <w:szCs w:val="20"/>
              </w:rPr>
              <w:t xml:space="preserve">• Le CSV d'import de conversions permet de renvoyer la valeur réelle à Google a posteriori (associée au GCLID capté au clic), pour que le bidding ROAS/valeur apprenne sur la donnée vraie plutôt que sur une estimation au moment du clic.</w:t>
            </w:r>
          </w:p>
          <w:p>
            <w:pPr>
              <w:spacing w:after="40" w:line="270"/>
            </w:pPr>
            <w:r>
              <w:rPr>
                <w:color w:val="333333"/>
                <w:sz w:val="20"/>
                <w:szCs w:val="20"/>
              </w:rPr>
              <w:t xml:space="preserve">• Sans ce renvoi différé, la campagne optimise sur une valeur par défaut ou sur un simple volume de clics — la stratégie ROAS perd son intérêt.</w:t>
            </w:r>
          </w:p>
        </w:tc>
      </w:tr>
    </w:tbl>
    <w:p>
      <w:r>
        <w:br w:type="page"/>
      </w:r>
    </w:p>
    <w:p>
      <w:pPr>
        <w:pStyle w:val="Heading1"/>
        <w:pBdr>
          <w:bottom w:val="single" w:color="137CF0" w:sz="8" w:space="4"/>
        </w:pBdr>
        <w:spacing w:after="200" w:before="480"/>
      </w:pPr>
      <w:r>
        <w:rPr>
          <w:b/>
          <w:bCs/>
          <w:color w:val="13233F"/>
          <w:sz w:val="32"/>
          <w:szCs w:val="32"/>
        </w:rPr>
        <w:t xml:space="preserve">5. Astuces détaillées par levier</w:t>
      </w:r>
    </w:p>
    <w:p>
      <w:pPr>
        <w:pStyle w:val="Heading2"/>
        <w:spacing w:after="160" w:before="360"/>
      </w:pPr>
      <w:r>
        <w:rPr>
          <w:b/>
          <w:bCs/>
          <w:color w:val="137CF0"/>
          <w:sz w:val="25"/>
          <w:szCs w:val="25"/>
        </w:rPr>
        <w:t xml:space="preserve">5.1 Display</w:t>
      </w:r>
    </w:p>
    <w:p>
      <w:pPr>
        <w:pStyle w:val="ListParagraph"/>
        <w:numPr>
          <w:ilvl w:val="0"/>
          <w:numId w:val="3"/>
        </w:numPr>
        <w:spacing w:after="90" w:line="280"/>
      </w:pPr>
      <w:r>
        <w:rPr>
          <w:color w:val="222222"/>
          <w:sz w:val="21"/>
          <w:szCs w:val="21"/>
        </w:rPr>
        <w:t xml:space="preserve">Densité publicitaire raisonnable (Better Ads Standards) : trop d'encarts fait fuir le trafic payant avant qu'il ne convertisse.</w:t>
      </w:r>
    </w:p>
    <w:p>
      <w:pPr>
        <w:pStyle w:val="ListParagraph"/>
        <w:numPr>
          <w:ilvl w:val="0"/>
          <w:numId w:val="3"/>
        </w:numPr>
        <w:spacing w:after="90" w:line="280"/>
      </w:pPr>
      <w:r>
        <w:rPr>
          <w:color w:val="222222"/>
          <w:sz w:val="21"/>
          <w:szCs w:val="21"/>
        </w:rPr>
        <w:t xml:space="preserve">Emplacements pensés dans le gabarit d'article (pas ajoutés après coup) pour éviter le CLS (Cumulative Layout Shift).</w:t>
      </w:r>
    </w:p>
    <w:p>
      <w:pPr>
        <w:pStyle w:val="ListParagraph"/>
        <w:numPr>
          <w:ilvl w:val="0"/>
          <w:numId w:val="3"/>
        </w:numPr>
        <w:spacing w:after="90" w:line="280"/>
      </w:pPr>
      <w:r>
        <w:rPr>
          <w:color w:val="222222"/>
          <w:sz w:val="21"/>
          <w:szCs w:val="21"/>
        </w:rPr>
        <w:t xml:space="preserve">Échelle de progression des régies à trafic croissant : AdSense (sans seuil) → Ezoic (~250 000 sessions/mois) → Mediavine (5 000 $/an de revenu) → Raptive (25 000 pages vues/mois, ~50 % de trafic Tier 1). À trafic égal, changer de palier peut multiplier le revenu par 4.</w:t>
      </w:r>
    </w:p>
    <w:p>
      <w:pPr>
        <w:pStyle w:val="ListParagraph"/>
        <w:numPr>
          <w:ilvl w:val="0"/>
          <w:numId w:val="3"/>
        </w:numPr>
        <w:spacing w:after="90" w:line="280"/>
      </w:pPr>
      <w:r>
        <w:rPr>
          <w:color w:val="222222"/>
          <w:sz w:val="21"/>
          <w:szCs w:val="21"/>
        </w:rPr>
        <w:t xml:space="preserve">Native en complément (MGID, Revcontent, puis Taboola/Outbrain à volume élevé) : se cumule au display sans effort, souvent oublié.</w:t>
      </w:r>
    </w:p>
    <w:p>
      <w:pPr>
        <w:pStyle w:val="ListParagraph"/>
        <w:numPr>
          <w:ilvl w:val="0"/>
          <w:numId w:val="3"/>
        </w:numPr>
        <w:spacing w:after="90" w:line="280"/>
      </w:pPr>
      <w:r>
        <w:rPr>
          <w:color w:val="222222"/>
          <w:sz w:val="21"/>
          <w:szCs w:val="21"/>
        </w:rPr>
        <w:t xml:space="preserve">Fichier ads.txt à jour pour chaque régie branchée, sous peine de perte de revenu silencieuse.</w:t>
      </w:r>
    </w:p>
    <w:p>
      <w:pPr>
        <w:pStyle w:val="Heading2"/>
        <w:spacing w:after="160" w:before="360"/>
      </w:pPr>
      <w:r>
        <w:rPr>
          <w:b/>
          <w:bCs/>
          <w:color w:val="137CF0"/>
          <w:sz w:val="25"/>
          <w:szCs w:val="25"/>
        </w:rPr>
        <w:t xml:space="preserve">5.2 « Zoom » — l'art de la lecture fine</w:t>
      </w:r>
    </w:p>
    <w:p>
      <w:pPr>
        <w:spacing w:after="160" w:line="300"/>
      </w:pPr>
      <w:r>
        <w:rPr>
          <w:color w:val="222222"/>
          <w:sz w:val="21"/>
          <w:szCs w:val="21"/>
        </w:rPr>
        <w:t xml:space="preserve">Ne jamais juger une campagne, une niche ou une régie sur son chiffre agrégé. Toujours descendre d'un cran :</w:t>
      </w:r>
    </w:p>
    <w:p>
      <w:pPr>
        <w:pStyle w:val="ListParagraph"/>
        <w:numPr>
          <w:ilvl w:val="0"/>
          <w:numId w:val="2"/>
        </w:numPr>
        <w:spacing w:after="90" w:line="280"/>
      </w:pPr>
      <w:r>
        <w:rPr>
          <w:color w:val="222222"/>
          <w:sz w:val="21"/>
          <w:szCs w:val="21"/>
        </w:rPr>
        <w:t xml:space="preserve">Compte / campagne → ad set ou groupe d'annonces → mot-clé, créa ou zone/sub-id.</w:t>
      </w:r>
    </w:p>
    <w:p>
      <w:pPr>
        <w:pStyle w:val="ListParagraph"/>
        <w:numPr>
          <w:ilvl w:val="0"/>
          <w:numId w:val="2"/>
        </w:numPr>
        <w:spacing w:after="90" w:line="280"/>
      </w:pPr>
      <w:r>
        <w:rPr>
          <w:color w:val="222222"/>
          <w:sz w:val="21"/>
          <w:szCs w:val="21"/>
        </w:rPr>
        <w:t xml:space="preserve">Comparer le même indicateur (CPC, CTR, taux de conversion) à ce niveau de détail avant de couper ou de scaler.</w:t>
      </w:r>
    </w:p>
    <w:p>
      <w:pPr>
        <w:pStyle w:val="ListParagraph"/>
        <w:numPr>
          <w:ilvl w:val="0"/>
          <w:numId w:val="2"/>
        </w:numPr>
        <w:spacing w:after="90" w:line="280"/>
      </w:pPr>
      <w:r>
        <w:rPr>
          <w:color w:val="222222"/>
          <w:sz w:val="21"/>
          <w:szCs w:val="21"/>
        </w:rPr>
        <w:t xml:space="preserve">Un agrégat rentable peut cacher une zone qui plombe la marge, et inversement une campagne globalement faible peut contenir un segment excellent à isoler et scaler seul.</w:t>
      </w:r>
    </w:p>
    <w:p>
      <w:pPr>
        <w:pStyle w:val="Heading2"/>
        <w:spacing w:after="160" w:before="360"/>
      </w:pPr>
      <w:r>
        <w:rPr>
          <w:b/>
          <w:bCs/>
          <w:color w:val="137CF0"/>
          <w:sz w:val="25"/>
          <w:szCs w:val="25"/>
        </w:rPr>
        <w:t xml:space="preserve">5.3 Clics</w:t>
      </w:r>
    </w:p>
    <w:p>
      <w:pPr>
        <w:pStyle w:val="ListParagraph"/>
        <w:numPr>
          <w:ilvl w:val="0"/>
          <w:numId w:val="3"/>
        </w:numPr>
        <w:spacing w:after="90" w:line="280"/>
      </w:pPr>
      <w:r>
        <w:rPr>
          <w:color w:val="222222"/>
          <w:sz w:val="21"/>
          <w:szCs w:val="21"/>
        </w:rPr>
        <w:t xml:space="preserve">CTR : un CTR anormalement bas signale un mauvais ciblage ou une créa fatiguée ; un CTR élevé sans conversion signale un mauvais accord promesse/page d'atterrissage.</w:t>
      </w:r>
    </w:p>
    <w:p>
      <w:pPr>
        <w:pStyle w:val="ListParagraph"/>
        <w:numPr>
          <w:ilvl w:val="0"/>
          <w:numId w:val="3"/>
        </w:numPr>
        <w:spacing w:after="90" w:line="280"/>
      </w:pPr>
      <w:r>
        <w:rPr>
          <w:color w:val="222222"/>
          <w:sz w:val="21"/>
          <w:szCs w:val="21"/>
        </w:rPr>
        <w:t xml:space="preserve">Exact match → utile pour maximiser le volume de clics qualifiés sur une requête précise ; Phrase match → utile pour maximiser les conversions en captant les variantes proches de forte intention.</w:t>
      </w:r>
    </w:p>
    <w:p>
      <w:pPr>
        <w:pStyle w:val="ListParagraph"/>
        <w:numPr>
          <w:ilvl w:val="0"/>
          <w:numId w:val="3"/>
        </w:numPr>
        <w:spacing w:after="90" w:line="280"/>
      </w:pPr>
      <w:r>
        <w:rPr>
          <w:color w:val="222222"/>
          <w:sz w:val="21"/>
          <w:szCs w:val="21"/>
        </w:rPr>
        <w:t xml:space="preserve">Trafic invalide / clic frauduleux : surveiller les pics de clics sans engagement (scroll nul, temps sur page ~0s) et exclure les sources concernées.</w:t>
      </w:r>
    </w:p>
    <w:p>
      <w:pPr>
        <w:pStyle w:val="ListParagraph"/>
        <w:numPr>
          <w:ilvl w:val="0"/>
          <w:numId w:val="3"/>
        </w:numPr>
        <w:spacing w:after="90" w:line="280"/>
      </w:pPr>
      <w:r>
        <w:rPr>
          <w:color w:val="222222"/>
          <w:sz w:val="21"/>
          <w:szCs w:val="21"/>
        </w:rPr>
        <w:t xml:space="preserve">Clic sortant = la métrique reine sans affiliation directe : c'est ce qu'on optimise quand le revenu vient du display/native plutôt que d'une vente traçable.</w:t>
      </w:r>
    </w:p>
    <w:p>
      <w:pPr>
        <w:pStyle w:val="Heading2"/>
        <w:spacing w:after="160" w:before="360"/>
      </w:pPr>
      <w:r>
        <w:rPr>
          <w:b/>
          <w:bCs/>
          <w:color w:val="137CF0"/>
          <w:sz w:val="25"/>
          <w:szCs w:val="25"/>
        </w:rPr>
        <w:t xml:space="preserve">5.4 Conversions</w:t>
      </w:r>
    </w:p>
    <w:p>
      <w:pPr>
        <w:pStyle w:val="ListParagraph"/>
        <w:numPr>
          <w:ilvl w:val="0"/>
          <w:numId w:val="3"/>
        </w:numPr>
        <w:spacing w:after="90" w:line="280"/>
      </w:pPr>
      <w:r>
        <w:rPr>
          <w:color w:val="222222"/>
          <w:sz w:val="21"/>
          <w:szCs w:val="21"/>
        </w:rPr>
        <w:t xml:space="preserve">Distinguer micro-conversions (scroll 75 %, clic sortant) et macro-conversions (vente, lead, dépôt) : les micro-conversions servent de signal précoce avant d'avoir assez de macro-conversions pour optimiser dessus.</w:t>
      </w:r>
    </w:p>
    <w:p>
      <w:pPr>
        <w:pStyle w:val="ListParagraph"/>
        <w:numPr>
          <w:ilvl w:val="0"/>
          <w:numId w:val="3"/>
        </w:numPr>
        <w:spacing w:after="90" w:line="280"/>
      </w:pPr>
      <w:r>
        <w:rPr>
          <w:color w:val="222222"/>
          <w:sz w:val="21"/>
          <w:szCs w:val="21"/>
        </w:rPr>
        <w:t xml:space="preserve">Aligner la fenêtre d'attribution GTM/GA4/Ads/Meta sur celle du programme d'affiliation (souvent 30 à 90 jours de cookie) pour ne pas sous-compter le revenu réel.</w:t>
      </w:r>
    </w:p>
    <w:p>
      <w:pPr>
        <w:pStyle w:val="ListParagraph"/>
        <w:numPr>
          <w:ilvl w:val="0"/>
          <w:numId w:val="3"/>
        </w:numPr>
        <w:spacing w:after="90" w:line="280"/>
      </w:pPr>
      <w:r>
        <w:rPr>
          <w:color w:val="222222"/>
          <w:sz w:val="21"/>
          <w:szCs w:val="21"/>
        </w:rPr>
        <w:t xml:space="preserve">Tracker en postback / server-to-server (S2S) avec les réseaux d'affiliation et MGID/PropellerAds quand c'est possible : plus fiable que le pixel navigateur face aux ad-blockers et à l'ITP.</w:t>
      </w:r>
    </w:p>
    <w:p>
      <w:pPr>
        <w:pStyle w:val="ListParagraph"/>
        <w:numPr>
          <w:ilvl w:val="0"/>
          <w:numId w:val="3"/>
        </w:numPr>
        <w:spacing w:after="90" w:line="280"/>
      </w:pPr>
      <w:r>
        <w:rPr>
          <w:color w:val="222222"/>
          <w:sz w:val="21"/>
          <w:szCs w:val="21"/>
        </w:rPr>
        <w:t xml:space="preserve">Un revenu affiché sous 6 semaines après lancement d'une offre n'est pas encore lisible : suivre les indicateurs avancés (clics sortants, essais) en attendant la conversion finale.</w:t>
      </w:r>
    </w:p>
    <w:p>
      <w:r>
        <w:br w:type="page"/>
      </w:r>
    </w:p>
    <w:p>
      <w:pPr>
        <w:pStyle w:val="Heading1"/>
        <w:pBdr>
          <w:bottom w:val="single" w:color="137CF0" w:sz="8" w:space="4"/>
        </w:pBdr>
        <w:spacing w:after="200" w:before="480"/>
      </w:pPr>
      <w:r>
        <w:rPr>
          <w:b/>
          <w:bCs/>
          <w:color w:val="13233F"/>
          <w:sz w:val="32"/>
          <w:szCs w:val="32"/>
        </w:rPr>
        <w:t xml:space="preserve">6. Checklist de lancement</w:t>
      </w:r>
    </w:p>
    <w:p>
      <w:pPr>
        <w:pStyle w:val="Heading3"/>
        <w:spacing w:after="120" w:before="240"/>
      </w:pPr>
      <w:r>
        <w:rPr>
          <w:b/>
          <w:bCs/>
          <w:color w:val="13233F"/>
          <w:sz w:val="22"/>
          <w:szCs w:val="22"/>
        </w:rPr>
        <w:t xml:space="preserve">Avant d'écrire la moindre ligne</w:t>
      </w:r>
    </w:p>
    <w:p>
      <w:pPr>
        <w:pStyle w:val="ListParagraph"/>
        <w:numPr>
          <w:ilvl w:val="0"/>
          <w:numId w:val="3"/>
        </w:numPr>
        <w:spacing w:after="90" w:line="280"/>
      </w:pPr>
      <w:r>
        <w:rPr>
          <w:color w:val="222222"/>
          <w:sz w:val="21"/>
          <w:szCs w:val="21"/>
        </w:rPr>
        <w:t xml:space="preserve">Niche validée sur les 5 axes + protocole de validation en 4 tests passé.</w:t>
      </w:r>
    </w:p>
    <w:p>
      <w:pPr>
        <w:pStyle w:val="ListParagraph"/>
        <w:numPr>
          <w:ilvl w:val="0"/>
          <w:numId w:val="3"/>
        </w:numPr>
        <w:spacing w:after="90" w:line="280"/>
      </w:pPr>
      <w:r>
        <w:rPr>
          <w:color w:val="222222"/>
          <w:sz w:val="21"/>
          <w:szCs w:val="21"/>
        </w:rPr>
        <w:t xml:space="preserve">Modèle de monétisation choisi (display / affiliation / CPA / mix) avant le premier article.</w:t>
      </w:r>
    </w:p>
    <w:p>
      <w:pPr>
        <w:pStyle w:val="Heading3"/>
        <w:spacing w:after="120" w:before="240"/>
      </w:pPr>
      <w:r>
        <w:rPr>
          <w:b/>
          <w:bCs/>
          <w:color w:val="13233F"/>
          <w:sz w:val="22"/>
          <w:szCs w:val="22"/>
        </w:rPr>
        <w:t xml:space="preserve">Fondations techniques</w:t>
      </w:r>
    </w:p>
    <w:p>
      <w:pPr>
        <w:pStyle w:val="ListParagraph"/>
        <w:numPr>
          <w:ilvl w:val="0"/>
          <w:numId w:val="3"/>
        </w:numPr>
        <w:spacing w:after="90" w:line="280"/>
      </w:pPr>
      <w:r>
        <w:rPr>
          <w:color w:val="222222"/>
          <w:sz w:val="21"/>
          <w:szCs w:val="21"/>
        </w:rPr>
        <w:t xml:space="preserve">Domaine .com acheté, vérifié (VirusTotal, Wayback, backlinks), hébergé sur Cloudflare.</w:t>
      </w:r>
    </w:p>
    <w:p>
      <w:pPr>
        <w:pStyle w:val="ListParagraph"/>
        <w:numPr>
          <w:ilvl w:val="0"/>
          <w:numId w:val="3"/>
        </w:numPr>
        <w:spacing w:after="90" w:line="280"/>
      </w:pPr>
      <w:r>
        <w:rPr>
          <w:color w:val="222222"/>
          <w:sz w:val="21"/>
          <w:szCs w:val="21"/>
        </w:rPr>
        <w:t xml:space="preserve">Blog Astro + Cloudflare (D1/R2/Workers) en place, gabarits avec emplacements pub prévus.</w:t>
      </w:r>
    </w:p>
    <w:p>
      <w:pPr>
        <w:pStyle w:val="ListParagraph"/>
        <w:numPr>
          <w:ilvl w:val="0"/>
          <w:numId w:val="3"/>
        </w:numPr>
        <w:spacing w:after="90" w:line="280"/>
      </w:pPr>
      <w:r>
        <w:rPr>
          <w:color w:val="222222"/>
          <w:sz w:val="21"/>
          <w:szCs w:val="21"/>
        </w:rPr>
        <w:t xml:space="preserve">Pages légales publiées : mentions légales, confidentialité, cookies.</w:t>
      </w:r>
    </w:p>
    <w:p>
      <w:pPr>
        <w:pStyle w:val="ListParagraph"/>
        <w:numPr>
          <w:ilvl w:val="0"/>
          <w:numId w:val="3"/>
        </w:numPr>
        <w:spacing w:after="90" w:line="280"/>
      </w:pPr>
      <w:r>
        <w:rPr>
          <w:color w:val="222222"/>
          <w:sz w:val="21"/>
          <w:szCs w:val="21"/>
        </w:rPr>
        <w:t xml:space="preserve">Google Tag Manager installé et publié avant toute campagne payante.</w:t>
      </w:r>
    </w:p>
    <w:p>
      <w:pPr>
        <w:pStyle w:val="Heading3"/>
        <w:spacing w:after="120" w:before="240"/>
      </w:pPr>
      <w:r>
        <w:rPr>
          <w:b/>
          <w:bCs/>
          <w:color w:val="13233F"/>
          <w:sz w:val="22"/>
          <w:szCs w:val="22"/>
        </w:rPr>
        <w:t xml:space="preserve">Tracking</w:t>
      </w:r>
    </w:p>
    <w:p>
      <w:pPr>
        <w:pStyle w:val="ListParagraph"/>
        <w:numPr>
          <w:ilvl w:val="0"/>
          <w:numId w:val="3"/>
        </w:numPr>
        <w:spacing w:after="90" w:line="280"/>
      </w:pPr>
      <w:r>
        <w:rPr>
          <w:color w:val="222222"/>
          <w:sz w:val="21"/>
          <w:szCs w:val="21"/>
        </w:rPr>
        <w:t xml:space="preserve">GA4 configuré via GTM, événements clés en place (scroll, clic sortant, clic affilié, conversion).</w:t>
      </w:r>
    </w:p>
    <w:p>
      <w:pPr>
        <w:pStyle w:val="ListParagraph"/>
        <w:numPr>
          <w:ilvl w:val="0"/>
          <w:numId w:val="3"/>
        </w:numPr>
        <w:spacing w:after="90" w:line="280"/>
      </w:pPr>
      <w:r>
        <w:rPr>
          <w:color w:val="222222"/>
          <w:sz w:val="21"/>
          <w:szCs w:val="21"/>
        </w:rPr>
        <w:t xml:space="preserve">Meta Pixel + Conversions API installés via GTM.</w:t>
      </w:r>
    </w:p>
    <w:p>
      <w:pPr>
        <w:pStyle w:val="ListParagraph"/>
        <w:numPr>
          <w:ilvl w:val="0"/>
          <w:numId w:val="3"/>
        </w:numPr>
        <w:spacing w:after="90" w:line="280"/>
      </w:pPr>
      <w:r>
        <w:rPr>
          <w:color w:val="222222"/>
          <w:sz w:val="21"/>
          <w:szCs w:val="21"/>
        </w:rPr>
        <w:t xml:space="preserve">Tag de conversion Google Ads installé et testé en mode Aperçu.</w:t>
      </w:r>
    </w:p>
    <w:p>
      <w:pPr>
        <w:pStyle w:val="ListParagraph"/>
        <w:numPr>
          <w:ilvl w:val="0"/>
          <w:numId w:val="3"/>
        </w:numPr>
        <w:spacing w:after="90" w:line="280"/>
      </w:pPr>
      <w:r>
        <w:rPr>
          <w:color w:val="222222"/>
          <w:sz w:val="21"/>
          <w:szCs w:val="21"/>
        </w:rPr>
        <w:t xml:space="preserve">Postback MGID / PropellerAds configuré (S2S de préférence).</w:t>
      </w:r>
    </w:p>
    <w:p>
      <w:pPr>
        <w:pStyle w:val="Heading3"/>
        <w:spacing w:after="120" w:before="240"/>
      </w:pPr>
      <w:r>
        <w:rPr>
          <w:b/>
          <w:bCs/>
          <w:color w:val="13233F"/>
          <w:sz w:val="22"/>
          <w:szCs w:val="22"/>
        </w:rPr>
        <w:t xml:space="preserve">Lancement trafic</w:t>
      </w:r>
    </w:p>
    <w:p>
      <w:pPr>
        <w:pStyle w:val="ListParagraph"/>
        <w:numPr>
          <w:ilvl w:val="0"/>
          <w:numId w:val="3"/>
        </w:numPr>
        <w:spacing w:after="90" w:line="280"/>
      </w:pPr>
      <w:r>
        <w:rPr>
          <w:color w:val="222222"/>
          <w:sz w:val="21"/>
          <w:szCs w:val="21"/>
        </w:rPr>
        <w:t xml:space="preserve">Compte Google Ads structuré (exact/phrase match) avec suivi des clics sortants.</w:t>
      </w:r>
    </w:p>
    <w:p>
      <w:pPr>
        <w:pStyle w:val="ListParagraph"/>
        <w:numPr>
          <w:ilvl w:val="0"/>
          <w:numId w:val="3"/>
        </w:numPr>
        <w:spacing w:after="90" w:line="280"/>
      </w:pPr>
      <w:r>
        <w:rPr>
          <w:color w:val="222222"/>
          <w:sz w:val="21"/>
          <w:szCs w:val="21"/>
        </w:rPr>
        <w:t xml:space="preserve">Compte Meta Ads avec audiences de départ + budget de test défini.</w:t>
      </w:r>
    </w:p>
    <w:p>
      <w:pPr>
        <w:pStyle w:val="ListParagraph"/>
        <w:numPr>
          <w:ilvl w:val="0"/>
          <w:numId w:val="3"/>
        </w:numPr>
        <w:spacing w:after="90" w:line="280"/>
      </w:pPr>
      <w:r>
        <w:rPr>
          <w:color w:val="222222"/>
          <w:sz w:val="21"/>
          <w:szCs w:val="21"/>
        </w:rPr>
        <w:t xml:space="preserve">Compte MGID et/ou PropellerAds ouvert, zones initiales sélectionnées.</w:t>
      </w:r>
    </w:p>
    <w:p>
      <w:pPr>
        <w:pStyle w:val="Heading3"/>
        <w:spacing w:after="120" w:before="240"/>
      </w:pPr>
      <w:r>
        <w:rPr>
          <w:b/>
          <w:bCs/>
          <w:color w:val="13233F"/>
          <w:sz w:val="22"/>
          <w:szCs w:val="22"/>
        </w:rPr>
        <w:t xml:space="preserve">Pilotage</w:t>
      </w:r>
    </w:p>
    <w:p>
      <w:pPr>
        <w:pStyle w:val="ListParagraph"/>
        <w:numPr>
          <w:ilvl w:val="0"/>
          <w:numId w:val="3"/>
        </w:numPr>
        <w:spacing w:after="90" w:line="280"/>
      </w:pPr>
      <w:r>
        <w:rPr>
          <w:color w:val="222222"/>
          <w:sz w:val="21"/>
          <w:szCs w:val="21"/>
        </w:rPr>
        <w:t xml:space="preserve">Listes Perf / Watch / Blacklist tenues à jour par zone/placement.</w:t>
      </w:r>
    </w:p>
    <w:p>
      <w:pPr>
        <w:pStyle w:val="ListParagraph"/>
        <w:numPr>
          <w:ilvl w:val="0"/>
          <w:numId w:val="3"/>
        </w:numPr>
        <w:spacing w:after="90" w:line="280"/>
      </w:pPr>
      <w:r>
        <w:rPr>
          <w:color w:val="222222"/>
          <w:sz w:val="21"/>
          <w:szCs w:val="21"/>
        </w:rPr>
        <w:t xml:space="preserve">Revue hebdomadaire : RPV vs CPC, décision scale / tenir / couper.</w:t>
      </w:r>
    </w:p>
    <w:p>
      <w:pPr>
        <w:pStyle w:val="ListParagraph"/>
        <w:numPr>
          <w:ilvl w:val="0"/>
          <w:numId w:val="3"/>
        </w:numPr>
        <w:spacing w:after="90" w:line="280"/>
      </w:pPr>
      <w:r>
        <w:rPr>
          <w:color w:val="222222"/>
          <w:sz w:val="21"/>
          <w:szCs w:val="21"/>
        </w:rPr>
        <w:t xml:space="preserve">Régie display revue à chaque palier de trafic franchi.</w:t>
      </w:r>
    </w:p>
    <w:p>
      <w:r>
        <w:br w:type="page"/>
      </w:r>
    </w:p>
    <w:p>
      <w:pPr>
        <w:pStyle w:val="Heading1"/>
        <w:pBdr>
          <w:bottom w:val="single" w:color="137CF0" w:sz="8" w:space="4"/>
        </w:pBdr>
        <w:spacing w:after="200" w:before="480"/>
      </w:pPr>
      <w:r>
        <w:rPr>
          <w:b/>
          <w:bCs/>
          <w:color w:val="13233F"/>
          <w:sz w:val="32"/>
          <w:szCs w:val="32"/>
        </w:rPr>
        <w:t xml:space="preserve">7. Glossaire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8400"/>
      </w:tblGrid>
      <w:tr>
        <w:tc>
          <w:tcPr>
            <w:tcW w:type="dxa" w:w="2400"/>
            <w:shd w:fill="F2F3F5" w:val="clear"/>
            <w:tcMar>
              <w:top w:type="dxa" w:w="90"/>
              <w:left w:type="dxa" w:w="120"/>
              <w:bottom w:type="dxa" w:w="90"/>
              <w:right w:type="dxa" w:w="120"/>
            </w:tcMar>
          </w:tcPr>
          <w:p>
            <w:r>
              <w:rPr>
                <w:b/>
                <w:bCs/>
                <w:color w:val="13233F"/>
                <w:sz w:val="19"/>
                <w:szCs w:val="19"/>
              </w:rPr>
              <w:t xml:space="preserve">RPM</w:t>
            </w:r>
          </w:p>
        </w:tc>
        <w:tc>
          <w:tcPr>
            <w:tcW w:type="dxa" w:w="8400"/>
            <w:tcMar>
              <w:top w:type="dxa" w:w="90"/>
              <w:left w:type="dxa" w:w="120"/>
              <w:bottom w:type="dxa" w:w="90"/>
              <w:right w:type="dxa" w:w="120"/>
            </w:tcMar>
          </w:tcPr>
          <w:p>
            <w:r>
              <w:rPr>
                <w:sz w:val="19"/>
                <w:szCs w:val="19"/>
              </w:rPr>
              <w:t xml:space="preserve">Revenu Pour Mille impressions — revenu généré pour 1000 pages vues.</w:t>
            </w:r>
          </w:p>
        </w:tc>
      </w:tr>
      <w:tr>
        <w:tc>
          <w:tcPr>
            <w:tcW w:type="dxa" w:w="2400"/>
            <w:shd w:fill="F2F3F5" w:val="clear"/>
            <w:tcMar>
              <w:top w:type="dxa" w:w="90"/>
              <w:left w:type="dxa" w:w="120"/>
              <w:bottom w:type="dxa" w:w="90"/>
              <w:right w:type="dxa" w:w="120"/>
            </w:tcMar>
          </w:tcPr>
          <w:p>
            <w:r>
              <w:rPr>
                <w:b/>
                <w:bCs/>
                <w:color w:val="13233F"/>
                <w:sz w:val="19"/>
                <w:szCs w:val="19"/>
              </w:rPr>
              <w:t xml:space="preserve">RPV</w:t>
            </w:r>
          </w:p>
        </w:tc>
        <w:tc>
          <w:tcPr>
            <w:tcW w:type="dxa" w:w="8400"/>
            <w:tcMar>
              <w:top w:type="dxa" w:w="90"/>
              <w:left w:type="dxa" w:w="120"/>
              <w:bottom w:type="dxa" w:w="90"/>
              <w:right w:type="dxa" w:w="120"/>
            </w:tcMar>
          </w:tcPr>
          <w:p>
            <w:r>
              <w:rPr>
                <w:sz w:val="19"/>
                <w:szCs w:val="19"/>
              </w:rPr>
              <w:t xml:space="preserve">Revenu Par Visiteur — mesure clé de l'ad arbitrage, à comparer au CPC d'achat.</w:t>
            </w:r>
          </w:p>
        </w:tc>
      </w:tr>
      <w:tr>
        <w:tc>
          <w:tcPr>
            <w:tcW w:type="dxa" w:w="2400"/>
            <w:shd w:fill="F2F3F5" w:val="clear"/>
            <w:tcMar>
              <w:top w:type="dxa" w:w="90"/>
              <w:left w:type="dxa" w:w="120"/>
              <w:bottom w:type="dxa" w:w="90"/>
              <w:right w:type="dxa" w:w="120"/>
            </w:tcMar>
          </w:tcPr>
          <w:p>
            <w:r>
              <w:rPr>
                <w:b/>
                <w:bCs/>
                <w:color w:val="13233F"/>
                <w:sz w:val="19"/>
                <w:szCs w:val="19"/>
              </w:rPr>
              <w:t xml:space="preserve">CPC / CPM / CTR</w:t>
            </w:r>
          </w:p>
        </w:tc>
        <w:tc>
          <w:tcPr>
            <w:tcW w:type="dxa" w:w="8400"/>
            <w:tcMar>
              <w:top w:type="dxa" w:w="90"/>
              <w:left w:type="dxa" w:w="120"/>
              <w:bottom w:type="dxa" w:w="90"/>
              <w:right w:type="dxa" w:w="120"/>
            </w:tcMar>
          </w:tcPr>
          <w:p>
            <w:r>
              <w:rPr>
                <w:sz w:val="19"/>
                <w:szCs w:val="19"/>
              </w:rPr>
              <w:t xml:space="preserve">Coût Par Clic / Coût Pour Mille impressions / taux de clic (clics ÷ impressions).</w:t>
            </w:r>
          </w:p>
        </w:tc>
      </w:tr>
      <w:tr>
        <w:tc>
          <w:tcPr>
            <w:tcW w:type="dxa" w:w="2400"/>
            <w:shd w:fill="F2F3F5" w:val="clear"/>
            <w:tcMar>
              <w:top w:type="dxa" w:w="90"/>
              <w:left w:type="dxa" w:w="120"/>
              <w:bottom w:type="dxa" w:w="90"/>
              <w:right w:type="dxa" w:w="120"/>
            </w:tcMar>
          </w:tcPr>
          <w:p>
            <w:r>
              <w:rPr>
                <w:b/>
                <w:bCs/>
                <w:color w:val="13233F"/>
                <w:sz w:val="19"/>
                <w:szCs w:val="19"/>
              </w:rPr>
              <w:t xml:space="preserve">CPA / CPI</w:t>
            </w:r>
          </w:p>
        </w:tc>
        <w:tc>
          <w:tcPr>
            <w:tcW w:type="dxa" w:w="8400"/>
            <w:tcMar>
              <w:top w:type="dxa" w:w="90"/>
              <w:left w:type="dxa" w:w="120"/>
              <w:bottom w:type="dxa" w:w="90"/>
              <w:right w:type="dxa" w:w="120"/>
            </w:tcMar>
          </w:tcPr>
          <w:p>
            <w:r>
              <w:rPr>
                <w:sz w:val="19"/>
                <w:szCs w:val="19"/>
              </w:rPr>
              <w:t xml:space="preserve">Coût (ou paiement) Par Action / Par Install — modèle de rémunération à la conversion.</w:t>
            </w:r>
          </w:p>
        </w:tc>
      </w:tr>
      <w:tr>
        <w:tc>
          <w:tcPr>
            <w:tcW w:type="dxa" w:w="2400"/>
            <w:shd w:fill="F2F3F5" w:val="clear"/>
            <w:tcMar>
              <w:top w:type="dxa" w:w="90"/>
              <w:left w:type="dxa" w:w="120"/>
              <w:bottom w:type="dxa" w:w="90"/>
              <w:right w:type="dxa" w:w="120"/>
            </w:tcMar>
          </w:tcPr>
          <w:p>
            <w:r>
              <w:rPr>
                <w:b/>
                <w:bCs/>
                <w:color w:val="13233F"/>
                <w:sz w:val="19"/>
                <w:szCs w:val="19"/>
              </w:rPr>
              <w:t xml:space="preserve">E-E-A-T</w:t>
            </w:r>
          </w:p>
        </w:tc>
        <w:tc>
          <w:tcPr>
            <w:tcW w:type="dxa" w:w="8400"/>
            <w:tcMar>
              <w:top w:type="dxa" w:w="90"/>
              <w:left w:type="dxa" w:w="120"/>
              <w:bottom w:type="dxa" w:w="90"/>
              <w:right w:type="dxa" w:w="120"/>
            </w:tcMar>
          </w:tcPr>
          <w:p>
            <w:r>
              <w:rPr>
                <w:sz w:val="19"/>
                <w:szCs w:val="19"/>
              </w:rPr>
              <w:t xml:space="preserve">Experience, Expertise, Authoritativeness, Trust — critère qualité de Google, difficile à imiter pour l'IA.</w:t>
            </w:r>
          </w:p>
        </w:tc>
      </w:tr>
      <w:tr>
        <w:tc>
          <w:tcPr>
            <w:tcW w:type="dxa" w:w="2400"/>
            <w:shd w:fill="F2F3F5" w:val="clear"/>
            <w:tcMar>
              <w:top w:type="dxa" w:w="90"/>
              <w:left w:type="dxa" w:w="120"/>
              <w:bottom w:type="dxa" w:w="90"/>
              <w:right w:type="dxa" w:w="120"/>
            </w:tcMar>
          </w:tcPr>
          <w:p>
            <w:r>
              <w:rPr>
                <w:b/>
                <w:bCs/>
                <w:color w:val="13233F"/>
                <w:sz w:val="19"/>
                <w:szCs w:val="19"/>
              </w:rPr>
              <w:t xml:space="preserve">GEO</w:t>
            </w:r>
          </w:p>
        </w:tc>
        <w:tc>
          <w:tcPr>
            <w:tcW w:type="dxa" w:w="8400"/>
            <w:tcMar>
              <w:top w:type="dxa" w:w="90"/>
              <w:left w:type="dxa" w:w="120"/>
              <w:bottom w:type="dxa" w:w="90"/>
              <w:right w:type="dxa" w:w="120"/>
            </w:tcMar>
          </w:tcPr>
          <w:p>
            <w:r>
              <w:rPr>
                <w:sz w:val="19"/>
                <w:szCs w:val="19"/>
              </w:rPr>
              <w:t xml:space="preserve">Generative Engine Optimization — optimiser pour être cité par les IA (ChatGPT, Perplexity, AI Overviews).</w:t>
            </w:r>
          </w:p>
        </w:tc>
      </w:tr>
      <w:tr>
        <w:tc>
          <w:tcPr>
            <w:tcW w:type="dxa" w:w="2400"/>
            <w:shd w:fill="F2F3F5" w:val="clear"/>
            <w:tcMar>
              <w:top w:type="dxa" w:w="90"/>
              <w:left w:type="dxa" w:w="120"/>
              <w:bottom w:type="dxa" w:w="90"/>
              <w:right w:type="dxa" w:w="120"/>
            </w:tcMar>
          </w:tcPr>
          <w:p>
            <w:r>
              <w:rPr>
                <w:b/>
                <w:bCs/>
                <w:color w:val="13233F"/>
                <w:sz w:val="19"/>
                <w:szCs w:val="19"/>
              </w:rPr>
              <w:t xml:space="preserve">Tier 1 / 2 / 3</w:t>
            </w:r>
          </w:p>
        </w:tc>
        <w:tc>
          <w:tcPr>
            <w:tcW w:type="dxa" w:w="8400"/>
            <w:tcMar>
              <w:top w:type="dxa" w:w="90"/>
              <w:left w:type="dxa" w:w="120"/>
              <w:bottom w:type="dxa" w:w="90"/>
              <w:right w:type="dxa" w:w="120"/>
            </w:tcMar>
          </w:tcPr>
          <w:p>
            <w:r>
              <w:rPr>
                <w:sz w:val="19"/>
                <w:szCs w:val="19"/>
              </w:rPr>
              <w:t xml:space="preserve">Classement des pays par valeur publicitaire (Tier 1 : US, UK, CA, AU… — RPM le plus élevé).</w:t>
            </w:r>
          </w:p>
        </w:tc>
      </w:tr>
      <w:tr>
        <w:tc>
          <w:tcPr>
            <w:tcW w:type="dxa" w:w="2400"/>
            <w:shd w:fill="F2F3F5" w:val="clear"/>
            <w:tcMar>
              <w:top w:type="dxa" w:w="90"/>
              <w:left w:type="dxa" w:w="120"/>
              <w:bottom w:type="dxa" w:w="90"/>
              <w:right w:type="dxa" w:w="120"/>
            </w:tcMar>
          </w:tcPr>
          <w:p>
            <w:r>
              <w:rPr>
                <w:b/>
                <w:bCs/>
                <w:color w:val="13233F"/>
                <w:sz w:val="19"/>
                <w:szCs w:val="19"/>
              </w:rPr>
              <w:t xml:space="preserve">DataLayer</w:t>
            </w:r>
          </w:p>
        </w:tc>
        <w:tc>
          <w:tcPr>
            <w:tcW w:type="dxa" w:w="8400"/>
            <w:tcMar>
              <w:top w:type="dxa" w:w="90"/>
              <w:left w:type="dxa" w:w="120"/>
              <w:bottom w:type="dxa" w:w="90"/>
              <w:right w:type="dxa" w:w="120"/>
            </w:tcMar>
          </w:tcPr>
          <w:p>
            <w:r>
              <w:rPr>
                <w:sz w:val="19"/>
                <w:szCs w:val="19"/>
              </w:rPr>
              <w:t xml:space="preserve">Objet JavaScript qui transmet les événements du site vers Google Tag Manager.</w:t>
            </w:r>
          </w:p>
        </w:tc>
      </w:tr>
      <w:tr>
        <w:tc>
          <w:tcPr>
            <w:tcW w:type="dxa" w:w="2400"/>
            <w:shd w:fill="F2F3F5" w:val="clear"/>
            <w:tcMar>
              <w:top w:type="dxa" w:w="90"/>
              <w:left w:type="dxa" w:w="120"/>
              <w:bottom w:type="dxa" w:w="90"/>
              <w:right w:type="dxa" w:w="120"/>
            </w:tcMar>
          </w:tcPr>
          <w:p>
            <w:r>
              <w:rPr>
                <w:b/>
                <w:bCs/>
                <w:color w:val="13233F"/>
                <w:sz w:val="19"/>
                <w:szCs w:val="19"/>
              </w:rPr>
              <w:t xml:space="preserve">UTM</w:t>
            </w:r>
          </w:p>
        </w:tc>
        <w:tc>
          <w:tcPr>
            <w:tcW w:type="dxa" w:w="8400"/>
            <w:tcMar>
              <w:top w:type="dxa" w:w="90"/>
              <w:left w:type="dxa" w:w="120"/>
              <w:bottom w:type="dxa" w:w="90"/>
              <w:right w:type="dxa" w:w="120"/>
            </w:tcMar>
          </w:tcPr>
          <w:p>
            <w:r>
              <w:rPr>
                <w:sz w:val="19"/>
                <w:szCs w:val="19"/>
              </w:rPr>
              <w:t xml:space="preserve">Paramètres d'URL (source, medium, campaign…) qui identifient l'origine précise d'un visiteur.</w:t>
            </w:r>
          </w:p>
        </w:tc>
      </w:tr>
      <w:tr>
        <w:tc>
          <w:tcPr>
            <w:tcW w:type="dxa" w:w="2400"/>
            <w:shd w:fill="F2F3F5" w:val="clear"/>
            <w:tcMar>
              <w:top w:type="dxa" w:w="90"/>
              <w:left w:type="dxa" w:w="120"/>
              <w:bottom w:type="dxa" w:w="90"/>
              <w:right w:type="dxa" w:w="120"/>
            </w:tcMar>
          </w:tcPr>
          <w:p>
            <w:r>
              <w:rPr>
                <w:b/>
                <w:bCs/>
                <w:color w:val="13233F"/>
                <w:sz w:val="19"/>
                <w:szCs w:val="19"/>
              </w:rPr>
              <w:t xml:space="preserve">Postback / S2S</w:t>
            </w:r>
          </w:p>
        </w:tc>
        <w:tc>
          <w:tcPr>
            <w:tcW w:type="dxa" w:w="8400"/>
            <w:tcMar>
              <w:top w:type="dxa" w:w="90"/>
              <w:left w:type="dxa" w:w="120"/>
              <w:bottom w:type="dxa" w:w="90"/>
              <w:right w:type="dxa" w:w="120"/>
            </w:tcMar>
          </w:tcPr>
          <w:p>
            <w:r>
              <w:rPr>
                <w:sz w:val="19"/>
                <w:szCs w:val="19"/>
              </w:rPr>
              <w:t xml:space="preserve">Notification serveur-à-serveur d'une conversion, plus fiable qu'un pixel navigateur.</w:t>
            </w:r>
          </w:p>
        </w:tc>
      </w:tr>
      <w:tr>
        <w:tc>
          <w:tcPr>
            <w:tcW w:type="dxa" w:w="2400"/>
            <w:shd w:fill="F2F3F5" w:val="clear"/>
            <w:tcMar>
              <w:top w:type="dxa" w:w="90"/>
              <w:left w:type="dxa" w:w="120"/>
              <w:bottom w:type="dxa" w:w="90"/>
              <w:right w:type="dxa" w:w="120"/>
            </w:tcMar>
          </w:tcPr>
          <w:p>
            <w:r>
              <w:rPr>
                <w:b/>
                <w:bCs/>
                <w:color w:val="13233F"/>
                <w:sz w:val="19"/>
                <w:szCs w:val="19"/>
              </w:rPr>
              <w:t xml:space="preserve">Zone (native/push)</w:t>
            </w:r>
          </w:p>
        </w:tc>
        <w:tc>
          <w:tcPr>
            <w:tcW w:type="dxa" w:w="8400"/>
            <w:tcMar>
              <w:top w:type="dxa" w:w="90"/>
              <w:left w:type="dxa" w:w="120"/>
              <w:bottom w:type="dxa" w:w="90"/>
              <w:right w:type="dxa" w:w="120"/>
            </w:tcMar>
          </w:tcPr>
          <w:p>
            <w:r>
              <w:rPr>
                <w:sz w:val="19"/>
                <w:szCs w:val="19"/>
              </w:rPr>
              <w:t xml:space="preserve">Emplacement publicitaire individuel chez MGID/PropellerAds ; à classer Perf/Watch/Blacklist.</w:t>
            </w:r>
          </w:p>
        </w:tc>
      </w:tr>
      <w:tr>
        <w:tc>
          <w:tcPr>
            <w:tcW w:type="dxa" w:w="2400"/>
            <w:shd w:fill="F2F3F5" w:val="clear"/>
            <w:tcMar>
              <w:top w:type="dxa" w:w="90"/>
              <w:left w:type="dxa" w:w="120"/>
              <w:bottom w:type="dxa" w:w="90"/>
              <w:right w:type="dxa" w:w="120"/>
            </w:tcMar>
          </w:tcPr>
          <w:p>
            <w:r>
              <w:rPr>
                <w:b/>
                <w:bCs/>
                <w:color w:val="13233F"/>
                <w:sz w:val="19"/>
                <w:szCs w:val="19"/>
              </w:rPr>
              <w:t xml:space="preserve">Value-based bidding</w:t>
            </w:r>
          </w:p>
        </w:tc>
        <w:tc>
          <w:tcPr>
            <w:tcW w:type="dxa" w:w="8400"/>
            <w:tcMar>
              <w:top w:type="dxa" w:w="90"/>
              <w:left w:type="dxa" w:w="120"/>
              <w:bottom w:type="dxa" w:w="90"/>
              <w:right w:type="dxa" w:w="120"/>
            </w:tcMar>
          </w:tcPr>
          <w:p>
            <w:r>
              <w:rPr>
                <w:sz w:val="19"/>
                <w:szCs w:val="19"/>
              </w:rPr>
              <w:t xml:space="preserve">Enchère automatique basée sur la valeur réelle de chaque conversion, pas seulement son volume.</w:t>
            </w:r>
          </w:p>
        </w:tc>
      </w:tr>
      <w:tr>
        <w:tc>
          <w:tcPr>
            <w:tcW w:type="dxa" w:w="2400"/>
            <w:shd w:fill="F2F3F5" w:val="clear"/>
            <w:tcMar>
              <w:top w:type="dxa" w:w="90"/>
              <w:left w:type="dxa" w:w="120"/>
              <w:bottom w:type="dxa" w:w="90"/>
              <w:right w:type="dxa" w:w="120"/>
            </w:tcMar>
          </w:tcPr>
          <w:p>
            <w:r>
              <w:rPr>
                <w:b/>
                <w:bCs/>
                <w:color w:val="13233F"/>
                <w:sz w:val="19"/>
                <w:szCs w:val="19"/>
              </w:rPr>
              <w:t xml:space="preserve">Lookalike</w:t>
            </w:r>
          </w:p>
        </w:tc>
        <w:tc>
          <w:tcPr>
            <w:tcW w:type="dxa" w:w="8400"/>
            <w:tcMar>
              <w:top w:type="dxa" w:w="90"/>
              <w:left w:type="dxa" w:w="120"/>
              <w:bottom w:type="dxa" w:w="90"/>
              <w:right w:type="dxa" w:w="120"/>
            </w:tcMar>
          </w:tcPr>
          <w:p>
            <w:r>
              <w:rPr>
                <w:sz w:val="19"/>
                <w:szCs w:val="19"/>
              </w:rPr>
              <w:t xml:space="preserve">Audience publicitaire générée à partir des caractéristiques des meilleurs convertisseurs existants.</w:t>
            </w:r>
          </w:p>
        </w:tc>
      </w:tr>
      <w:tr>
        <w:tc>
          <w:tcPr>
            <w:tcW w:type="dxa" w:w="2400"/>
            <w:shd w:fill="F2F3F5" w:val="clear"/>
            <w:tcMar>
              <w:top w:type="dxa" w:w="90"/>
              <w:left w:type="dxa" w:w="120"/>
              <w:bottom w:type="dxa" w:w="90"/>
              <w:right w:type="dxa" w:w="120"/>
            </w:tcMar>
          </w:tcPr>
          <w:p>
            <w:r>
              <w:rPr>
                <w:b/>
                <w:bCs/>
                <w:color w:val="13233F"/>
                <w:sz w:val="19"/>
                <w:szCs w:val="19"/>
              </w:rPr>
              <w:t xml:space="preserve">Payout</w:t>
            </w:r>
          </w:p>
        </w:tc>
        <w:tc>
          <w:tcPr>
            <w:tcW w:type="dxa" w:w="8400"/>
            <w:tcMar>
              <w:top w:type="dxa" w:w="90"/>
              <w:left w:type="dxa" w:w="120"/>
              <w:bottom w:type="dxa" w:w="90"/>
              <w:right w:type="dxa" w:w="120"/>
            </w:tcMar>
          </w:tcPr>
          <w:p>
            <w:r>
              <w:rPr>
                <w:sz w:val="19"/>
                <w:szCs w:val="19"/>
              </w:rPr>
              <w:t xml:space="preserve">Commission versée par un programme d'affiliation pour une conversion — sert de base au calcul du bid en ROAS.</w:t>
            </w:r>
          </w:p>
        </w:tc>
      </w:tr>
      <w:tr>
        <w:tc>
          <w:tcPr>
            <w:tcW w:type="dxa" w:w="2400"/>
            <w:shd w:fill="F2F3F5" w:val="clear"/>
            <w:tcMar>
              <w:top w:type="dxa" w:w="90"/>
              <w:left w:type="dxa" w:w="120"/>
              <w:bottom w:type="dxa" w:w="90"/>
              <w:right w:type="dxa" w:w="120"/>
            </w:tcMar>
          </w:tcPr>
          <w:p>
            <w:r>
              <w:rPr>
                <w:b/>
                <w:bCs/>
                <w:color w:val="13233F"/>
                <w:sz w:val="19"/>
                <w:szCs w:val="19"/>
              </w:rPr>
              <w:t xml:space="preserve">ROAS</w:t>
            </w:r>
          </w:p>
        </w:tc>
        <w:tc>
          <w:tcPr>
            <w:tcW w:type="dxa" w:w="8400"/>
            <w:tcMar>
              <w:top w:type="dxa" w:w="90"/>
              <w:left w:type="dxa" w:w="120"/>
              <w:bottom w:type="dxa" w:w="90"/>
              <w:right w:type="dxa" w:w="120"/>
            </w:tcMar>
          </w:tcPr>
          <w:p>
            <w:r>
              <w:rPr>
                <w:sz w:val="19"/>
                <w:szCs w:val="19"/>
              </w:rPr>
              <w:t xml:space="preserve">Return On Ad Spend — revenu généré ÷ dépense publicitaire. Un ROAS cible de 100 % correspond au seuil de rentabilité.</w:t>
            </w:r>
          </w:p>
        </w:tc>
      </w:tr>
      <w:tr>
        <w:tc>
          <w:tcPr>
            <w:tcW w:type="dxa" w:w="2400"/>
            <w:shd w:fill="F2F3F5" w:val="clear"/>
            <w:tcMar>
              <w:top w:type="dxa" w:w="90"/>
              <w:left w:type="dxa" w:w="120"/>
              <w:bottom w:type="dxa" w:w="90"/>
              <w:right w:type="dxa" w:w="120"/>
            </w:tcMar>
          </w:tcPr>
          <w:p>
            <w:r>
              <w:rPr>
                <w:b/>
                <w:bCs/>
                <w:color w:val="13233F"/>
                <w:sz w:val="19"/>
                <w:szCs w:val="19"/>
              </w:rPr>
              <w:t xml:space="preserve">Pmax (Performance Max)</w:t>
            </w:r>
          </w:p>
        </w:tc>
        <w:tc>
          <w:tcPr>
            <w:tcW w:type="dxa" w:w="8400"/>
            <w:tcMar>
              <w:top w:type="dxa" w:w="90"/>
              <w:left w:type="dxa" w:w="120"/>
              <w:bottom w:type="dxa" w:w="90"/>
              <w:right w:type="dxa" w:w="120"/>
            </w:tcMar>
          </w:tcPr>
          <w:p>
            <w:r>
              <w:rPr>
                <w:sz w:val="19"/>
                <w:szCs w:val="19"/>
              </w:rPr>
              <w:t xml:space="preserve">Type de campagne Google Ads qui diffuse automatiquement sur tous les emplacements (Search, Display, YouTube, Discover, Gmail, Maps) à partir de groupes d'assets et de signaux d'audience.</w:t>
            </w:r>
          </w:p>
        </w:tc>
      </w:tr>
      <w:tr>
        <w:tc>
          <w:tcPr>
            <w:tcW w:type="dxa" w:w="2400"/>
            <w:shd w:fill="F2F3F5" w:val="clear"/>
            <w:tcMar>
              <w:top w:type="dxa" w:w="90"/>
              <w:left w:type="dxa" w:w="120"/>
              <w:bottom w:type="dxa" w:w="90"/>
              <w:right w:type="dxa" w:w="120"/>
            </w:tcMar>
          </w:tcPr>
          <w:p>
            <w:r>
              <w:rPr>
                <w:b/>
                <w:bCs/>
                <w:color w:val="13233F"/>
                <w:sz w:val="19"/>
                <w:szCs w:val="19"/>
              </w:rPr>
              <w:t xml:space="preserve">Offline Conversion Import</w:t>
            </w:r>
          </w:p>
        </w:tc>
        <w:tc>
          <w:tcPr>
            <w:tcW w:type="dxa" w:w="8400"/>
            <w:tcMar>
              <w:top w:type="dxa" w:w="90"/>
              <w:left w:type="dxa" w:w="120"/>
              <w:bottom w:type="dxa" w:w="90"/>
              <w:right w:type="dxa" w:w="120"/>
            </w:tcMar>
          </w:tcPr>
          <w:p>
            <w:r>
              <w:rPr>
                <w:sz w:val="19"/>
                <w:szCs w:val="19"/>
              </w:rPr>
              <w:t xml:space="preserve">Import CSV de conversions vers Google Ads, associées à un GCLID, pour transmettre a posteriori la valeur réelle d'une conversion validée en différé.</w:t>
            </w:r>
          </w:p>
        </w:tc>
      </w:tr>
      <w:tr>
        <w:tc>
          <w:tcPr>
            <w:tcW w:type="dxa" w:w="2400"/>
            <w:shd w:fill="F2F3F5" w:val="clear"/>
            <w:tcMar>
              <w:top w:type="dxa" w:w="90"/>
              <w:left w:type="dxa" w:w="120"/>
              <w:bottom w:type="dxa" w:w="90"/>
              <w:right w:type="dxa" w:w="120"/>
            </w:tcMar>
          </w:tcPr>
          <w:p>
            <w:r>
              <w:rPr>
                <w:b/>
                <w:bCs/>
                <w:color w:val="13233F"/>
                <w:sz w:val="19"/>
                <w:szCs w:val="19"/>
              </w:rPr>
              <w:t xml:space="preserve">Customer Match</w:t>
            </w:r>
          </w:p>
        </w:tc>
        <w:tc>
          <w:tcPr>
            <w:tcW w:type="dxa" w:w="8400"/>
            <w:tcMar>
              <w:top w:type="dxa" w:w="90"/>
              <w:left w:type="dxa" w:w="120"/>
              <w:bottom w:type="dxa" w:w="90"/>
              <w:right w:type="dxa" w:w="120"/>
            </w:tcMar>
          </w:tcPr>
          <w:p>
            <w:r>
              <w:rPr>
                <w:sz w:val="19"/>
                <w:szCs w:val="19"/>
              </w:rPr>
              <w:t xml:space="preserve">Import CSV de contacts (emails/téléphones hachés) utilisé pour créer des signaux d'audience dans Google Ads.</w:t>
            </w:r>
          </w:p>
        </w:tc>
      </w:tr>
      <w:tr>
        <w:tc>
          <w:tcPr>
            <w:tcW w:type="dxa" w:w="2400"/>
            <w:shd w:fill="F2F3F5" w:val="clear"/>
            <w:tcMar>
              <w:top w:type="dxa" w:w="90"/>
              <w:left w:type="dxa" w:w="120"/>
              <w:bottom w:type="dxa" w:w="90"/>
              <w:right w:type="dxa" w:w="120"/>
            </w:tcMar>
          </w:tcPr>
          <w:p>
            <w:r>
              <w:rPr>
                <w:b/>
                <w:bCs/>
                <w:color w:val="13233F"/>
                <w:sz w:val="19"/>
                <w:szCs w:val="19"/>
              </w:rPr>
              <w:t xml:space="preserve">GCLID</w:t>
            </w:r>
          </w:p>
        </w:tc>
        <w:tc>
          <w:tcPr>
            <w:tcW w:type="dxa" w:w="8400"/>
            <w:tcMar>
              <w:top w:type="dxa" w:w="90"/>
              <w:left w:type="dxa" w:w="120"/>
              <w:bottom w:type="dxa" w:w="90"/>
              <w:right w:type="dxa" w:w="120"/>
            </w:tcMar>
          </w:tcPr>
          <w:p>
            <w:r>
              <w:rPr>
                <w:sz w:val="19"/>
                <w:szCs w:val="19"/>
              </w:rPr>
              <w:t xml:space="preserve">Google Click ID — identifiant unique d'un clic sur une annonce Google, utilisé pour relier un clic à sa conversion lors d'un import hors ligne.</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0"/>
        <w:sz w:val="16"/>
        <w:szCs w:val="16"/>
      </w:rPr>
      <w:t xml:space="preserve">Page </w:t>
    </w:r>
    <w:r>
      <w:rPr>
        <w:color w:val="5B6470"/>
        <w:sz w:val="16"/>
        <w:szCs w:val="16"/>
      </w:rPr>
      <w:fldChar w:fldCharType="begin"/>
      <w:instrText xml:space="preserve">PAGE</w:instrText>
      <w:fldChar w:fldCharType="separate"/>
      <w:fldChar w:fldCharType="end"/>
    </w:r>
    <w:r>
      <w:rPr>
        <w:color w:val="5B6470"/>
        <w:sz w:val="16"/>
        <w:szCs w:val="16"/>
      </w:rPr>
      <w:t xml:space="preserve"> / </w:t>
    </w:r>
    <w:r>
      <w:rPr>
        <w:color w:val="5B64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0"/>
        <w:sz w:val="16"/>
        <w:szCs w:val="16"/>
      </w:rPr>
      <w:t xml:space="preserve">Feuille de route — Blog Monétisable &amp; Ad Arbitrage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2026-09-18T09:49:21.488Z</dcterms:created>
  <dcterms:modified xsi:type="dcterms:W3CDTF">2026-09-18T09:49:21.488Z</dcterms:modified>
</cp:coreProperties>
</file>

<file path=docProps/custom.xml><?xml version="1.0" encoding="utf-8"?>
<Properties xmlns="http://schemas.openxmlformats.org/officeDocument/2006/custom-properties" xmlns:vt="http://schemas.openxmlformats.org/officeDocument/2006/docPropsVTypes"/>
</file>