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D3700" w14:textId="47B2B98E" w:rsidR="00116FBE" w:rsidRDefault="00116FBE" w:rsidP="00116FBE">
      <w:pPr>
        <w:pStyle w:val="Heading2"/>
        <w:spacing w:line="240" w:lineRule="auto"/>
        <w:ind w:firstLine="504"/>
      </w:pPr>
      <w:r>
        <w:t>Abstract:</w:t>
      </w:r>
    </w:p>
    <w:p w14:paraId="4B6E5AF3" w14:textId="77777777" w:rsidR="00116FBE" w:rsidRDefault="00116FBE" w:rsidP="00116FBE"/>
    <w:p w14:paraId="25AC9CFC" w14:textId="123EF1D1" w:rsidR="00116FBE" w:rsidRDefault="00073F80" w:rsidP="00073F80">
      <w:pPr>
        <w:ind w:firstLine="504"/>
      </w:pPr>
      <w:r w:rsidRPr="00073F80">
        <w:t>This paper evaluates the early effects of El Salvador’s staggered rollout of mandatory e-invoicing on firm-level value-added tax (VAT) revenue and compliance. Using monthly tax data from 2022 to 2025 and modern difference-in-differences methods, I find no significant revenue gains among larger firms, likely due to preexisting digital adoption and high compliance. Modest improvements appear among smaller firms and in state-linked sectors, but overall short-run effects are limited. These findings suggest that while e-invoicing may not yield immediate fiscal gains in high-compliance environments, it can support El Salvador's long-term goals of formalization and administrative modernization. The results provide new evidence on tax digitalization in El Salvador and may inform broader policy debates in other low-capacity settings.</w:t>
      </w:r>
    </w:p>
    <w:p w14:paraId="63ED15C3" w14:textId="77777777" w:rsidR="00116FBE" w:rsidRPr="00116FBE" w:rsidRDefault="00116FBE" w:rsidP="00116FBE"/>
    <w:p w14:paraId="1F3B86DA" w14:textId="2A3D80A6" w:rsidR="0022295A" w:rsidRDefault="0022295A" w:rsidP="00F34576">
      <w:pPr>
        <w:pStyle w:val="Heading2"/>
        <w:spacing w:line="240" w:lineRule="auto"/>
        <w:ind w:firstLine="504"/>
      </w:pPr>
      <w:r w:rsidRPr="0022295A">
        <w:t>Introduction:</w:t>
      </w:r>
    </w:p>
    <w:p w14:paraId="04F4C0EB" w14:textId="77777777" w:rsidR="008576E4" w:rsidRDefault="008576E4" w:rsidP="00720CDF">
      <w:pPr>
        <w:spacing w:line="240" w:lineRule="auto"/>
      </w:pPr>
    </w:p>
    <w:p w14:paraId="059958AB" w14:textId="39F69747" w:rsidR="00F84C3A" w:rsidRDefault="003151AF" w:rsidP="007C6332">
      <w:pPr>
        <w:spacing w:line="240" w:lineRule="auto"/>
        <w:ind w:firstLine="504"/>
      </w:pPr>
      <w:r>
        <w:t xml:space="preserve">Developing countries seeking new ways to finance development </w:t>
      </w:r>
      <w:r w:rsidR="00BC6AC2">
        <w:t xml:space="preserve">increasingly </w:t>
      </w:r>
      <w:r>
        <w:t xml:space="preserve">turn to digitalization, </w:t>
      </w:r>
      <w:r w:rsidR="00BC6AC2">
        <w:t xml:space="preserve">using technology to </w:t>
      </w:r>
      <w:r>
        <w:t>moderniz</w:t>
      </w:r>
      <w:r w:rsidR="00BC6AC2">
        <w:t xml:space="preserve">e </w:t>
      </w:r>
      <w:r>
        <w:t xml:space="preserve">weak bureaucracies. </w:t>
      </w:r>
      <w:r w:rsidR="003E6279">
        <w:t>In El Salvador, where the Ministry of Finance lacks the technical and administrative depth of agencies like the U</w:t>
      </w:r>
      <w:r w:rsidR="006E7F32">
        <w:t>nited States Internal Revenue Service</w:t>
      </w:r>
      <w:r w:rsidR="003E6279">
        <w:t xml:space="preserve"> </w:t>
      </w:r>
      <w:r w:rsidR="006E7F32">
        <w:t>(</w:t>
      </w:r>
      <w:r w:rsidR="003E6279">
        <w:t>IRS</w:t>
      </w:r>
      <w:r w:rsidR="006E7F32">
        <w:t>)</w:t>
      </w:r>
      <w:r w:rsidR="003E6279">
        <w:t>, digital tools offer a substitute for low state capacity.</w:t>
      </w:r>
      <w:r w:rsidR="00C26D27">
        <w:t xml:space="preserve"> </w:t>
      </w:r>
      <w:r w:rsidR="006E357F" w:rsidRPr="006E357F">
        <w:t>Among</w:t>
      </w:r>
      <w:r w:rsidR="00652292">
        <w:t xml:space="preserve"> these</w:t>
      </w:r>
      <w:r w:rsidR="006E357F" w:rsidRPr="006E357F">
        <w:t xml:space="preserve">, e-invoicing stands out for offering administrative benefits like lower costs, </w:t>
      </w:r>
      <w:r w:rsidR="004554A8">
        <w:t>greater responsiveness to taxpayers</w:t>
      </w:r>
      <w:r w:rsidR="006E357F" w:rsidRPr="006E357F">
        <w:t xml:space="preserve">, and improved data security. </w:t>
      </w:r>
      <w:r w:rsidR="00240942">
        <w:t>However,</w:t>
      </w:r>
      <w:r w:rsidR="006E357F" w:rsidRPr="006E357F">
        <w:t xml:space="preserve"> implementation imposes </w:t>
      </w:r>
      <w:r w:rsidR="00240942">
        <w:t>real challenges, including</w:t>
      </w:r>
      <w:r w:rsidR="006E357F" w:rsidRPr="006E357F">
        <w:t xml:space="preserve"> </w:t>
      </w:r>
      <w:r w:rsidR="007F6B5F">
        <w:t xml:space="preserve">staff training and </w:t>
      </w:r>
      <w:r w:rsidR="006E357F" w:rsidRPr="006E357F">
        <w:t>IT upgrades,</w:t>
      </w:r>
      <w:r w:rsidR="00240942">
        <w:t xml:space="preserve"> which can be</w:t>
      </w:r>
      <w:r w:rsidR="006E357F" w:rsidRPr="006E357F">
        <w:t xml:space="preserve"> especially </w:t>
      </w:r>
      <w:r w:rsidR="00240942">
        <w:t xml:space="preserve">difficult </w:t>
      </w:r>
      <w:r w:rsidR="006E357F" w:rsidRPr="006E357F">
        <w:t>for weak tax administrations</w:t>
      </w:r>
      <w:r w:rsidR="006E357F" w:rsidRPr="006E357F">
        <w:t xml:space="preserve"> </w:t>
      </w:r>
      <w:r w:rsidR="00F84C3A" w:rsidRPr="00F84C3A">
        <w:t>(Bellon et al., 2020, p. 5).</w:t>
      </w:r>
    </w:p>
    <w:p w14:paraId="4405E7A5" w14:textId="3235CAC2" w:rsidR="00C32F21" w:rsidRDefault="00C32F21" w:rsidP="00FB5CB1">
      <w:pPr>
        <w:spacing w:line="240" w:lineRule="auto"/>
        <w:ind w:firstLine="504"/>
      </w:pPr>
      <w:r w:rsidRPr="00C32F21">
        <w:t>Prior studies find largely positive fiscal impacts of e-invoicing reforms. Reported earnings or assessed tax rose significantly in Brazil (22%), Ecuador (18–25%), and Mexico and Argentina (6–11%) (</w:t>
      </w:r>
      <w:proofErr w:type="spellStart"/>
      <w:r w:rsidRPr="00C32F21">
        <w:t>Naritomi</w:t>
      </w:r>
      <w:proofErr w:type="spellEnd"/>
      <w:r w:rsidRPr="00C32F21">
        <w:t xml:space="preserve">, 2015; Ramírez et al., 2017; Fuentes et al., 2016; Artana and </w:t>
      </w:r>
      <w:proofErr w:type="spellStart"/>
      <w:r w:rsidRPr="00C32F21">
        <w:t>Templado</w:t>
      </w:r>
      <w:proofErr w:type="spellEnd"/>
      <w:r w:rsidRPr="00C32F21">
        <w:t>, 2017). Uruguay saw a smaller 3.7% gain in tax payments (</w:t>
      </w:r>
      <w:proofErr w:type="spellStart"/>
      <w:r w:rsidRPr="00C32F21">
        <w:t>Bergolo</w:t>
      </w:r>
      <w:proofErr w:type="spellEnd"/>
      <w:r w:rsidRPr="00C32F21">
        <w:t xml:space="preserve"> et al., 2017). In contrast, China’s early gains later faded (Fan et al., 2018, cited in Bellon et al., 2020). These results suggest that well-implemented e-invoicing can raise revenue, particularly where tax evasion is common and administrative enforcement is weak. However, these studies should be interpreted cautiously: none applied modern </w:t>
      </w:r>
      <w:r w:rsidR="00DF4034">
        <w:t>difference-in-differences (</w:t>
      </w:r>
      <w:r w:rsidRPr="00C32F21">
        <w:t>DiD</w:t>
      </w:r>
      <w:r w:rsidR="00DF4034">
        <w:t>)</w:t>
      </w:r>
      <w:r w:rsidRPr="00C32F21">
        <w:t xml:space="preserve"> methods to measure causality, and some may have weighted treatment effects inaccurately.</w:t>
      </w:r>
    </w:p>
    <w:p w14:paraId="21BD49CC" w14:textId="31DA35C0" w:rsidR="00B64699" w:rsidRDefault="000A1451" w:rsidP="00FB5CB1">
      <w:pPr>
        <w:spacing w:line="240" w:lineRule="auto"/>
        <w:ind w:firstLine="504"/>
      </w:pPr>
      <w:r>
        <w:t>Firm effects are</w:t>
      </w:r>
      <w:r w:rsidR="00577625">
        <w:t xml:space="preserve"> even</w:t>
      </w:r>
      <w:r>
        <w:t xml:space="preserve"> </w:t>
      </w:r>
      <w:r w:rsidR="00577625">
        <w:t>more</w:t>
      </w:r>
      <w:r>
        <w:t xml:space="preserve"> heterogeneous.</w:t>
      </w:r>
      <w:r w:rsidR="008B4215">
        <w:t xml:space="preserve"> Peru</w:t>
      </w:r>
      <w:r w:rsidR="00443D7C">
        <w:t xml:space="preserve"> saw</w:t>
      </w:r>
      <w:r w:rsidR="00151F57">
        <w:t xml:space="preserve"> </w:t>
      </w:r>
      <w:r w:rsidR="008B4215">
        <w:t>7</w:t>
      </w:r>
      <w:r w:rsidR="00B13191">
        <w:t>–</w:t>
      </w:r>
      <w:r w:rsidR="008B4215">
        <w:t>12% increase</w:t>
      </w:r>
      <w:r w:rsidR="00E6033F">
        <w:t>s</w:t>
      </w:r>
      <w:r w:rsidR="008B4215">
        <w:t xml:space="preserve"> in reported </w:t>
      </w:r>
      <w:r w:rsidR="00480778">
        <w:t>value-added tax (</w:t>
      </w:r>
      <w:r w:rsidR="008B4215">
        <w:t>VAT</w:t>
      </w:r>
      <w:r w:rsidR="00480778">
        <w:t xml:space="preserve">) </w:t>
      </w:r>
      <w:r w:rsidR="008B4215">
        <w:t xml:space="preserve">in the first year </w:t>
      </w:r>
      <w:r w:rsidR="00443D7C">
        <w:t xml:space="preserve">of </w:t>
      </w:r>
      <w:r w:rsidR="00A509F2">
        <w:t>its</w:t>
      </w:r>
      <w:r w:rsidR="00443D7C">
        <w:t xml:space="preserve"> mandatory e-invoicing rollout</w:t>
      </w:r>
      <w:r w:rsidR="00C9099B">
        <w:t>, and t</w:t>
      </w:r>
      <w:r w:rsidR="008B4215">
        <w:t>hese effects were strongest among small firms and in low-compliance sectors like retail and construction.</w:t>
      </w:r>
      <w:r w:rsidR="00443D7C">
        <w:t xml:space="preserve"> However, </w:t>
      </w:r>
      <w:r w:rsidR="00FB5CB1">
        <w:t xml:space="preserve">firms in these sectors also </w:t>
      </w:r>
      <w:r w:rsidR="00A509F2">
        <w:t>experienced</w:t>
      </w:r>
      <w:r w:rsidR="00FB5CB1">
        <w:t xml:space="preserve"> temporary declines in </w:t>
      </w:r>
      <w:r w:rsidR="00FB5CB1">
        <w:lastRenderedPageBreak/>
        <w:t xml:space="preserve">survival rates as increased scrutiny led to firm exits </w:t>
      </w:r>
      <w:r w:rsidR="00FB5CB1">
        <w:t>(Bellon et al. 2020, p. 2-3)</w:t>
      </w:r>
      <w:r w:rsidR="00FB5CB1">
        <w:t xml:space="preserve">. </w:t>
      </w:r>
      <w:r w:rsidR="00443D7C">
        <w:t>Small and medium firms may face steep adjustment costs and require support, underscoring the importance of gradual rollout (Review on pros and cons).</w:t>
      </w:r>
    </w:p>
    <w:p w14:paraId="2331A35A" w14:textId="5D34A3F3" w:rsidR="00003C3C" w:rsidRPr="00720CDF" w:rsidRDefault="00720CDF" w:rsidP="00AB7A30">
      <w:pPr>
        <w:spacing w:line="240" w:lineRule="auto"/>
        <w:ind w:firstLine="504"/>
        <w:rPr>
          <w:b/>
        </w:rPr>
      </w:pPr>
      <w:r>
        <w:t xml:space="preserve">Existing literature shows that technology and human enforcement are complementary. </w:t>
      </w:r>
      <w:r w:rsidR="00FB0E75">
        <w:t xml:space="preserve">Many empirical studies link increases in tax revenue to combinations of digital reforms </w:t>
      </w:r>
      <w:r w:rsidR="00B56052">
        <w:t xml:space="preserve">with staffing increases and performance incentives </w:t>
      </w:r>
      <w:r w:rsidR="00B56052" w:rsidRPr="00B56052">
        <w:t>(Basri et al., 2017; Khan et al., 2015, 2018; cited in Okunogbe and Tourek, 2024).</w:t>
      </w:r>
      <w:r w:rsidR="00B56052">
        <w:t xml:space="preserve"> </w:t>
      </w:r>
      <w:r w:rsidR="00D05F04">
        <w:t>D</w:t>
      </w:r>
      <w:r w:rsidR="001362A8">
        <w:t xml:space="preserve">igital systems reduce time spent on routine tasks, allowing tax authorities to focus limited resources on audits and investigations </w:t>
      </w:r>
      <w:r w:rsidR="001362A8" w:rsidRPr="00720CDF">
        <w:t>(Okunogbe and Tourek, 2024, p. 84).</w:t>
      </w:r>
      <w:r w:rsidR="001362A8">
        <w:t xml:space="preserve"> </w:t>
      </w:r>
      <w:r w:rsidR="006B4149">
        <w:t xml:space="preserve">El Salvador’s rollout attempts to capitalize on technological and human </w:t>
      </w:r>
      <w:r w:rsidR="007D7348">
        <w:t>complementarities</w:t>
      </w:r>
      <w:r w:rsidR="006B4149">
        <w:t xml:space="preserve"> through the </w:t>
      </w:r>
      <w:r w:rsidR="00B64699">
        <w:t>creation</w:t>
      </w:r>
      <w:r w:rsidR="006B4149">
        <w:t xml:space="preserve"> of e-invoicing help centers.</w:t>
      </w:r>
    </w:p>
    <w:p w14:paraId="4D266477" w14:textId="34867807" w:rsidR="00DD6587" w:rsidRDefault="00DD6587" w:rsidP="00AB7A30">
      <w:pPr>
        <w:spacing w:line="240" w:lineRule="auto"/>
        <w:ind w:firstLine="360"/>
      </w:pPr>
      <w:r>
        <w:t>El Salvador is a promising case study. VAT account</w:t>
      </w:r>
      <w:r w:rsidR="00E33EDC">
        <w:t>s</w:t>
      </w:r>
      <w:r w:rsidR="00AE50EF">
        <w:t xml:space="preserve"> </w:t>
      </w:r>
      <w:r>
        <w:t xml:space="preserve">for 38% of public revenue, </w:t>
      </w:r>
      <w:r w:rsidR="00E33EDC">
        <w:t xml:space="preserve">yet </w:t>
      </w:r>
      <w:r>
        <w:t xml:space="preserve">the tax base remains </w:t>
      </w:r>
      <w:r w:rsidR="00DA1611">
        <w:t>narrow</w:t>
      </w:r>
      <w:r>
        <w:t xml:space="preserve"> </w:t>
      </w:r>
      <w:r w:rsidR="00DC1C46">
        <w:t>as two-thirds of the workforce operates informally.</w:t>
      </w:r>
      <w:r>
        <w:t xml:space="preserve"> </w:t>
      </w:r>
      <w:r w:rsidR="00084BD1">
        <w:t>The</w:t>
      </w:r>
      <w:r>
        <w:t xml:space="preserve"> 2023 World Bank Enterprise Survey </w:t>
      </w:r>
      <w:r w:rsidR="00084BD1">
        <w:t>shows</w:t>
      </w:r>
      <w:r>
        <w:t xml:space="preserve"> 80.3% </w:t>
      </w:r>
      <w:r w:rsidR="005A1A16">
        <w:t xml:space="preserve">of formal firms </w:t>
      </w:r>
      <w:r w:rsidR="00554CB3">
        <w:t xml:space="preserve">already </w:t>
      </w:r>
      <w:r w:rsidR="005A1A16">
        <w:t>pay</w:t>
      </w:r>
      <w:r>
        <w:t xml:space="preserve"> taxes electronically, </w:t>
      </w:r>
      <w:r w:rsidR="00C7500A">
        <w:t xml:space="preserve">yet internet access remains limited (68%). </w:t>
      </w:r>
      <w:r w:rsidR="00FE377A">
        <w:t>While</w:t>
      </w:r>
      <w:r>
        <w:t xml:space="preserve"> over 70% of firms </w:t>
      </w:r>
      <w:r w:rsidR="00C04078">
        <w:t>report</w:t>
      </w:r>
      <w:r>
        <w:t xml:space="preserve"> the tax process as </w:t>
      </w:r>
      <w:r w:rsidR="00C04078">
        <w:t>overly</w:t>
      </w:r>
      <w:r>
        <w:t xml:space="preserve"> complex, only 10% cite tax administration as a major</w:t>
      </w:r>
      <w:r w:rsidR="00CE60B3">
        <w:t xml:space="preserve"> obstacle</w:t>
      </w:r>
      <w:r>
        <w:t xml:space="preserve">, suggesting </w:t>
      </w:r>
      <w:r w:rsidR="00CE60B3">
        <w:t>openness to digital reforms.</w:t>
      </w:r>
    </w:p>
    <w:p w14:paraId="09BD4000" w14:textId="66A6B254" w:rsidR="00DD6587" w:rsidRDefault="00C347FF" w:rsidP="00C347FF">
      <w:pPr>
        <w:spacing w:line="240" w:lineRule="auto"/>
        <w:ind w:firstLine="360"/>
      </w:pPr>
      <w:r w:rsidRPr="00C347FF">
        <w:t>This paper provides the first firm-level, causal analysis of e-invoicing in El Salvador. To date, no published studies have evaluated this reform in the Salvadoran context, despite its ambitious national rollout. I</w:t>
      </w:r>
      <w:r w:rsidR="00EB2F6F">
        <w:t xml:space="preserve"> use</w:t>
      </w:r>
      <w:r w:rsidRPr="00C347FF">
        <w:t xml:space="preserve"> the policy’s staggered implementation across ten treatment cohorts and apply modern </w:t>
      </w:r>
      <w:r w:rsidR="00DF4034">
        <w:t>DiD</w:t>
      </w:r>
      <w:r w:rsidRPr="00C347FF">
        <w:t xml:space="preserve"> methods to measure its impact on two outcomes: log reported VAT revenue and the probability that a firm remits VAT in a given month. While previous studies often rely on two-way fixed effects</w:t>
      </w:r>
      <w:r w:rsidR="00525D0C">
        <w:t xml:space="preserve"> (TWFE)</w:t>
      </w:r>
      <w:r w:rsidRPr="00C347FF">
        <w:t>, I use the Callaway and Sant’Anna (2021) estimator, which produces unbiased estimates in staggered rollout settings by avoiding negative weighting and cohort contamination. These results contribute to a growing literature on tax digitalization in low-capacity settings and offer insight for policymakers considering similar</w:t>
      </w:r>
      <w:r w:rsidR="00796729">
        <w:t xml:space="preserve"> reforms</w:t>
      </w:r>
      <w:r w:rsidRPr="00C347FF">
        <w:t>.</w:t>
      </w:r>
    </w:p>
    <w:p w14:paraId="7FF32514" w14:textId="77777777" w:rsidR="00DD6587" w:rsidRDefault="00DD6587" w:rsidP="00DD6587">
      <w:pPr>
        <w:spacing w:line="240" w:lineRule="auto"/>
      </w:pPr>
    </w:p>
    <w:p w14:paraId="649F6AB7" w14:textId="77777777" w:rsidR="00DD6587" w:rsidRDefault="00DD6587" w:rsidP="00DD6587">
      <w:pPr>
        <w:spacing w:line="240" w:lineRule="auto"/>
      </w:pPr>
    </w:p>
    <w:p w14:paraId="7EECAF6B" w14:textId="0E012C17" w:rsidR="00820192" w:rsidRDefault="00820192" w:rsidP="008332B6">
      <w:pPr>
        <w:pStyle w:val="Heading2"/>
        <w:numPr>
          <w:ilvl w:val="0"/>
          <w:numId w:val="9"/>
        </w:numPr>
        <w:spacing w:line="240" w:lineRule="auto"/>
      </w:pPr>
      <w:r>
        <w:t>Context</w:t>
      </w:r>
      <w:r w:rsidRPr="0022295A">
        <w:t>:</w:t>
      </w:r>
    </w:p>
    <w:p w14:paraId="1B0B2BB4" w14:textId="77777777" w:rsidR="00CE6222" w:rsidRDefault="00CE6222" w:rsidP="00F34576">
      <w:pPr>
        <w:pStyle w:val="Heading3"/>
        <w:spacing w:line="240" w:lineRule="auto"/>
        <w:ind w:firstLine="504"/>
      </w:pPr>
    </w:p>
    <w:p w14:paraId="28A1AFC3" w14:textId="284931E0" w:rsidR="0022295A" w:rsidRPr="00820192" w:rsidRDefault="00820192" w:rsidP="00F34576">
      <w:pPr>
        <w:pStyle w:val="Heading3"/>
        <w:spacing w:line="240" w:lineRule="auto"/>
        <w:ind w:firstLine="504"/>
      </w:pPr>
      <w:r>
        <w:t>A. Historical Context</w:t>
      </w:r>
      <w:r w:rsidRPr="00820192">
        <w:t>:</w:t>
      </w:r>
    </w:p>
    <w:p w14:paraId="18A552D6" w14:textId="5615ADDA" w:rsidR="00C0594B" w:rsidRDefault="00C0594B" w:rsidP="00F34576">
      <w:pPr>
        <w:spacing w:line="240" w:lineRule="auto"/>
        <w:ind w:firstLine="504"/>
      </w:pPr>
      <w:r>
        <w:t xml:space="preserve">After </w:t>
      </w:r>
      <w:r w:rsidR="00EA44AB">
        <w:t>the Salvadoran C</w:t>
      </w:r>
      <w:r>
        <w:t xml:space="preserve">ivil </w:t>
      </w:r>
      <w:r w:rsidR="00EA44AB">
        <w:t>W</w:t>
      </w:r>
      <w:r>
        <w:t xml:space="preserve">ar ended in 1992, </w:t>
      </w:r>
      <w:r w:rsidR="00B60688">
        <w:t xml:space="preserve">the country suffered </w:t>
      </w:r>
      <w:r>
        <w:t xml:space="preserve">decades of increasing poverty and gang violence </w:t>
      </w:r>
      <w:r w:rsidR="00EC4FE4">
        <w:t>which preceded</w:t>
      </w:r>
      <w:r>
        <w:t xml:space="preserve"> the election of President Nayib Bukele in 2019, who campaigned as a “non-party” candidate promising to end corruption and modernize the state. His decisive COVID-19 response — declaring repeated states of </w:t>
      </w:r>
      <w:r w:rsidR="000111AB">
        <w:t>emergency</w:t>
      </w:r>
      <w:r>
        <w:t xml:space="preserve"> and allocating emergency funds for new hospitals — paved the way for virtually unopposed one-party rule. Within months, the legislative majority replaced Supreme Court </w:t>
      </w:r>
      <w:r>
        <w:lastRenderedPageBreak/>
        <w:t>judges and the attorney general with Bukele loyalists, eliminating any judicial check on his decrees and even permitting him to seek re-election past the constitutional term limit.</w:t>
      </w:r>
    </w:p>
    <w:p w14:paraId="269C5D75" w14:textId="1E205ADD" w:rsidR="0022295A" w:rsidRDefault="003C7B66" w:rsidP="00F34576">
      <w:pPr>
        <w:spacing w:line="240" w:lineRule="auto"/>
        <w:ind w:firstLine="504"/>
      </w:pPr>
      <w:r>
        <w:t>Under Bukele</w:t>
      </w:r>
      <w:r w:rsidR="00461142">
        <w:t>’s administration</w:t>
      </w:r>
      <w:r>
        <w:t>, public debt has soared to more than USD 30 billion</w:t>
      </w:r>
      <w:r w:rsidR="000106CF">
        <w:t>, or</w:t>
      </w:r>
      <w:r>
        <w:t xml:space="preserve"> 8</w:t>
      </w:r>
      <w:r w:rsidR="00E64C59">
        <w:t>7.6</w:t>
      </w:r>
      <w:r>
        <w:t>% of the country’s gross domestic product</w:t>
      </w:r>
      <w:r w:rsidR="00E64C59">
        <w:t xml:space="preserve"> (GDP) — much higher than </w:t>
      </w:r>
      <w:r w:rsidR="00F36F3A">
        <w:t>in</w:t>
      </w:r>
      <w:r w:rsidR="00E64C59">
        <w:t xml:space="preserve"> neighbor</w:t>
      </w:r>
      <w:r w:rsidR="00F36F3A">
        <w:t>ing countries</w:t>
      </w:r>
      <w:r>
        <w:t xml:space="preserve">. </w:t>
      </w:r>
      <w:r w:rsidR="00C0594B">
        <w:t>To fund his ambitious infrastructure agenda (e.g., high-speed rail and a new international airport), inherited anti-poverty programs, and sizable COVID-19 relief, Bukele has pursued high-profile technological reforms. One such initiative — the sale of Bitcoin-denominated bonds — failed; another, which this study examines, is the tax authority’s rollout of a mandatory e-invoicing program.</w:t>
      </w:r>
    </w:p>
    <w:p w14:paraId="72EC3325" w14:textId="77777777" w:rsidR="003F6F66" w:rsidRDefault="003F6F66" w:rsidP="00F34576">
      <w:pPr>
        <w:spacing w:line="240" w:lineRule="auto"/>
        <w:ind w:firstLine="504"/>
      </w:pPr>
    </w:p>
    <w:p w14:paraId="12520828" w14:textId="77777777" w:rsidR="0022295A" w:rsidRDefault="0022295A" w:rsidP="003F6F66">
      <w:pPr>
        <w:spacing w:line="240" w:lineRule="auto"/>
      </w:pPr>
    </w:p>
    <w:p w14:paraId="4FFD082D" w14:textId="60E7B50B" w:rsidR="00CE7D81" w:rsidRDefault="00820192" w:rsidP="00F34576">
      <w:pPr>
        <w:pStyle w:val="Heading3"/>
        <w:spacing w:line="240" w:lineRule="auto"/>
        <w:ind w:firstLine="504"/>
      </w:pPr>
      <w:r>
        <w:t xml:space="preserve">B. </w:t>
      </w:r>
      <w:r w:rsidR="0022295A">
        <w:t>E-invoicing:</w:t>
      </w:r>
    </w:p>
    <w:p w14:paraId="02692733" w14:textId="6DC52DE7" w:rsidR="00622611" w:rsidRDefault="00247134" w:rsidP="00622611">
      <w:pPr>
        <w:spacing w:line="240" w:lineRule="auto"/>
        <w:ind w:firstLine="504"/>
      </w:pPr>
      <w:r>
        <w:t>El Salvador’s</w:t>
      </w:r>
      <w:r w:rsidR="00B05368" w:rsidRPr="00B05368">
        <w:t xml:space="preserve"> Ministry of Finance identified e-invoicing as a “high impact” project</w:t>
      </w:r>
      <w:r w:rsidR="00560A57">
        <w:t xml:space="preserve">, </w:t>
      </w:r>
      <w:r w:rsidR="002F5D92">
        <w:t>central</w:t>
      </w:r>
      <w:r w:rsidR="00B05368" w:rsidRPr="00B05368">
        <w:t xml:space="preserve"> </w:t>
      </w:r>
      <w:r w:rsidR="002F5D92">
        <w:t xml:space="preserve">to </w:t>
      </w:r>
      <w:r w:rsidR="00B05368" w:rsidRPr="00B05368">
        <w:t xml:space="preserve">modernizing state administration and </w:t>
      </w:r>
      <w:r w:rsidR="002F5D92">
        <w:t>improving</w:t>
      </w:r>
      <w:r w:rsidR="00B05368" w:rsidRPr="00B05368">
        <w:t xml:space="preserve"> revenue</w:t>
      </w:r>
      <w:r w:rsidR="002F5D92">
        <w:t xml:space="preserve"> collection</w:t>
      </w:r>
      <w:r w:rsidR="00B05368" w:rsidRPr="00B05368">
        <w:t xml:space="preserve">. </w:t>
      </w:r>
      <w:r w:rsidR="004B70B8">
        <w:t xml:space="preserve">Prior to </w:t>
      </w:r>
      <w:r w:rsidR="003C2465">
        <w:t>its rollout</w:t>
      </w:r>
      <w:r w:rsidR="004B70B8">
        <w:t>, t</w:t>
      </w:r>
      <w:r w:rsidR="00B05368" w:rsidRPr="00B05368">
        <w:t>ax policy had not been overhauled since the 1990s</w:t>
      </w:r>
      <w:r w:rsidR="00315F25">
        <w:t>. The standard</w:t>
      </w:r>
      <w:r w:rsidR="00B05368" w:rsidRPr="00B05368">
        <w:t xml:space="preserve"> 13% </w:t>
      </w:r>
      <w:r w:rsidR="00385797">
        <w:t xml:space="preserve">VAT </w:t>
      </w:r>
      <w:r w:rsidR="00FA5080">
        <w:t>generates</w:t>
      </w:r>
      <w:r w:rsidR="00B05368" w:rsidRPr="00B05368">
        <w:t xml:space="preserve"> 38% of </w:t>
      </w:r>
      <w:r w:rsidR="00466912">
        <w:t xml:space="preserve">public </w:t>
      </w:r>
      <w:r w:rsidR="00B05368" w:rsidRPr="00B05368">
        <w:t xml:space="preserve">revenue, yet </w:t>
      </w:r>
      <w:r w:rsidR="003C2465">
        <w:t>approximately</w:t>
      </w:r>
      <w:r w:rsidR="00B05368" w:rsidRPr="00B05368">
        <w:t xml:space="preserve"> 70% of </w:t>
      </w:r>
      <w:r w:rsidR="00DC0FE6">
        <w:t xml:space="preserve">the workforce is </w:t>
      </w:r>
      <w:r w:rsidR="00B05368" w:rsidRPr="00B05368">
        <w:t>informal.</w:t>
      </w:r>
      <w:r w:rsidR="0048210A">
        <w:t xml:space="preserve"> </w:t>
      </w:r>
      <w:r w:rsidR="00622611">
        <w:t>About a quarter of El Salvador’s gross national product is made up by remittances, or money sent home from abroad, which supports household incomes</w:t>
      </w:r>
      <w:r w:rsidR="00295D99">
        <w:t xml:space="preserve"> but is difficult to </w:t>
      </w:r>
      <w:r w:rsidR="00973C13">
        <w:t xml:space="preserve">monitor and </w:t>
      </w:r>
      <w:r w:rsidR="00295D99">
        <w:t>tax.</w:t>
      </w:r>
    </w:p>
    <w:p w14:paraId="1B41F464" w14:textId="72941CD2" w:rsidR="00AE2305" w:rsidRDefault="003432E2" w:rsidP="00622611">
      <w:pPr>
        <w:spacing w:line="240" w:lineRule="auto"/>
        <w:ind w:firstLine="504"/>
      </w:pPr>
      <w:r>
        <w:t>Like most</w:t>
      </w:r>
      <w:r w:rsidR="00223912">
        <w:t xml:space="preserve"> countries, El Salvador lev</w:t>
      </w:r>
      <w:r>
        <w:t>ies</w:t>
      </w:r>
      <w:r w:rsidR="00223912">
        <w:t xml:space="preserve"> VAT at each</w:t>
      </w:r>
      <w:r w:rsidR="00736221">
        <w:t xml:space="preserve"> stage of production and distribution. Producers pay VAT </w:t>
      </w:r>
      <w:r w:rsidR="008B5E3D">
        <w:t>on sales to</w:t>
      </w:r>
      <w:r w:rsidR="00736221">
        <w:t xml:space="preserve"> retailers, </w:t>
      </w:r>
      <w:r w:rsidR="000035E1">
        <w:t>who in turn apply the same rate to consumer sales</w:t>
      </w:r>
      <w:r w:rsidR="00DC4B68">
        <w:t xml:space="preserve">. </w:t>
      </w:r>
      <w:r w:rsidR="00435876">
        <w:t>Certain sectors</w:t>
      </w:r>
      <w:r w:rsidR="00B71999">
        <w:t>,</w:t>
      </w:r>
      <w:r w:rsidR="007135BE">
        <w:t xml:space="preserve"> s</w:t>
      </w:r>
      <w:r w:rsidR="00435876">
        <w:t>uch as</w:t>
      </w:r>
      <w:r w:rsidR="00736221">
        <w:t xml:space="preserve"> public, financial, and insurance services</w:t>
      </w:r>
      <w:r w:rsidR="00B71999">
        <w:t>,</w:t>
      </w:r>
      <w:r w:rsidR="007135BE">
        <w:t xml:space="preserve"> </w:t>
      </w:r>
      <w:r w:rsidR="00863819">
        <w:t xml:space="preserve">are </w:t>
      </w:r>
      <w:r w:rsidR="00736221">
        <w:t>exempt (PwC</w:t>
      </w:r>
      <w:r w:rsidR="00ED3DCE">
        <w:t xml:space="preserve"> </w:t>
      </w:r>
      <w:r w:rsidR="00A462B3">
        <w:t>s</w:t>
      </w:r>
      <w:r w:rsidR="00ED3DCE">
        <w:t>ource</w:t>
      </w:r>
      <w:r w:rsidR="00736221">
        <w:t xml:space="preserve">). </w:t>
      </w:r>
      <w:r w:rsidR="00435876">
        <w:t>By</w:t>
      </w:r>
      <w:r w:rsidR="00736221">
        <w:t xml:space="preserve"> contrast, U.S. states </w:t>
      </w:r>
      <w:r w:rsidR="006E0B7C">
        <w:t>typically</w:t>
      </w:r>
      <w:r w:rsidR="00736221">
        <w:t xml:space="preserve"> rely on a single-stage retail sales tax. </w:t>
      </w:r>
      <w:r w:rsidR="00FB7761">
        <w:t>While</w:t>
      </w:r>
      <w:r w:rsidR="00B05368">
        <w:t xml:space="preserve"> both </w:t>
      </w:r>
      <w:r w:rsidR="000E4138">
        <w:t xml:space="preserve">systems </w:t>
      </w:r>
      <w:r w:rsidR="00B05368">
        <w:t>can raise equivalent</w:t>
      </w:r>
      <w:r w:rsidR="00736221">
        <w:t xml:space="preserve"> revenue,</w:t>
      </w:r>
      <w:r w:rsidR="00B05368">
        <w:t xml:space="preserve"> </w:t>
      </w:r>
      <w:r w:rsidR="00736221">
        <w:t>VAT</w:t>
      </w:r>
      <w:r w:rsidR="00B05368">
        <w:t xml:space="preserve">’s invoicing trail </w:t>
      </w:r>
      <w:r w:rsidR="00736221">
        <w:t xml:space="preserve">and detailed reporting </w:t>
      </w:r>
      <w:r w:rsidR="00FD1B2C">
        <w:t>mechanisms enhance enforcement.</w:t>
      </w:r>
    </w:p>
    <w:p w14:paraId="4A40FD34" w14:textId="5F92F0E0" w:rsidR="00CE7D81" w:rsidRDefault="0049368F" w:rsidP="00F34576">
      <w:pPr>
        <w:spacing w:line="240" w:lineRule="auto"/>
        <w:ind w:firstLine="504"/>
      </w:pPr>
      <w:r>
        <w:t xml:space="preserve">By 2018, </w:t>
      </w:r>
      <w:r w:rsidR="008F55A4">
        <w:t>m</w:t>
      </w:r>
      <w:r w:rsidR="00034EA7">
        <w:t>ore</w:t>
      </w:r>
      <w:r w:rsidR="00CE7D81">
        <w:t xml:space="preserve"> than 50 countries</w:t>
      </w:r>
      <w:r w:rsidR="00123FD3">
        <w:t xml:space="preserve">, </w:t>
      </w:r>
      <w:r w:rsidR="00034EA7">
        <w:t>including ten in Latin America and the Caribbean</w:t>
      </w:r>
      <w:r w:rsidR="00123FD3">
        <w:t xml:space="preserve">, </w:t>
      </w:r>
      <w:r w:rsidR="00CE7D81">
        <w:t xml:space="preserve">had implemented </w:t>
      </w:r>
      <w:r w:rsidR="00034EA7">
        <w:t>e-invoicing</w:t>
      </w:r>
      <w:r w:rsidR="008D593A">
        <w:t xml:space="preserve"> </w:t>
      </w:r>
      <w:r w:rsidR="00CC04CE">
        <w:t xml:space="preserve">four years before El Salvador’s </w:t>
      </w:r>
      <w:r w:rsidR="000773E8">
        <w:t xml:space="preserve">initial reform </w:t>
      </w:r>
      <w:r w:rsidR="00CC04CE">
        <w:t>legislation</w:t>
      </w:r>
      <w:r w:rsidR="00646528">
        <w:t xml:space="preserve">. </w:t>
      </w:r>
      <w:r w:rsidR="00CE7D81">
        <w:t xml:space="preserve">Like El Salvador, </w:t>
      </w:r>
      <w:r w:rsidR="00197DEE">
        <w:t>Peru’s</w:t>
      </w:r>
      <w:r w:rsidR="00CE7D81">
        <w:t xml:space="preserve"> </w:t>
      </w:r>
      <w:r w:rsidR="00197DEE">
        <w:t xml:space="preserve">rollout </w:t>
      </w:r>
      <w:r w:rsidR="00CE7D81">
        <w:t xml:space="preserve">required </w:t>
      </w:r>
      <w:r w:rsidR="0061703A">
        <w:t xml:space="preserve">significant upgrades </w:t>
      </w:r>
      <w:r w:rsidR="00197DEE">
        <w:t xml:space="preserve">to </w:t>
      </w:r>
      <w:r w:rsidR="00CE7D81">
        <w:t xml:space="preserve">tax administration and IT capabilities. </w:t>
      </w:r>
      <w:r w:rsidR="009F5964">
        <w:t>I</w:t>
      </w:r>
      <w:r w:rsidR="00945F6F">
        <w:t>mplementation was gradual</w:t>
      </w:r>
      <w:r w:rsidR="00CE7D81">
        <w:t xml:space="preserve">, </w:t>
      </w:r>
      <w:r w:rsidR="000C0071">
        <w:t xml:space="preserve">beginning with </w:t>
      </w:r>
      <w:r w:rsidR="00CE7D81">
        <w:t>larger firms</w:t>
      </w:r>
      <w:r w:rsidR="009B5AC9">
        <w:t>,</w:t>
      </w:r>
      <w:r w:rsidR="000C0071">
        <w:t xml:space="preserve"> </w:t>
      </w:r>
      <w:r w:rsidR="00CE7D81">
        <w:t>while</w:t>
      </w:r>
      <w:r w:rsidR="00090CE1">
        <w:t xml:space="preserve"> </w:t>
      </w:r>
      <w:r w:rsidR="00CE7D81">
        <w:t xml:space="preserve">smaller firms </w:t>
      </w:r>
      <w:r w:rsidR="00144E88">
        <w:t xml:space="preserve">were given </w:t>
      </w:r>
      <w:r w:rsidR="00D15683">
        <w:t>additional</w:t>
      </w:r>
      <w:r w:rsidR="00CE7D81">
        <w:t xml:space="preserve"> time to</w:t>
      </w:r>
      <w:r w:rsidR="00D15683">
        <w:t xml:space="preserve"> comply</w:t>
      </w:r>
      <w:r w:rsidR="00CE7D81">
        <w:t>.</w:t>
      </w:r>
    </w:p>
    <w:p w14:paraId="44F4CA78" w14:textId="4C62000B" w:rsidR="00905CCE" w:rsidRDefault="0063760A" w:rsidP="00F34576">
      <w:pPr>
        <w:spacing w:line="240" w:lineRule="auto"/>
        <w:ind w:firstLine="504"/>
      </w:pPr>
      <w:r>
        <w:t xml:space="preserve">Prior to </w:t>
      </w:r>
      <w:r w:rsidR="003D2FB0">
        <w:t>El Salvador’s</w:t>
      </w:r>
      <w:r>
        <w:t xml:space="preserve"> reform, tax enforcement relied on paper-based invoicing and ex-post audits, with limited cross-checking and no real-time monitoring.</w:t>
      </w:r>
      <w:r w:rsidR="00390498">
        <w:t xml:space="preserve"> </w:t>
      </w:r>
      <w:r w:rsidR="00DD0D8B">
        <w:t xml:space="preserve">Tax and customs inspections were </w:t>
      </w:r>
      <w:r w:rsidR="00F0052D">
        <w:t xml:space="preserve">slow and </w:t>
      </w:r>
      <w:r w:rsidR="00DD0D8B">
        <w:t xml:space="preserve">paper-intensive, </w:t>
      </w:r>
      <w:r w:rsidR="00236A49">
        <w:t>reflecting</w:t>
      </w:r>
      <w:r w:rsidR="00DD0D8B">
        <w:t xml:space="preserve"> low administrative capacity. Mandatory e-invoicing</w:t>
      </w:r>
      <w:r w:rsidR="009344C4">
        <w:t xml:space="preserve"> </w:t>
      </w:r>
      <w:r w:rsidR="00FD49F4">
        <w:t>introduced</w:t>
      </w:r>
      <w:r w:rsidR="00DD0D8B">
        <w:t xml:space="preserve"> real-time monitoring of commercial transactions, </w:t>
      </w:r>
      <w:r w:rsidR="007F05AD">
        <w:t>aiming to</w:t>
      </w:r>
      <w:r w:rsidR="00DD0D8B">
        <w:t xml:space="preserve"> </w:t>
      </w:r>
      <w:r w:rsidR="00F12E48">
        <w:t>improve t</w:t>
      </w:r>
      <w:r w:rsidR="00DD0D8B">
        <w:t>ransparency and enforcement efficiency.</w:t>
      </w:r>
    </w:p>
    <w:p w14:paraId="5AE51CC6" w14:textId="557C6241" w:rsidR="003C11EB" w:rsidRDefault="000375F4" w:rsidP="004F5E32">
      <w:pPr>
        <w:spacing w:line="240" w:lineRule="auto"/>
        <w:ind w:firstLine="504"/>
      </w:pPr>
      <w:r w:rsidRPr="000375F4">
        <w:t xml:space="preserve">In 2019, El Salvador launched a voluntary e-invoicing pilot </w:t>
      </w:r>
      <w:r w:rsidR="006F3ABD">
        <w:t xml:space="preserve">with approximately </w:t>
      </w:r>
      <w:r w:rsidRPr="000375F4">
        <w:t xml:space="preserve">50 large VAT taxpayers, but the </w:t>
      </w:r>
      <w:r w:rsidR="006F77E0">
        <w:t>program</w:t>
      </w:r>
      <w:r w:rsidRPr="000375F4">
        <w:t xml:space="preserve"> was delayed by the COVID-19 pandemic (</w:t>
      </w:r>
      <w:proofErr w:type="spellStart"/>
      <w:r w:rsidRPr="000375F4">
        <w:t>VATCalc</w:t>
      </w:r>
      <w:proofErr w:type="spellEnd"/>
      <w:r w:rsidRPr="000375F4">
        <w:t>, EDICOM).</w:t>
      </w:r>
      <w:r>
        <w:t xml:space="preserve"> </w:t>
      </w:r>
      <w:r w:rsidR="00500D00">
        <w:t>I</w:t>
      </w:r>
      <w:r w:rsidR="003C11EB" w:rsidRPr="003C11EB">
        <w:t xml:space="preserve">n July 2023, </w:t>
      </w:r>
      <w:r w:rsidR="00042DE8">
        <w:t xml:space="preserve">the government </w:t>
      </w:r>
      <w:r w:rsidR="004B5C11">
        <w:t>mandat</w:t>
      </w:r>
      <w:r w:rsidR="001F7ED2">
        <w:t xml:space="preserve">ed </w:t>
      </w:r>
      <w:r w:rsidR="004B5C11">
        <w:t>e-invoicing for the first rollout group,</w:t>
      </w:r>
      <w:r w:rsidR="00A96716">
        <w:t xml:space="preserve"> </w:t>
      </w:r>
      <w:r w:rsidR="003C11EB" w:rsidRPr="003C11EB">
        <w:t>replac</w:t>
      </w:r>
      <w:r w:rsidR="00500D00">
        <w:t>ing</w:t>
      </w:r>
      <w:r w:rsidR="003C11EB" w:rsidRPr="003C11EB">
        <w:t xml:space="preserve"> paper invoices with fully electronic </w:t>
      </w:r>
      <w:r w:rsidR="00DD601E">
        <w:t>ones</w:t>
      </w:r>
      <w:r w:rsidR="003C11EB" w:rsidRPr="003C11EB">
        <w:t xml:space="preserve"> via the Finance Ministry’s </w:t>
      </w:r>
      <w:proofErr w:type="spellStart"/>
      <w:r w:rsidR="003C11EB" w:rsidRPr="003C11EB">
        <w:t>eFacturaSV</w:t>
      </w:r>
      <w:proofErr w:type="spellEnd"/>
      <w:r w:rsidR="0017201B">
        <w:t xml:space="preserve"> </w:t>
      </w:r>
      <w:r w:rsidR="0017201B">
        <w:lastRenderedPageBreak/>
        <w:t>system.</w:t>
      </w:r>
      <w:r w:rsidR="003C11EB" w:rsidRPr="003C11EB">
        <w:t xml:space="preserve"> Suppliers </w:t>
      </w:r>
      <w:r w:rsidR="0079312D">
        <w:t xml:space="preserve">generate invoices </w:t>
      </w:r>
      <w:r w:rsidR="00075AF3">
        <w:t xml:space="preserve">through </w:t>
      </w:r>
      <w:r w:rsidR="0079312D">
        <w:t xml:space="preserve">the Ministry’s web portal or approved accounting software, </w:t>
      </w:r>
      <w:r w:rsidR="00075AF3">
        <w:t xml:space="preserve">producing </w:t>
      </w:r>
      <w:r w:rsidR="0079312D">
        <w:t xml:space="preserve">a standardized, machine-readable file. </w:t>
      </w:r>
      <w:r w:rsidR="003C11EB" w:rsidRPr="003C11EB">
        <w:t xml:space="preserve">The platform </w:t>
      </w:r>
      <w:r w:rsidR="0079312D">
        <w:t xml:space="preserve">verifies </w:t>
      </w:r>
      <w:r w:rsidR="003C11EB" w:rsidRPr="003C11EB">
        <w:t xml:space="preserve">the </w:t>
      </w:r>
      <w:r w:rsidR="0079312D">
        <w:t>format</w:t>
      </w:r>
      <w:r w:rsidR="003C11EB" w:rsidRPr="003C11EB">
        <w:t>, credentials</w:t>
      </w:r>
      <w:r w:rsidR="0079312D">
        <w:t>,</w:t>
      </w:r>
      <w:r w:rsidR="003C11EB" w:rsidRPr="003C11EB">
        <w:t xml:space="preserve"> and VAT calculation</w:t>
      </w:r>
      <w:r w:rsidR="00AD2688">
        <w:t xml:space="preserve"> before issuing </w:t>
      </w:r>
      <w:r w:rsidR="003C11EB" w:rsidRPr="003C11EB">
        <w:t>an authorization.</w:t>
      </w:r>
      <w:r w:rsidR="0025013E">
        <w:t xml:space="preserve"> Once approved,</w:t>
      </w:r>
      <w:r w:rsidR="003C11EB" w:rsidRPr="003C11EB">
        <w:t xml:space="preserve"> </w:t>
      </w:r>
      <w:r w:rsidR="0025013E">
        <w:t>t</w:t>
      </w:r>
      <w:r w:rsidR="003C11EB" w:rsidRPr="003C11EB">
        <w:t xml:space="preserve">he supplier forwards </w:t>
      </w:r>
      <w:r w:rsidR="0025013E">
        <w:t>the invoice</w:t>
      </w:r>
      <w:r w:rsidR="003C11EB" w:rsidRPr="003C11EB">
        <w:t xml:space="preserve"> to the buyer</w:t>
      </w:r>
      <w:r w:rsidR="004F5E32">
        <w:t>.</w:t>
      </w:r>
      <w:r w:rsidR="00890837">
        <w:t xml:space="preserve"> T</w:t>
      </w:r>
      <w:r w:rsidR="00091AB8">
        <w:t>he</w:t>
      </w:r>
      <w:r w:rsidR="004F5E32">
        <w:t xml:space="preserve"> system is government-controlled and </w:t>
      </w:r>
      <w:r w:rsidR="0058553D">
        <w:t xml:space="preserve">operates </w:t>
      </w:r>
      <w:r w:rsidR="004F5E32">
        <w:t xml:space="preserve">in real time, </w:t>
      </w:r>
      <w:r w:rsidR="00890837">
        <w:t xml:space="preserve">so </w:t>
      </w:r>
      <w:r w:rsidR="004F5E32">
        <w:t>tax authorities can monitor compliance</w:t>
      </w:r>
      <w:r w:rsidR="00091AB8">
        <w:t xml:space="preserve"> in real time</w:t>
      </w:r>
      <w:r w:rsidR="004F5E32">
        <w:t xml:space="preserve">. </w:t>
      </w:r>
      <w:r w:rsidR="003C11EB" w:rsidRPr="003C11EB">
        <w:t>Unlike more decentralized Europe</w:t>
      </w:r>
      <w:r w:rsidR="00C94453">
        <w:t>an models</w:t>
      </w:r>
      <w:r w:rsidR="003C11EB" w:rsidRPr="003C11EB">
        <w:t xml:space="preserve">, El Salvador’s </w:t>
      </w:r>
      <w:r w:rsidR="00BE1DF2">
        <w:t>system</w:t>
      </w:r>
      <w:r w:rsidR="003C11EB" w:rsidRPr="003C11EB">
        <w:t xml:space="preserve"> is fully </w:t>
      </w:r>
      <w:r w:rsidR="004F5E32">
        <w:t>state</w:t>
      </w:r>
      <w:r w:rsidR="003C11EB" w:rsidRPr="003C11EB">
        <w:t xml:space="preserve">-mediated and archives every VAT invoice </w:t>
      </w:r>
      <w:r w:rsidR="004F5E32">
        <w:t>upon</w:t>
      </w:r>
      <w:r w:rsidR="003C11EB" w:rsidRPr="003C11EB">
        <w:t xml:space="preserve"> i</w:t>
      </w:r>
      <w:r w:rsidR="004F5E32">
        <w:t>ssuance</w:t>
      </w:r>
      <w:r w:rsidR="003C11EB" w:rsidRPr="003C11EB">
        <w:t>.</w:t>
      </w:r>
    </w:p>
    <w:p w14:paraId="42D1F294" w14:textId="3BE03F83" w:rsidR="00AE2305" w:rsidRDefault="008C4BBB" w:rsidP="00616BD4">
      <w:pPr>
        <w:spacing w:line="240" w:lineRule="auto"/>
        <w:ind w:firstLine="504"/>
      </w:pPr>
      <w:r>
        <w:t>Notifications began in</w:t>
      </w:r>
      <w:r w:rsidR="00AE2305">
        <w:t xml:space="preserve"> </w:t>
      </w:r>
      <w:r w:rsidR="00791C0E">
        <w:t>February</w:t>
      </w:r>
      <w:r w:rsidR="00AE2305">
        <w:t xml:space="preserve"> 2023</w:t>
      </w:r>
      <w:r w:rsidR="00B427D3">
        <w:t>,</w:t>
      </w:r>
      <w:r w:rsidR="00254F32">
        <w:t> five months before the initial mandate</w:t>
      </w:r>
      <w:r w:rsidR="00B427D3">
        <w:t>,</w:t>
      </w:r>
      <w:r w:rsidR="00254F32">
        <w:t xml:space="preserve"> </w:t>
      </w:r>
      <w:r>
        <w:t xml:space="preserve">and the ten-group rollout </w:t>
      </w:r>
      <w:r w:rsidR="00434EE6">
        <w:t>remains incomplete</w:t>
      </w:r>
      <w:r w:rsidR="00B427D3">
        <w:t xml:space="preserve"> at the time of writing</w:t>
      </w:r>
      <w:r>
        <w:t>.</w:t>
      </w:r>
      <w:r w:rsidR="00AE2305">
        <w:t xml:space="preserve"> Firms may opt</w:t>
      </w:r>
      <w:r w:rsidR="00FB76BD">
        <w:t>-</w:t>
      </w:r>
      <w:r w:rsidR="00AE2305">
        <w:t xml:space="preserve">in early but must comply by their assigned date. </w:t>
      </w:r>
      <w:r w:rsidR="00616BD4">
        <w:t xml:space="preserve">Of a USD 3 million loan from the Inter-American Development Bank to modernize tax administration, USD 170,000 supported key e-invoicing components in 2023-2024, including a mobile app, website, and six support centers that trained over 50,000 users. </w:t>
      </w:r>
      <w:r w:rsidR="00AE2305">
        <w:t>According to the Ministry of Finance,</w:t>
      </w:r>
      <w:r w:rsidR="00201E94">
        <w:t xml:space="preserve"> the </w:t>
      </w:r>
      <w:r w:rsidR="00D70800">
        <w:t>reform</w:t>
      </w:r>
      <w:r w:rsidR="00AE2305">
        <w:t xml:space="preserve"> </w:t>
      </w:r>
      <w:r w:rsidR="00201E94">
        <w:t>contributed to a USD 2 billion increase in</w:t>
      </w:r>
      <w:r w:rsidR="00AE2305">
        <w:t xml:space="preserve"> VAT revenue </w:t>
      </w:r>
      <w:r w:rsidR="00FC0D2E">
        <w:t>from</w:t>
      </w:r>
      <w:r w:rsidR="00AE2305">
        <w:t xml:space="preserve"> 2022 and 2023, reduced evasion, and shortened service times</w:t>
      </w:r>
      <w:r w:rsidR="00FF5EC7">
        <w:t>. By</w:t>
      </w:r>
      <w:r w:rsidR="00AE2305">
        <w:t xml:space="preserve"> September 2024</w:t>
      </w:r>
      <w:r w:rsidR="0061501B">
        <w:t>,</w:t>
      </w:r>
      <w:r w:rsidR="00AE2305">
        <w:t xml:space="preserve"> it also </w:t>
      </w:r>
      <w:r w:rsidR="0061501B">
        <w:t xml:space="preserve">reportedly </w:t>
      </w:r>
      <w:r w:rsidR="00AE2305">
        <w:t xml:space="preserve">saved 29,157 trees and 208.6 million liters </w:t>
      </w:r>
      <w:r w:rsidR="0063376C">
        <w:t xml:space="preserve">of water </w:t>
      </w:r>
      <w:r w:rsidR="00AE2305">
        <w:t>(IADB 2024).</w:t>
      </w:r>
    </w:p>
    <w:p w14:paraId="48D5C59C" w14:textId="1427DF9D" w:rsidR="00CA2DCD" w:rsidRDefault="00AE2305" w:rsidP="00CA2DCD">
      <w:pPr>
        <w:spacing w:line="240" w:lineRule="auto"/>
        <w:ind w:firstLine="504"/>
      </w:pPr>
      <w:r>
        <w:t>This ten-</w:t>
      </w:r>
      <w:r w:rsidR="00077C0B">
        <w:t>group</w:t>
      </w:r>
      <w:r>
        <w:t xml:space="preserve"> rollout </w:t>
      </w:r>
      <w:r w:rsidR="004D3B4F">
        <w:t>allowed</w:t>
      </w:r>
      <w:r>
        <w:t xml:space="preserve"> tax authorit</w:t>
      </w:r>
      <w:r w:rsidR="004D3B4F">
        <w:t xml:space="preserve">ies to </w:t>
      </w:r>
      <w:r>
        <w:t xml:space="preserve">onboard firms in manageable batches, test </w:t>
      </w:r>
      <w:r w:rsidR="004D3B4F">
        <w:t xml:space="preserve">the </w:t>
      </w:r>
      <w:proofErr w:type="spellStart"/>
      <w:r>
        <w:t>eFacturaSV</w:t>
      </w:r>
      <w:proofErr w:type="spellEnd"/>
      <w:r>
        <w:t xml:space="preserve"> </w:t>
      </w:r>
      <w:r w:rsidR="004D3B4F">
        <w:t>system and support centers</w:t>
      </w:r>
      <w:r>
        <w:t xml:space="preserve">, and tailor training </w:t>
      </w:r>
      <w:r w:rsidR="004D3B4F">
        <w:t>for</w:t>
      </w:r>
      <w:r>
        <w:t xml:space="preserve"> each wave. Phasing </w:t>
      </w:r>
      <w:r w:rsidR="00737A28">
        <w:t>by cohort size</w:t>
      </w:r>
      <w:r w:rsidR="003D2ECF">
        <w:t xml:space="preserve"> </w:t>
      </w:r>
      <w:r>
        <w:t>concentrated resources,</w:t>
      </w:r>
      <w:r w:rsidR="00737A28">
        <w:t xml:space="preserve"> prevented system overload, and eased the transition for small firms unfamiliar with e-invoicing — mirroring approaches </w:t>
      </w:r>
      <w:r>
        <w:t>in other Latin American countries</w:t>
      </w:r>
      <w:r w:rsidR="00737A28">
        <w:t>, such as Chile</w:t>
      </w:r>
      <w:r w:rsidR="006B6CA6">
        <w:t xml:space="preserve">, </w:t>
      </w:r>
      <w:r w:rsidR="00737A28">
        <w:t>Peru</w:t>
      </w:r>
      <w:r w:rsidR="006B6CA6">
        <w:t>, and Mexico</w:t>
      </w:r>
      <w:r>
        <w:t>.</w:t>
      </w:r>
    </w:p>
    <w:p w14:paraId="57F90772" w14:textId="74676B21" w:rsidR="00253227" w:rsidRDefault="00253227" w:rsidP="00F34576">
      <w:pPr>
        <w:spacing w:line="240" w:lineRule="auto"/>
        <w:ind w:firstLine="504"/>
      </w:pPr>
      <w:r w:rsidRPr="00253227">
        <w:t xml:space="preserve">Alongside the e-invoicing mandate, El Salvador </w:t>
      </w:r>
      <w:r w:rsidR="00CA2DCD">
        <w:t xml:space="preserve">adopted additional </w:t>
      </w:r>
      <w:r w:rsidRPr="00253227">
        <w:t xml:space="preserve">tax measures that may </w:t>
      </w:r>
      <w:r w:rsidR="00CA2DCD">
        <w:t xml:space="preserve">influence </w:t>
      </w:r>
      <w:r w:rsidRPr="00253227">
        <w:t xml:space="preserve">VAT outcomes. As of January 2025, e-tickets became mandatory for business-to-consumer transactions, expanding digital traceability in retail (IADB, 2023). Unlike e-invoices, which </w:t>
      </w:r>
      <w:r w:rsidR="005C32CA">
        <w:t>govern</w:t>
      </w:r>
      <w:r w:rsidRPr="00253227">
        <w:t xml:space="preserve"> business-to-business transactions and require stricter documentation, e-tickets are simplified digital receipts. The </w:t>
      </w:r>
      <w:r w:rsidR="003D398E">
        <w:t>termination</w:t>
      </w:r>
      <w:r w:rsidRPr="00253227">
        <w:t xml:space="preserve"> of tax amnesty in late 2024 may also signal a </w:t>
      </w:r>
      <w:r w:rsidR="009E7D2B">
        <w:t xml:space="preserve">broader </w:t>
      </w:r>
      <w:r w:rsidRPr="00253227">
        <w:t xml:space="preserve">shift toward stricter enforcement (Auxadi, 2024). While this study isolates the </w:t>
      </w:r>
      <w:r w:rsidR="005B733D">
        <w:t>effects</w:t>
      </w:r>
      <w:r w:rsidRPr="00253227">
        <w:t xml:space="preserve"> of staggered e-invoicing, concurrent reforms </w:t>
      </w:r>
      <w:r w:rsidR="00C40AC0">
        <w:t>likely</w:t>
      </w:r>
      <w:r w:rsidRPr="00253227">
        <w:t xml:space="preserve"> reinforce compliance trends</w:t>
      </w:r>
      <w:r w:rsidR="005D3AA3">
        <w:t xml:space="preserve"> and</w:t>
      </w:r>
      <w:r w:rsidR="0005089B">
        <w:t xml:space="preserve"> may upwardly bias treatment estimates</w:t>
      </w:r>
      <w:r w:rsidRPr="00253227">
        <w:t>.</w:t>
      </w:r>
      <w:r w:rsidR="005D3AA3">
        <w:t xml:space="preserve"> </w:t>
      </w:r>
      <w:r w:rsidR="004C5813">
        <w:t>Still</w:t>
      </w:r>
      <w:r w:rsidR="005D3AA3">
        <w:t>,</w:t>
      </w:r>
      <w:r w:rsidRPr="00253227">
        <w:t xml:space="preserve"> </w:t>
      </w:r>
      <w:r w:rsidR="0067416A">
        <w:t xml:space="preserve">because e-invoicing defines the </w:t>
      </w:r>
      <w:r w:rsidR="009E7D2B">
        <w:t>core</w:t>
      </w:r>
      <w:r w:rsidR="0067416A">
        <w:t xml:space="preserve"> mechanism for recording VAT, it </w:t>
      </w:r>
      <w:r w:rsidRPr="00253227">
        <w:t xml:space="preserve">remains the most </w:t>
      </w:r>
      <w:r w:rsidR="00AF14E3">
        <w:t>consequential</w:t>
      </w:r>
      <w:r w:rsidRPr="00253227">
        <w:t xml:space="preserve"> reform and a</w:t>
      </w:r>
      <w:r w:rsidR="005A5B4D">
        <w:t xml:space="preserve">n appropriate </w:t>
      </w:r>
      <w:r w:rsidRPr="00253227">
        <w:t>focus of analysis.</w:t>
      </w:r>
    </w:p>
    <w:p w14:paraId="0B8634CD" w14:textId="77777777" w:rsidR="00253227" w:rsidRDefault="00253227" w:rsidP="00B34581">
      <w:pPr>
        <w:pStyle w:val="Heading2"/>
        <w:spacing w:line="240" w:lineRule="auto"/>
      </w:pPr>
    </w:p>
    <w:p w14:paraId="5B48102B" w14:textId="77777777" w:rsidR="00253227" w:rsidRDefault="00253227" w:rsidP="00B34581">
      <w:pPr>
        <w:pStyle w:val="Heading2"/>
        <w:spacing w:line="240" w:lineRule="auto"/>
      </w:pPr>
    </w:p>
    <w:p w14:paraId="64EC334E" w14:textId="36A461C8" w:rsidR="005746F4" w:rsidRDefault="005746F4" w:rsidP="00B34581">
      <w:pPr>
        <w:pStyle w:val="Heading2"/>
        <w:spacing w:line="240" w:lineRule="auto"/>
      </w:pPr>
      <w:r>
        <w:t>Data:</w:t>
      </w:r>
    </w:p>
    <w:p w14:paraId="6DEDA59D" w14:textId="2EBA519D" w:rsidR="00AC1921" w:rsidRDefault="004F095A" w:rsidP="00F34576">
      <w:pPr>
        <w:spacing w:line="240" w:lineRule="auto"/>
        <w:ind w:firstLine="504"/>
      </w:pPr>
      <w:r>
        <w:t>This study uses monthly firm-level tax remittance data from 2022 to 2025, public</w:t>
      </w:r>
      <w:r w:rsidR="00C26271">
        <w:t>ly</w:t>
      </w:r>
      <w:r>
        <w:t xml:space="preserve"> available through El Salvador’s </w:t>
      </w:r>
      <w:r w:rsidRPr="003F6495">
        <w:t>Fiscal Transparency Portal</w:t>
      </w:r>
      <w:r>
        <w:t xml:space="preserve">, maintained by the Ministry of Finance. </w:t>
      </w:r>
      <w:r w:rsidR="009D6693">
        <w:t>The</w:t>
      </w:r>
      <w:r>
        <w:t xml:space="preserve"> data</w:t>
      </w:r>
      <w:r w:rsidR="009D6693">
        <w:t xml:space="preserve"> </w:t>
      </w:r>
      <w:r w:rsidR="00CE0D5B">
        <w:t>include</w:t>
      </w:r>
      <w:r>
        <w:t xml:space="preserve"> declassified </w:t>
      </w:r>
      <w:r w:rsidR="00E62C7D">
        <w:t>firm</w:t>
      </w:r>
      <w:r w:rsidR="00CE0D5B">
        <w:t xml:space="preserve">-level records on </w:t>
      </w:r>
      <w:r>
        <w:t>monthly payment</w:t>
      </w:r>
      <w:r w:rsidR="00E62C7D">
        <w:t>s</w:t>
      </w:r>
      <w:r>
        <w:t xml:space="preserve">, </w:t>
      </w:r>
      <w:r w:rsidR="00E62C7D">
        <w:t>payment type</w:t>
      </w:r>
      <w:r w:rsidR="00CE0D5B">
        <w:t>s</w:t>
      </w:r>
      <w:r w:rsidR="00E62C7D">
        <w:t>,</w:t>
      </w:r>
      <w:r>
        <w:t xml:space="preserve"> economic activity</w:t>
      </w:r>
      <w:r w:rsidR="00CE0D5B">
        <w:t>,</w:t>
      </w:r>
      <w:r>
        <w:t xml:space="preserve"> and municipality.</w:t>
      </w:r>
      <w:r w:rsidR="00AC1921">
        <w:t xml:space="preserve"> The dataset covers 30,167 unique firms — </w:t>
      </w:r>
      <w:r w:rsidR="00AC1921">
        <w:lastRenderedPageBreak/>
        <w:t>slightly below the approximately 37,000 officially notified — likely due to delayed entry, as many firms appear only in later periods.</w:t>
      </w:r>
    </w:p>
    <w:p w14:paraId="0342C2B5" w14:textId="619BF712" w:rsidR="004F095A" w:rsidRDefault="004F095A" w:rsidP="008B6B39">
      <w:pPr>
        <w:spacing w:line="240" w:lineRule="auto"/>
        <w:ind w:firstLine="504"/>
      </w:pPr>
      <w:r>
        <w:t>Firm identifiers are</w:t>
      </w:r>
      <w:r w:rsidR="00301DAB">
        <w:t xml:space="preserve"> </w:t>
      </w:r>
      <w:r w:rsidR="00D560E9">
        <w:t>not provided</w:t>
      </w:r>
      <w:r>
        <w:t xml:space="preserve">, so firms are </w:t>
      </w:r>
      <w:r w:rsidR="004638C8">
        <w:t>approximated</w:t>
      </w:r>
      <w:r>
        <w:t xml:space="preserve"> using unique combinations of municipality and economic activity codes. </w:t>
      </w:r>
      <w:r w:rsidR="007702C1">
        <w:t xml:space="preserve">A balanced monthly panel is constructed </w:t>
      </w:r>
      <w:r w:rsidR="00ED0B7E">
        <w:t>from</w:t>
      </w:r>
      <w:r w:rsidR="00DA7472">
        <w:t xml:space="preserve"> </w:t>
      </w:r>
      <w:r w:rsidR="007702C1">
        <w:t xml:space="preserve">January 2022 to May 2025. Municipality and activity codes are matched to names using official dictionaries </w:t>
      </w:r>
      <w:r w:rsidR="00262AC8">
        <w:t>from</w:t>
      </w:r>
      <w:r w:rsidR="007702C1">
        <w:t xml:space="preserve"> the Fiscal Transparency </w:t>
      </w:r>
      <w:r w:rsidR="00581E8A">
        <w:t>P</w:t>
      </w:r>
      <w:r w:rsidR="007702C1">
        <w:t>ortal.</w:t>
      </w:r>
      <w:r w:rsidR="008B6B39">
        <w:t xml:space="preserve"> </w:t>
      </w:r>
      <w:r w:rsidR="004A0984">
        <w:t>A</w:t>
      </w:r>
      <w:r w:rsidR="001D5773">
        <w:t>nalysis is restricted to VAT r</w:t>
      </w:r>
      <w:r>
        <w:t>evenue,</w:t>
      </w:r>
      <w:r w:rsidR="00B95769">
        <w:t xml:space="preserve"> identified</w:t>
      </w:r>
      <w:r>
        <w:t xml:space="preserve"> using tax codes from the Portal’s </w:t>
      </w:r>
      <w:r w:rsidR="00043A1F">
        <w:t>public</w:t>
      </w:r>
      <w:r>
        <w:t xml:space="preserve"> dictionary, which includes:</w:t>
      </w:r>
    </w:p>
    <w:p w14:paraId="14A0CDD6" w14:textId="77777777" w:rsidR="004F095A" w:rsidRDefault="004F095A" w:rsidP="00F34576">
      <w:pPr>
        <w:pStyle w:val="ListParagraph"/>
        <w:numPr>
          <w:ilvl w:val="0"/>
          <w:numId w:val="5"/>
        </w:numPr>
        <w:spacing w:line="240" w:lineRule="auto"/>
        <w:ind w:left="0" w:firstLine="504"/>
      </w:pPr>
      <w:r>
        <w:t>VAT Internal Transactions</w:t>
      </w:r>
    </w:p>
    <w:p w14:paraId="78055777" w14:textId="77777777" w:rsidR="004F095A" w:rsidRDefault="004F095A" w:rsidP="00F34576">
      <w:pPr>
        <w:pStyle w:val="ListParagraph"/>
        <w:numPr>
          <w:ilvl w:val="0"/>
          <w:numId w:val="5"/>
        </w:numPr>
        <w:spacing w:line="240" w:lineRule="auto"/>
        <w:ind w:left="0" w:firstLine="504"/>
      </w:pPr>
      <w:r>
        <w:t>VAT on Imports</w:t>
      </w:r>
    </w:p>
    <w:p w14:paraId="7FF9706E" w14:textId="77777777" w:rsidR="004F095A" w:rsidRDefault="004F095A" w:rsidP="00F34576">
      <w:pPr>
        <w:pStyle w:val="ListParagraph"/>
        <w:numPr>
          <w:ilvl w:val="0"/>
          <w:numId w:val="5"/>
        </w:numPr>
        <w:spacing w:line="240" w:lineRule="auto"/>
        <w:ind w:left="0" w:firstLine="504"/>
      </w:pPr>
      <w:r>
        <w:t>VAT Transactions via Withholding and Collection</w:t>
      </w:r>
    </w:p>
    <w:p w14:paraId="1F5B2413" w14:textId="77777777" w:rsidR="004F095A" w:rsidRDefault="004F095A" w:rsidP="00F34576">
      <w:pPr>
        <w:pStyle w:val="ListParagraph"/>
        <w:numPr>
          <w:ilvl w:val="0"/>
          <w:numId w:val="5"/>
        </w:numPr>
        <w:spacing w:line="240" w:lineRule="auto"/>
        <w:ind w:left="0" w:firstLine="504"/>
      </w:pPr>
      <w:r>
        <w:t>VAT Withholding Non-Residents</w:t>
      </w:r>
    </w:p>
    <w:p w14:paraId="0683A6FA" w14:textId="5485F846" w:rsidR="004F095A" w:rsidRDefault="004F095A" w:rsidP="00F34576">
      <w:pPr>
        <w:pStyle w:val="ListParagraph"/>
        <w:numPr>
          <w:ilvl w:val="0"/>
          <w:numId w:val="5"/>
        </w:numPr>
        <w:spacing w:line="240" w:lineRule="auto"/>
        <w:ind w:left="0" w:firstLine="504"/>
      </w:pPr>
      <w:r>
        <w:t>VAT Advance Payment (</w:t>
      </w:r>
      <w:r w:rsidR="00A9390B">
        <w:t>e.g., 2% on c</w:t>
      </w:r>
      <w:r>
        <w:t xml:space="preserve">redit </w:t>
      </w:r>
      <w:r w:rsidR="00A9390B">
        <w:t>c</w:t>
      </w:r>
      <w:r>
        <w:t>ard</w:t>
      </w:r>
      <w:r w:rsidR="00A9390B">
        <w:t xml:space="preserve"> purchases</w:t>
      </w:r>
      <w:r>
        <w:t>)</w:t>
      </w:r>
    </w:p>
    <w:p w14:paraId="0DDE71EB" w14:textId="2A70CD41" w:rsidR="00D537C5" w:rsidRDefault="00D537C5" w:rsidP="00F34576">
      <w:pPr>
        <w:spacing w:line="240" w:lineRule="auto"/>
        <w:ind w:firstLine="504"/>
      </w:pPr>
      <w:r w:rsidRPr="00D537C5">
        <w:drawing>
          <wp:inline distT="0" distB="0" distL="0" distR="0" wp14:anchorId="447F05F6" wp14:editId="522D596D">
            <wp:extent cx="5943600" cy="2969895"/>
            <wp:effectExtent l="0" t="0" r="0" b="1905"/>
            <wp:docPr id="858940361"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40361" name="Picture 1" descr="A graph of a heart rate&#10;&#10;AI-generated content may be incorrect."/>
                    <pic:cNvPicPr/>
                  </pic:nvPicPr>
                  <pic:blipFill>
                    <a:blip r:embed="rId7"/>
                    <a:stretch>
                      <a:fillRect/>
                    </a:stretch>
                  </pic:blipFill>
                  <pic:spPr>
                    <a:xfrm>
                      <a:off x="0" y="0"/>
                      <a:ext cx="5943600" cy="2969895"/>
                    </a:xfrm>
                    <a:prstGeom prst="rect">
                      <a:avLst/>
                    </a:prstGeom>
                  </pic:spPr>
                </pic:pic>
              </a:graphicData>
            </a:graphic>
          </wp:inline>
        </w:drawing>
      </w:r>
    </w:p>
    <w:p w14:paraId="427932A7" w14:textId="191F9FDC" w:rsidR="00502B85" w:rsidRDefault="00A85F05" w:rsidP="00F34576">
      <w:pPr>
        <w:spacing w:line="240" w:lineRule="auto"/>
        <w:ind w:firstLine="504"/>
      </w:pPr>
      <w:r>
        <w:t xml:space="preserve">Since </w:t>
      </w:r>
      <w:r w:rsidR="00240F7A">
        <w:t xml:space="preserve">rollout dates were not publicly </w:t>
      </w:r>
      <w:r>
        <w:t>available</w:t>
      </w:r>
      <w:r w:rsidR="00240F7A">
        <w:t xml:space="preserve">, </w:t>
      </w:r>
      <w:r w:rsidR="00ED1514">
        <w:t xml:space="preserve">notification and implementation timelines, along with cohort sizes, were obtained through </w:t>
      </w:r>
      <w:r w:rsidR="00240F7A">
        <w:t>direct contact with the Ministry of Finance</w:t>
      </w:r>
      <w:r w:rsidR="00EB2DE3">
        <w:t xml:space="preserve"> and the Transparency Portal support office</w:t>
      </w:r>
      <w:r w:rsidR="00150551">
        <w:t>s</w:t>
      </w:r>
      <w:r w:rsidR="00240F7A">
        <w:t>.</w:t>
      </w:r>
      <w:r w:rsidR="00502B85">
        <w:t xml:space="preserve"> </w:t>
      </w:r>
      <w:r w:rsidR="00B2385E">
        <w:t>A</w:t>
      </w:r>
      <w:r w:rsidR="00160D97">
        <w:t>ssignment</w:t>
      </w:r>
      <w:r w:rsidR="00502B85">
        <w:t xml:space="preserve"> criteria </w:t>
      </w:r>
      <w:r w:rsidR="00160D97">
        <w:t xml:space="preserve">are </w:t>
      </w:r>
      <w:r w:rsidR="00B2385E">
        <w:t xml:space="preserve">also </w:t>
      </w:r>
      <w:r w:rsidR="00160D97">
        <w:t>undisclosed</w:t>
      </w:r>
      <w:r w:rsidR="00B2385E">
        <w:t>, but</w:t>
      </w:r>
      <w:r w:rsidR="00160D97">
        <w:t xml:space="preserve"> increasing cohort sizes and the </w:t>
      </w:r>
      <w:r w:rsidR="0076001D">
        <w:t>2019 pilot targeting large firms</w:t>
      </w:r>
      <w:r w:rsidR="00160D97">
        <w:t xml:space="preserve"> suggest sorting by pre-treatment size. Firms with no reported revenue in the month before the first notification (February 2023) are excluded to ensure comparability and valid dynamic treatment estimation.</w:t>
      </w:r>
    </w:p>
    <w:p w14:paraId="0EAB5FB0" w14:textId="77777777" w:rsidR="00B05455" w:rsidRDefault="00B05455" w:rsidP="00F34576">
      <w:pPr>
        <w:spacing w:line="240" w:lineRule="auto"/>
        <w:ind w:firstLine="504"/>
      </w:pPr>
    </w:p>
    <w:tbl>
      <w:tblPr>
        <w:tblStyle w:val="TableGrid"/>
        <w:tblW w:w="0" w:type="auto"/>
        <w:tblLook w:val="04A0" w:firstRow="1" w:lastRow="0" w:firstColumn="1" w:lastColumn="0" w:noHBand="0" w:noVBand="1"/>
      </w:tblPr>
      <w:tblGrid>
        <w:gridCol w:w="935"/>
        <w:gridCol w:w="815"/>
        <w:gridCol w:w="858"/>
        <w:gridCol w:w="815"/>
        <w:gridCol w:w="859"/>
        <w:gridCol w:w="816"/>
        <w:gridCol w:w="859"/>
        <w:gridCol w:w="859"/>
        <w:gridCol w:w="859"/>
        <w:gridCol w:w="816"/>
        <w:gridCol w:w="859"/>
      </w:tblGrid>
      <w:tr w:rsidR="00F953B7" w14:paraId="0135A665" w14:textId="77777777" w:rsidTr="00E71AE3">
        <w:tc>
          <w:tcPr>
            <w:tcW w:w="1007" w:type="dxa"/>
          </w:tcPr>
          <w:p w14:paraId="4370A3EE" w14:textId="77777777" w:rsidR="00D537C5" w:rsidRPr="00202C93" w:rsidRDefault="00D537C5" w:rsidP="00F34576">
            <w:pPr>
              <w:ind w:firstLine="504"/>
              <w:rPr>
                <w:b/>
                <w:bCs/>
                <w:sz w:val="14"/>
                <w:szCs w:val="14"/>
              </w:rPr>
            </w:pPr>
          </w:p>
        </w:tc>
        <w:tc>
          <w:tcPr>
            <w:tcW w:w="786" w:type="dxa"/>
          </w:tcPr>
          <w:p w14:paraId="534DC809" w14:textId="77777777" w:rsidR="00D537C5" w:rsidRPr="00202C93" w:rsidRDefault="00D537C5" w:rsidP="00F34576">
            <w:pPr>
              <w:ind w:firstLine="504"/>
              <w:rPr>
                <w:b/>
                <w:bCs/>
                <w:sz w:val="14"/>
                <w:szCs w:val="14"/>
              </w:rPr>
            </w:pPr>
            <w:r w:rsidRPr="00202C93">
              <w:rPr>
                <w:b/>
                <w:bCs/>
                <w:sz w:val="14"/>
                <w:szCs w:val="14"/>
              </w:rPr>
              <w:t>Group 1</w:t>
            </w:r>
          </w:p>
        </w:tc>
        <w:tc>
          <w:tcPr>
            <w:tcW w:w="866" w:type="dxa"/>
          </w:tcPr>
          <w:p w14:paraId="69FFF4A8" w14:textId="77777777" w:rsidR="00D537C5" w:rsidRPr="00202C93" w:rsidRDefault="00D537C5" w:rsidP="00F34576">
            <w:pPr>
              <w:ind w:firstLine="504"/>
              <w:rPr>
                <w:b/>
                <w:bCs/>
                <w:sz w:val="14"/>
                <w:szCs w:val="14"/>
              </w:rPr>
            </w:pPr>
            <w:r w:rsidRPr="00202C93">
              <w:rPr>
                <w:b/>
                <w:bCs/>
                <w:sz w:val="14"/>
                <w:szCs w:val="14"/>
              </w:rPr>
              <w:t>Group 2</w:t>
            </w:r>
          </w:p>
        </w:tc>
        <w:tc>
          <w:tcPr>
            <w:tcW w:w="787" w:type="dxa"/>
          </w:tcPr>
          <w:p w14:paraId="1B59C6BF" w14:textId="77777777" w:rsidR="00D537C5" w:rsidRPr="00202C93" w:rsidRDefault="00D537C5" w:rsidP="00F34576">
            <w:pPr>
              <w:ind w:firstLine="504"/>
              <w:rPr>
                <w:b/>
                <w:bCs/>
                <w:sz w:val="14"/>
                <w:szCs w:val="14"/>
              </w:rPr>
            </w:pPr>
            <w:r w:rsidRPr="00202C93">
              <w:rPr>
                <w:b/>
                <w:bCs/>
                <w:sz w:val="14"/>
                <w:szCs w:val="14"/>
              </w:rPr>
              <w:t>Group 3</w:t>
            </w:r>
          </w:p>
        </w:tc>
        <w:tc>
          <w:tcPr>
            <w:tcW w:w="866" w:type="dxa"/>
          </w:tcPr>
          <w:p w14:paraId="5E2A4E93" w14:textId="77777777" w:rsidR="00D537C5" w:rsidRPr="00202C93" w:rsidRDefault="00D537C5" w:rsidP="00F34576">
            <w:pPr>
              <w:ind w:firstLine="504"/>
              <w:rPr>
                <w:b/>
                <w:bCs/>
                <w:sz w:val="14"/>
                <w:szCs w:val="14"/>
              </w:rPr>
            </w:pPr>
            <w:r w:rsidRPr="00202C93">
              <w:rPr>
                <w:b/>
                <w:bCs/>
                <w:sz w:val="14"/>
                <w:szCs w:val="14"/>
              </w:rPr>
              <w:t>Group 4</w:t>
            </w:r>
          </w:p>
        </w:tc>
        <w:tc>
          <w:tcPr>
            <w:tcW w:w="787" w:type="dxa"/>
          </w:tcPr>
          <w:p w14:paraId="1815384B" w14:textId="77777777" w:rsidR="00D537C5" w:rsidRPr="00202C93" w:rsidRDefault="00D537C5" w:rsidP="00F34576">
            <w:pPr>
              <w:ind w:firstLine="504"/>
              <w:rPr>
                <w:b/>
                <w:bCs/>
                <w:sz w:val="14"/>
                <w:szCs w:val="14"/>
              </w:rPr>
            </w:pPr>
            <w:r w:rsidRPr="00202C93">
              <w:rPr>
                <w:b/>
                <w:bCs/>
                <w:sz w:val="14"/>
                <w:szCs w:val="14"/>
              </w:rPr>
              <w:t>Group 5</w:t>
            </w:r>
          </w:p>
        </w:tc>
        <w:tc>
          <w:tcPr>
            <w:tcW w:w="866" w:type="dxa"/>
          </w:tcPr>
          <w:p w14:paraId="011D5564" w14:textId="77777777" w:rsidR="00D537C5" w:rsidRPr="00202C93" w:rsidRDefault="00D537C5" w:rsidP="00F34576">
            <w:pPr>
              <w:ind w:firstLine="504"/>
              <w:rPr>
                <w:b/>
                <w:bCs/>
                <w:sz w:val="14"/>
                <w:szCs w:val="14"/>
              </w:rPr>
            </w:pPr>
            <w:r w:rsidRPr="00202C93">
              <w:rPr>
                <w:b/>
                <w:bCs/>
                <w:sz w:val="14"/>
                <w:szCs w:val="14"/>
              </w:rPr>
              <w:t>Group 6</w:t>
            </w:r>
          </w:p>
        </w:tc>
        <w:tc>
          <w:tcPr>
            <w:tcW w:w="866" w:type="dxa"/>
          </w:tcPr>
          <w:p w14:paraId="5D617D05" w14:textId="77777777" w:rsidR="00D537C5" w:rsidRPr="00202C93" w:rsidRDefault="00D537C5" w:rsidP="00F34576">
            <w:pPr>
              <w:ind w:firstLine="504"/>
              <w:rPr>
                <w:b/>
                <w:bCs/>
                <w:sz w:val="14"/>
                <w:szCs w:val="14"/>
              </w:rPr>
            </w:pPr>
            <w:r w:rsidRPr="00202C93">
              <w:rPr>
                <w:b/>
                <w:bCs/>
                <w:sz w:val="14"/>
                <w:szCs w:val="14"/>
              </w:rPr>
              <w:t>Group 7</w:t>
            </w:r>
          </w:p>
        </w:tc>
        <w:tc>
          <w:tcPr>
            <w:tcW w:w="866" w:type="dxa"/>
          </w:tcPr>
          <w:p w14:paraId="000622A8" w14:textId="77777777" w:rsidR="00D537C5" w:rsidRPr="00202C93" w:rsidRDefault="00D537C5" w:rsidP="00F34576">
            <w:pPr>
              <w:ind w:firstLine="504"/>
              <w:rPr>
                <w:b/>
                <w:bCs/>
                <w:sz w:val="14"/>
                <w:szCs w:val="14"/>
              </w:rPr>
            </w:pPr>
            <w:r w:rsidRPr="00202C93">
              <w:rPr>
                <w:b/>
                <w:bCs/>
                <w:sz w:val="14"/>
                <w:szCs w:val="14"/>
              </w:rPr>
              <w:t>Group 8</w:t>
            </w:r>
          </w:p>
        </w:tc>
        <w:tc>
          <w:tcPr>
            <w:tcW w:w="787" w:type="dxa"/>
          </w:tcPr>
          <w:p w14:paraId="066C2CF3" w14:textId="77777777" w:rsidR="00D537C5" w:rsidRPr="00202C93" w:rsidRDefault="00D537C5" w:rsidP="00F34576">
            <w:pPr>
              <w:ind w:firstLine="504"/>
              <w:rPr>
                <w:b/>
                <w:bCs/>
                <w:sz w:val="14"/>
                <w:szCs w:val="14"/>
              </w:rPr>
            </w:pPr>
            <w:r w:rsidRPr="00202C93">
              <w:rPr>
                <w:b/>
                <w:bCs/>
                <w:sz w:val="14"/>
                <w:szCs w:val="14"/>
              </w:rPr>
              <w:t>Group 9</w:t>
            </w:r>
          </w:p>
        </w:tc>
        <w:tc>
          <w:tcPr>
            <w:tcW w:w="866" w:type="dxa"/>
          </w:tcPr>
          <w:p w14:paraId="7F05164E" w14:textId="77777777" w:rsidR="00D537C5" w:rsidRPr="00202C93" w:rsidRDefault="00D537C5" w:rsidP="00F34576">
            <w:pPr>
              <w:ind w:firstLine="504"/>
              <w:rPr>
                <w:b/>
                <w:bCs/>
                <w:sz w:val="14"/>
                <w:szCs w:val="14"/>
              </w:rPr>
            </w:pPr>
            <w:r w:rsidRPr="00202C93">
              <w:rPr>
                <w:b/>
                <w:bCs/>
                <w:sz w:val="14"/>
                <w:szCs w:val="14"/>
              </w:rPr>
              <w:t>Group 10</w:t>
            </w:r>
          </w:p>
        </w:tc>
      </w:tr>
      <w:tr w:rsidR="00F953B7" w14:paraId="0CF92E52" w14:textId="77777777" w:rsidTr="00E71AE3">
        <w:tc>
          <w:tcPr>
            <w:tcW w:w="1007" w:type="dxa"/>
          </w:tcPr>
          <w:p w14:paraId="023D1BEE" w14:textId="77777777" w:rsidR="00D537C5" w:rsidRPr="00202C93" w:rsidRDefault="00D537C5" w:rsidP="00F34576">
            <w:pPr>
              <w:ind w:firstLine="504"/>
              <w:rPr>
                <w:b/>
                <w:bCs/>
                <w:sz w:val="14"/>
                <w:szCs w:val="14"/>
              </w:rPr>
            </w:pPr>
            <w:r w:rsidRPr="00202C93">
              <w:rPr>
                <w:b/>
                <w:bCs/>
                <w:sz w:val="14"/>
                <w:szCs w:val="14"/>
              </w:rPr>
              <w:t>Notification Date</w:t>
            </w:r>
          </w:p>
        </w:tc>
        <w:tc>
          <w:tcPr>
            <w:tcW w:w="786" w:type="dxa"/>
          </w:tcPr>
          <w:p w14:paraId="7D652584" w14:textId="209CDEC8" w:rsidR="00D537C5" w:rsidRPr="00202C93" w:rsidRDefault="0039212B" w:rsidP="00F34576">
            <w:pPr>
              <w:ind w:firstLine="504"/>
              <w:rPr>
                <w:sz w:val="14"/>
                <w:szCs w:val="14"/>
              </w:rPr>
            </w:pPr>
            <w:r w:rsidRPr="00202C93">
              <w:rPr>
                <w:sz w:val="14"/>
                <w:szCs w:val="14"/>
              </w:rPr>
              <w:t>2/1/2023</w:t>
            </w:r>
          </w:p>
        </w:tc>
        <w:tc>
          <w:tcPr>
            <w:tcW w:w="866" w:type="dxa"/>
          </w:tcPr>
          <w:p w14:paraId="2C5D3D2A" w14:textId="4E4EF069" w:rsidR="00D537C5" w:rsidRPr="00202C93" w:rsidRDefault="0039212B" w:rsidP="00F34576">
            <w:pPr>
              <w:ind w:firstLine="504"/>
              <w:rPr>
                <w:sz w:val="14"/>
                <w:szCs w:val="14"/>
              </w:rPr>
            </w:pPr>
            <w:r w:rsidRPr="00202C93">
              <w:rPr>
                <w:sz w:val="14"/>
                <w:szCs w:val="14"/>
              </w:rPr>
              <w:t>5/1/2023</w:t>
            </w:r>
          </w:p>
        </w:tc>
        <w:tc>
          <w:tcPr>
            <w:tcW w:w="787" w:type="dxa"/>
          </w:tcPr>
          <w:p w14:paraId="10003752" w14:textId="4B65182D" w:rsidR="00D537C5" w:rsidRPr="00202C93" w:rsidRDefault="0039212B" w:rsidP="00F34576">
            <w:pPr>
              <w:ind w:firstLine="504"/>
              <w:rPr>
                <w:sz w:val="14"/>
                <w:szCs w:val="14"/>
              </w:rPr>
            </w:pPr>
            <w:r w:rsidRPr="00202C93">
              <w:rPr>
                <w:sz w:val="14"/>
                <w:szCs w:val="14"/>
              </w:rPr>
              <w:t>8/1/2023</w:t>
            </w:r>
          </w:p>
        </w:tc>
        <w:tc>
          <w:tcPr>
            <w:tcW w:w="866" w:type="dxa"/>
          </w:tcPr>
          <w:p w14:paraId="73570E11" w14:textId="505AC1D3" w:rsidR="00D537C5" w:rsidRPr="00202C93" w:rsidRDefault="0039212B" w:rsidP="00F34576">
            <w:pPr>
              <w:ind w:firstLine="504"/>
              <w:rPr>
                <w:sz w:val="14"/>
                <w:szCs w:val="14"/>
              </w:rPr>
            </w:pPr>
            <w:r w:rsidRPr="00202C93">
              <w:rPr>
                <w:sz w:val="14"/>
                <w:szCs w:val="14"/>
              </w:rPr>
              <w:t>12/1/2023</w:t>
            </w:r>
          </w:p>
        </w:tc>
        <w:tc>
          <w:tcPr>
            <w:tcW w:w="787" w:type="dxa"/>
          </w:tcPr>
          <w:p w14:paraId="6DC394BD" w14:textId="1A61D8E6" w:rsidR="00D537C5" w:rsidRPr="00202C93" w:rsidRDefault="0039212B" w:rsidP="00F34576">
            <w:pPr>
              <w:ind w:firstLine="504"/>
              <w:rPr>
                <w:sz w:val="14"/>
                <w:szCs w:val="14"/>
              </w:rPr>
            </w:pPr>
            <w:r w:rsidRPr="00202C93">
              <w:rPr>
                <w:sz w:val="14"/>
                <w:szCs w:val="14"/>
              </w:rPr>
              <w:t>2/1/2024</w:t>
            </w:r>
          </w:p>
        </w:tc>
        <w:tc>
          <w:tcPr>
            <w:tcW w:w="866" w:type="dxa"/>
          </w:tcPr>
          <w:p w14:paraId="032E0C87" w14:textId="300DF29A" w:rsidR="00D537C5" w:rsidRPr="00202C93" w:rsidRDefault="0039212B" w:rsidP="00F34576">
            <w:pPr>
              <w:ind w:firstLine="504"/>
              <w:rPr>
                <w:sz w:val="14"/>
                <w:szCs w:val="14"/>
              </w:rPr>
            </w:pPr>
            <w:r w:rsidRPr="00202C93">
              <w:rPr>
                <w:sz w:val="14"/>
                <w:szCs w:val="14"/>
              </w:rPr>
              <w:t>5/1/2024</w:t>
            </w:r>
          </w:p>
        </w:tc>
        <w:tc>
          <w:tcPr>
            <w:tcW w:w="866" w:type="dxa"/>
          </w:tcPr>
          <w:p w14:paraId="18A33FE2" w14:textId="2AB85081" w:rsidR="00D537C5" w:rsidRPr="00202C93" w:rsidRDefault="0039212B" w:rsidP="00F34576">
            <w:pPr>
              <w:ind w:firstLine="504"/>
              <w:rPr>
                <w:sz w:val="14"/>
                <w:szCs w:val="14"/>
              </w:rPr>
            </w:pPr>
            <w:r w:rsidRPr="00202C93">
              <w:rPr>
                <w:sz w:val="14"/>
                <w:szCs w:val="14"/>
              </w:rPr>
              <w:t>8/1/2024</w:t>
            </w:r>
          </w:p>
        </w:tc>
        <w:tc>
          <w:tcPr>
            <w:tcW w:w="866" w:type="dxa"/>
          </w:tcPr>
          <w:p w14:paraId="49D6745B" w14:textId="30FA5973" w:rsidR="00D537C5" w:rsidRPr="00202C93" w:rsidRDefault="0039212B" w:rsidP="00F34576">
            <w:pPr>
              <w:ind w:firstLine="504"/>
              <w:rPr>
                <w:sz w:val="14"/>
                <w:szCs w:val="14"/>
              </w:rPr>
            </w:pPr>
            <w:r w:rsidRPr="00202C93">
              <w:rPr>
                <w:sz w:val="14"/>
                <w:szCs w:val="14"/>
              </w:rPr>
              <w:t>12/1/2024</w:t>
            </w:r>
          </w:p>
        </w:tc>
        <w:tc>
          <w:tcPr>
            <w:tcW w:w="787" w:type="dxa"/>
          </w:tcPr>
          <w:p w14:paraId="433A9AD4" w14:textId="4D2B391C" w:rsidR="00D537C5" w:rsidRPr="00202C93" w:rsidRDefault="0039212B" w:rsidP="00F34576">
            <w:pPr>
              <w:ind w:firstLine="504"/>
              <w:rPr>
                <w:sz w:val="14"/>
                <w:szCs w:val="14"/>
              </w:rPr>
            </w:pPr>
            <w:r w:rsidRPr="00202C93">
              <w:rPr>
                <w:sz w:val="14"/>
                <w:szCs w:val="14"/>
              </w:rPr>
              <w:t>2/1/2025</w:t>
            </w:r>
          </w:p>
        </w:tc>
        <w:tc>
          <w:tcPr>
            <w:tcW w:w="866" w:type="dxa"/>
          </w:tcPr>
          <w:p w14:paraId="3A5293B4" w14:textId="4943CDB6" w:rsidR="00D537C5" w:rsidRPr="00202C93" w:rsidRDefault="0039212B" w:rsidP="00F34576">
            <w:pPr>
              <w:ind w:firstLine="504"/>
              <w:rPr>
                <w:sz w:val="14"/>
                <w:szCs w:val="14"/>
              </w:rPr>
            </w:pPr>
            <w:r w:rsidRPr="00202C93">
              <w:rPr>
                <w:sz w:val="14"/>
                <w:szCs w:val="14"/>
              </w:rPr>
              <w:t>5/1/2025</w:t>
            </w:r>
          </w:p>
        </w:tc>
      </w:tr>
      <w:tr w:rsidR="00F953B7" w14:paraId="642DFB46" w14:textId="77777777" w:rsidTr="00E71AE3">
        <w:tc>
          <w:tcPr>
            <w:tcW w:w="1007" w:type="dxa"/>
          </w:tcPr>
          <w:p w14:paraId="4E72AFAB" w14:textId="77777777" w:rsidR="00D537C5" w:rsidRPr="00202C93" w:rsidRDefault="00D537C5" w:rsidP="00F34576">
            <w:pPr>
              <w:ind w:firstLine="504"/>
              <w:rPr>
                <w:b/>
                <w:bCs/>
                <w:sz w:val="14"/>
                <w:szCs w:val="14"/>
              </w:rPr>
            </w:pPr>
            <w:r w:rsidRPr="00202C93">
              <w:rPr>
                <w:b/>
                <w:bCs/>
                <w:sz w:val="14"/>
                <w:szCs w:val="14"/>
              </w:rPr>
              <w:lastRenderedPageBreak/>
              <w:t>Treatment Date</w:t>
            </w:r>
          </w:p>
        </w:tc>
        <w:tc>
          <w:tcPr>
            <w:tcW w:w="786" w:type="dxa"/>
          </w:tcPr>
          <w:p w14:paraId="20CA0F96" w14:textId="3964424A" w:rsidR="00D537C5" w:rsidRPr="00202C93" w:rsidRDefault="0039212B" w:rsidP="00F34576">
            <w:pPr>
              <w:ind w:firstLine="504"/>
              <w:rPr>
                <w:sz w:val="14"/>
                <w:szCs w:val="14"/>
              </w:rPr>
            </w:pPr>
            <w:r w:rsidRPr="00202C93">
              <w:rPr>
                <w:sz w:val="14"/>
                <w:szCs w:val="14"/>
              </w:rPr>
              <w:t>7/1/2023</w:t>
            </w:r>
          </w:p>
        </w:tc>
        <w:tc>
          <w:tcPr>
            <w:tcW w:w="866" w:type="dxa"/>
          </w:tcPr>
          <w:p w14:paraId="02C4A684" w14:textId="619B721E" w:rsidR="00D537C5" w:rsidRPr="00202C93" w:rsidRDefault="0039212B" w:rsidP="00F34576">
            <w:pPr>
              <w:ind w:firstLine="504"/>
              <w:rPr>
                <w:sz w:val="14"/>
                <w:szCs w:val="14"/>
              </w:rPr>
            </w:pPr>
            <w:r w:rsidRPr="00202C93">
              <w:rPr>
                <w:sz w:val="14"/>
                <w:szCs w:val="14"/>
              </w:rPr>
              <w:t>10/1/2023</w:t>
            </w:r>
          </w:p>
        </w:tc>
        <w:tc>
          <w:tcPr>
            <w:tcW w:w="787" w:type="dxa"/>
          </w:tcPr>
          <w:p w14:paraId="4D34D232" w14:textId="0329781C" w:rsidR="00D537C5" w:rsidRPr="00202C93" w:rsidRDefault="0039212B" w:rsidP="00F34576">
            <w:pPr>
              <w:ind w:firstLine="504"/>
              <w:rPr>
                <w:sz w:val="14"/>
                <w:szCs w:val="14"/>
              </w:rPr>
            </w:pPr>
            <w:r w:rsidRPr="00202C93">
              <w:rPr>
                <w:sz w:val="14"/>
                <w:szCs w:val="14"/>
              </w:rPr>
              <w:t>1/1/2024</w:t>
            </w:r>
          </w:p>
        </w:tc>
        <w:tc>
          <w:tcPr>
            <w:tcW w:w="866" w:type="dxa"/>
          </w:tcPr>
          <w:p w14:paraId="7E70A380" w14:textId="30038075" w:rsidR="00D537C5" w:rsidRPr="00202C93" w:rsidRDefault="0039212B" w:rsidP="00F34576">
            <w:pPr>
              <w:ind w:firstLine="504"/>
              <w:rPr>
                <w:sz w:val="14"/>
                <w:szCs w:val="14"/>
              </w:rPr>
            </w:pPr>
            <w:r w:rsidRPr="00202C93">
              <w:rPr>
                <w:sz w:val="14"/>
                <w:szCs w:val="14"/>
              </w:rPr>
              <w:t>4/1/2024</w:t>
            </w:r>
          </w:p>
        </w:tc>
        <w:tc>
          <w:tcPr>
            <w:tcW w:w="787" w:type="dxa"/>
          </w:tcPr>
          <w:p w14:paraId="423D6674" w14:textId="78DCE25B" w:rsidR="00D537C5" w:rsidRPr="00202C93" w:rsidRDefault="0039212B" w:rsidP="00F34576">
            <w:pPr>
              <w:ind w:firstLine="504"/>
              <w:rPr>
                <w:sz w:val="14"/>
                <w:szCs w:val="14"/>
              </w:rPr>
            </w:pPr>
            <w:r w:rsidRPr="00202C93">
              <w:rPr>
                <w:sz w:val="14"/>
                <w:szCs w:val="14"/>
              </w:rPr>
              <w:t>7/1/2024</w:t>
            </w:r>
          </w:p>
        </w:tc>
        <w:tc>
          <w:tcPr>
            <w:tcW w:w="866" w:type="dxa"/>
          </w:tcPr>
          <w:p w14:paraId="48903AD8" w14:textId="7C4C3A3A" w:rsidR="00D537C5" w:rsidRPr="00202C93" w:rsidRDefault="0039212B" w:rsidP="00F34576">
            <w:pPr>
              <w:ind w:firstLine="504"/>
              <w:rPr>
                <w:sz w:val="14"/>
                <w:szCs w:val="14"/>
              </w:rPr>
            </w:pPr>
            <w:r w:rsidRPr="00202C93">
              <w:rPr>
                <w:sz w:val="14"/>
                <w:szCs w:val="14"/>
              </w:rPr>
              <w:t>10/1/2024</w:t>
            </w:r>
          </w:p>
        </w:tc>
        <w:tc>
          <w:tcPr>
            <w:tcW w:w="866" w:type="dxa"/>
          </w:tcPr>
          <w:p w14:paraId="602E4DFA" w14:textId="58BB1E3E" w:rsidR="00D537C5" w:rsidRPr="00202C93" w:rsidRDefault="0039212B" w:rsidP="00F34576">
            <w:pPr>
              <w:ind w:firstLine="504"/>
              <w:rPr>
                <w:sz w:val="14"/>
                <w:szCs w:val="14"/>
              </w:rPr>
            </w:pPr>
            <w:r w:rsidRPr="00202C93">
              <w:rPr>
                <w:sz w:val="14"/>
                <w:szCs w:val="14"/>
              </w:rPr>
              <w:t>1/15/2025</w:t>
            </w:r>
          </w:p>
        </w:tc>
        <w:tc>
          <w:tcPr>
            <w:tcW w:w="866" w:type="dxa"/>
          </w:tcPr>
          <w:p w14:paraId="6B726408" w14:textId="3ADD478D" w:rsidR="00D537C5" w:rsidRPr="00202C93" w:rsidRDefault="0039212B" w:rsidP="00F34576">
            <w:pPr>
              <w:ind w:firstLine="504"/>
              <w:rPr>
                <w:sz w:val="14"/>
                <w:szCs w:val="14"/>
              </w:rPr>
            </w:pPr>
            <w:r w:rsidRPr="00202C93">
              <w:rPr>
                <w:sz w:val="14"/>
                <w:szCs w:val="14"/>
              </w:rPr>
              <w:t>4/1/2025</w:t>
            </w:r>
          </w:p>
        </w:tc>
        <w:tc>
          <w:tcPr>
            <w:tcW w:w="787" w:type="dxa"/>
          </w:tcPr>
          <w:p w14:paraId="1E747C8C" w14:textId="3BA8E72F" w:rsidR="00D537C5" w:rsidRPr="00202C93" w:rsidRDefault="0039212B" w:rsidP="00F34576">
            <w:pPr>
              <w:ind w:firstLine="504"/>
              <w:rPr>
                <w:sz w:val="14"/>
                <w:szCs w:val="14"/>
              </w:rPr>
            </w:pPr>
            <w:r w:rsidRPr="00202C93">
              <w:rPr>
                <w:sz w:val="14"/>
                <w:szCs w:val="14"/>
              </w:rPr>
              <w:t>7/1/2025</w:t>
            </w:r>
          </w:p>
        </w:tc>
        <w:tc>
          <w:tcPr>
            <w:tcW w:w="866" w:type="dxa"/>
          </w:tcPr>
          <w:p w14:paraId="75DAC113" w14:textId="772278B8" w:rsidR="00D537C5" w:rsidRPr="00202C93" w:rsidRDefault="0039212B" w:rsidP="00F34576">
            <w:pPr>
              <w:ind w:firstLine="504"/>
              <w:rPr>
                <w:sz w:val="14"/>
                <w:szCs w:val="14"/>
              </w:rPr>
            </w:pPr>
            <w:r w:rsidRPr="00202C93">
              <w:rPr>
                <w:sz w:val="14"/>
                <w:szCs w:val="14"/>
              </w:rPr>
              <w:t>10/1/2025</w:t>
            </w:r>
          </w:p>
        </w:tc>
      </w:tr>
      <w:tr w:rsidR="00F953B7" w14:paraId="770DD9CF" w14:textId="77777777" w:rsidTr="00E71AE3">
        <w:tc>
          <w:tcPr>
            <w:tcW w:w="1007" w:type="dxa"/>
          </w:tcPr>
          <w:p w14:paraId="530D928E" w14:textId="77777777" w:rsidR="00D537C5" w:rsidRPr="00202C93" w:rsidRDefault="00D537C5" w:rsidP="00F34576">
            <w:pPr>
              <w:ind w:firstLine="504"/>
              <w:rPr>
                <w:b/>
                <w:bCs/>
                <w:sz w:val="14"/>
                <w:szCs w:val="14"/>
              </w:rPr>
            </w:pPr>
            <w:r w:rsidRPr="00202C93">
              <w:rPr>
                <w:b/>
                <w:bCs/>
                <w:sz w:val="14"/>
                <w:szCs w:val="14"/>
              </w:rPr>
              <w:t>Firm Count</w:t>
            </w:r>
          </w:p>
        </w:tc>
        <w:tc>
          <w:tcPr>
            <w:tcW w:w="786" w:type="dxa"/>
          </w:tcPr>
          <w:p w14:paraId="4ABC4187" w14:textId="14F77A9F" w:rsidR="00D537C5" w:rsidRPr="00202C93" w:rsidRDefault="00B41405" w:rsidP="00F34576">
            <w:pPr>
              <w:ind w:firstLine="504"/>
              <w:rPr>
                <w:sz w:val="14"/>
                <w:szCs w:val="14"/>
              </w:rPr>
            </w:pPr>
            <w:r w:rsidRPr="00202C93">
              <w:rPr>
                <w:sz w:val="14"/>
                <w:szCs w:val="14"/>
              </w:rPr>
              <w:t>233</w:t>
            </w:r>
          </w:p>
        </w:tc>
        <w:tc>
          <w:tcPr>
            <w:tcW w:w="866" w:type="dxa"/>
          </w:tcPr>
          <w:p w14:paraId="332AC01F" w14:textId="0EAAB95E" w:rsidR="00D537C5" w:rsidRPr="00202C93" w:rsidRDefault="00B41405" w:rsidP="00F34576">
            <w:pPr>
              <w:ind w:firstLine="504"/>
              <w:rPr>
                <w:sz w:val="14"/>
                <w:szCs w:val="14"/>
              </w:rPr>
            </w:pPr>
            <w:r w:rsidRPr="00202C93">
              <w:rPr>
                <w:sz w:val="14"/>
                <w:szCs w:val="14"/>
              </w:rPr>
              <w:t>239</w:t>
            </w:r>
          </w:p>
        </w:tc>
        <w:tc>
          <w:tcPr>
            <w:tcW w:w="787" w:type="dxa"/>
          </w:tcPr>
          <w:p w14:paraId="0A192435" w14:textId="18191314" w:rsidR="00D537C5" w:rsidRPr="00202C93" w:rsidRDefault="00B41405" w:rsidP="00F34576">
            <w:pPr>
              <w:ind w:firstLine="504"/>
              <w:rPr>
                <w:sz w:val="14"/>
                <w:szCs w:val="14"/>
              </w:rPr>
            </w:pPr>
            <w:r w:rsidRPr="00202C93">
              <w:rPr>
                <w:sz w:val="14"/>
                <w:szCs w:val="14"/>
              </w:rPr>
              <w:t>249</w:t>
            </w:r>
          </w:p>
        </w:tc>
        <w:tc>
          <w:tcPr>
            <w:tcW w:w="866" w:type="dxa"/>
          </w:tcPr>
          <w:p w14:paraId="018EA88D" w14:textId="258E8216" w:rsidR="00D537C5" w:rsidRPr="00202C93" w:rsidRDefault="00B41405" w:rsidP="00F34576">
            <w:pPr>
              <w:ind w:firstLine="504"/>
              <w:rPr>
                <w:sz w:val="14"/>
                <w:szCs w:val="14"/>
              </w:rPr>
            </w:pPr>
            <w:r w:rsidRPr="00202C93">
              <w:rPr>
                <w:sz w:val="14"/>
                <w:szCs w:val="14"/>
              </w:rPr>
              <w:t>345</w:t>
            </w:r>
          </w:p>
        </w:tc>
        <w:tc>
          <w:tcPr>
            <w:tcW w:w="787" w:type="dxa"/>
          </w:tcPr>
          <w:p w14:paraId="58E4CB8A" w14:textId="43CECC35" w:rsidR="00D537C5" w:rsidRPr="00202C93" w:rsidRDefault="00B41405" w:rsidP="00F34576">
            <w:pPr>
              <w:ind w:firstLine="504"/>
              <w:rPr>
                <w:sz w:val="14"/>
                <w:szCs w:val="14"/>
              </w:rPr>
            </w:pPr>
            <w:r w:rsidRPr="00202C93">
              <w:rPr>
                <w:sz w:val="14"/>
                <w:szCs w:val="14"/>
              </w:rPr>
              <w:t>657</w:t>
            </w:r>
          </w:p>
        </w:tc>
        <w:tc>
          <w:tcPr>
            <w:tcW w:w="866" w:type="dxa"/>
          </w:tcPr>
          <w:p w14:paraId="5C614E51" w14:textId="330FF297" w:rsidR="00D537C5" w:rsidRPr="00202C93" w:rsidRDefault="00B41405" w:rsidP="00F34576">
            <w:pPr>
              <w:ind w:firstLine="504"/>
              <w:rPr>
                <w:sz w:val="14"/>
                <w:szCs w:val="14"/>
              </w:rPr>
            </w:pPr>
            <w:r w:rsidRPr="00202C93">
              <w:rPr>
                <w:sz w:val="14"/>
                <w:szCs w:val="14"/>
              </w:rPr>
              <w:t>701</w:t>
            </w:r>
          </w:p>
        </w:tc>
        <w:tc>
          <w:tcPr>
            <w:tcW w:w="866" w:type="dxa"/>
          </w:tcPr>
          <w:p w14:paraId="1C064EEC" w14:textId="6169BFB3" w:rsidR="00D537C5" w:rsidRPr="00202C93" w:rsidRDefault="00B41405" w:rsidP="00F34576">
            <w:pPr>
              <w:ind w:firstLine="504"/>
              <w:rPr>
                <w:sz w:val="14"/>
                <w:szCs w:val="14"/>
              </w:rPr>
            </w:pPr>
            <w:r w:rsidRPr="00202C93">
              <w:rPr>
                <w:sz w:val="14"/>
                <w:szCs w:val="14"/>
              </w:rPr>
              <w:t>704</w:t>
            </w:r>
          </w:p>
        </w:tc>
        <w:tc>
          <w:tcPr>
            <w:tcW w:w="866" w:type="dxa"/>
          </w:tcPr>
          <w:p w14:paraId="390E70E0" w14:textId="66571D1C" w:rsidR="00D537C5" w:rsidRPr="00202C93" w:rsidRDefault="00B41405" w:rsidP="00F34576">
            <w:pPr>
              <w:ind w:firstLine="504"/>
              <w:rPr>
                <w:sz w:val="14"/>
                <w:szCs w:val="14"/>
              </w:rPr>
            </w:pPr>
            <w:r w:rsidRPr="00202C93">
              <w:rPr>
                <w:sz w:val="14"/>
                <w:szCs w:val="14"/>
              </w:rPr>
              <w:t>4982</w:t>
            </w:r>
          </w:p>
        </w:tc>
        <w:tc>
          <w:tcPr>
            <w:tcW w:w="787" w:type="dxa"/>
          </w:tcPr>
          <w:p w14:paraId="7A0D239A" w14:textId="14C4F40B" w:rsidR="00D537C5" w:rsidRPr="00202C93" w:rsidRDefault="00B41405" w:rsidP="00F34576">
            <w:pPr>
              <w:ind w:firstLine="504"/>
              <w:rPr>
                <w:sz w:val="14"/>
                <w:szCs w:val="14"/>
              </w:rPr>
            </w:pPr>
            <w:r w:rsidRPr="00202C93">
              <w:rPr>
                <w:sz w:val="14"/>
                <w:szCs w:val="14"/>
              </w:rPr>
              <w:t>14286</w:t>
            </w:r>
          </w:p>
        </w:tc>
        <w:tc>
          <w:tcPr>
            <w:tcW w:w="866" w:type="dxa"/>
          </w:tcPr>
          <w:p w14:paraId="651BD02A" w14:textId="53DE4B74" w:rsidR="00D537C5" w:rsidRPr="00202C93" w:rsidRDefault="00B41405" w:rsidP="00F34576">
            <w:pPr>
              <w:ind w:firstLine="504"/>
              <w:rPr>
                <w:sz w:val="14"/>
                <w:szCs w:val="14"/>
              </w:rPr>
            </w:pPr>
            <w:r w:rsidRPr="00202C93">
              <w:rPr>
                <w:sz w:val="14"/>
                <w:szCs w:val="14"/>
              </w:rPr>
              <w:t>15000</w:t>
            </w:r>
          </w:p>
        </w:tc>
      </w:tr>
    </w:tbl>
    <w:p w14:paraId="0C48D834" w14:textId="77777777" w:rsidR="00B05455" w:rsidRDefault="00B05455" w:rsidP="00F34576">
      <w:pPr>
        <w:spacing w:line="240" w:lineRule="auto"/>
        <w:ind w:firstLine="504"/>
      </w:pPr>
    </w:p>
    <w:p w14:paraId="24CBE703" w14:textId="0842F84F" w:rsidR="00D537C5" w:rsidRDefault="00E71AE3" w:rsidP="00790901">
      <w:pPr>
        <w:spacing w:line="240" w:lineRule="auto"/>
        <w:ind w:firstLine="504"/>
      </w:pPr>
      <w:r>
        <w:t>Firms are classified as large (over USD 1 million/year in total tax remittances), medium (USD 100,000—1 million), or small taxpayers (under USD 100,000) based on average pre-treatment VAT revenue. [SLIDESHOW SOURCE] Firms were notified approximately five months before their assigned implementation date.</w:t>
      </w:r>
    </w:p>
    <w:p w14:paraId="6773F00D" w14:textId="38150461" w:rsidR="000806D9" w:rsidRDefault="007B5567" w:rsidP="00F34576">
      <w:pPr>
        <w:spacing w:line="240" w:lineRule="auto"/>
        <w:ind w:firstLine="504"/>
      </w:pPr>
      <w:r>
        <w:t xml:space="preserve">A known limitation is an under-reporting error affecting October 2023, </w:t>
      </w:r>
      <w:r w:rsidR="00370040">
        <w:t>which corresponds</w:t>
      </w:r>
      <w:r>
        <w:t xml:space="preserve"> to the second cohort’s treatment month</w:t>
      </w:r>
      <w:r w:rsidR="00C62C00">
        <w:t>; t</w:t>
      </w:r>
      <w:r>
        <w:t>his month is excluded from the sample. Other limitations</w:t>
      </w:r>
      <w:r w:rsidR="00EC066C">
        <w:t xml:space="preserve"> include the absence of firm-level covariates (e.g.,</w:t>
      </w:r>
      <w:r w:rsidR="002506F1">
        <w:t xml:space="preserve"> firm age, digital readiness, or tax history)</w:t>
      </w:r>
      <w:r w:rsidR="009B2BC4">
        <w:t xml:space="preserve"> and </w:t>
      </w:r>
      <w:r w:rsidR="0002680C">
        <w:t xml:space="preserve">the inability to </w:t>
      </w:r>
      <w:r w:rsidR="002B638D">
        <w:t>identify</w:t>
      </w:r>
      <w:r w:rsidR="0002680C">
        <w:t xml:space="preserve"> firms that voluntarily adopted e-invoicing before the mandate.</w:t>
      </w:r>
    </w:p>
    <w:p w14:paraId="01A34BB8" w14:textId="77777777" w:rsidR="00493ACE" w:rsidRDefault="00493ACE" w:rsidP="00F34576">
      <w:pPr>
        <w:spacing w:line="240" w:lineRule="auto"/>
        <w:ind w:firstLine="504"/>
      </w:pPr>
    </w:p>
    <w:p w14:paraId="3CD94D50" w14:textId="77777777" w:rsidR="00493ACE" w:rsidRDefault="00493ACE" w:rsidP="00F34576">
      <w:pPr>
        <w:spacing w:line="240" w:lineRule="auto"/>
        <w:ind w:firstLine="504"/>
      </w:pPr>
    </w:p>
    <w:p w14:paraId="47FCFEC8" w14:textId="77777777" w:rsidR="00493ACE" w:rsidRDefault="00493ACE" w:rsidP="00F34576">
      <w:pPr>
        <w:spacing w:line="240" w:lineRule="auto"/>
        <w:ind w:firstLine="504"/>
      </w:pPr>
    </w:p>
    <w:p w14:paraId="265976E9" w14:textId="7C771C13" w:rsidR="00493ACE" w:rsidRDefault="00493ACE" w:rsidP="00B34581">
      <w:pPr>
        <w:pStyle w:val="Heading2"/>
        <w:spacing w:line="240" w:lineRule="auto"/>
      </w:pPr>
      <w:r>
        <w:t>Methods:</w:t>
      </w:r>
    </w:p>
    <w:p w14:paraId="4CD7487F" w14:textId="44099019" w:rsidR="009713BB" w:rsidRDefault="00BC358C" w:rsidP="00F34576">
      <w:pPr>
        <w:spacing w:line="240" w:lineRule="auto"/>
        <w:ind w:firstLine="504"/>
      </w:pPr>
      <w:r>
        <w:t xml:space="preserve">To </w:t>
      </w:r>
      <w:r w:rsidR="003723D1">
        <w:t>estimate</w:t>
      </w:r>
      <w:r>
        <w:t xml:space="preserve"> th</w:t>
      </w:r>
      <w:r w:rsidR="0086792F">
        <w:t xml:space="preserve">e causal effects of e-invoicing on firm tax behavior, I </w:t>
      </w:r>
      <w:r w:rsidR="003723D1">
        <w:t>apply</w:t>
      </w:r>
      <w:r w:rsidR="0086792F">
        <w:t xml:space="preserve"> a difference-in-differences (DiD)</w:t>
      </w:r>
      <w:r w:rsidR="00280014">
        <w:t xml:space="preserve"> event study design</w:t>
      </w:r>
      <w:r w:rsidR="0086792F">
        <w:t xml:space="preserve"> proposed by Callaway and Sant’Anna (2021)</w:t>
      </w:r>
      <w:r w:rsidR="00280014">
        <w:t>,</w:t>
      </w:r>
      <w:r w:rsidR="00E44DEB">
        <w:t xml:space="preserve"> </w:t>
      </w:r>
      <w:r w:rsidR="0086792F">
        <w:t xml:space="preserve">exploiting the staggered </w:t>
      </w:r>
      <w:r w:rsidR="00694BBA">
        <w:t>rollout</w:t>
      </w:r>
      <w:r w:rsidR="00280014">
        <w:t>.</w:t>
      </w:r>
      <w:r w:rsidR="0086792F">
        <w:t xml:space="preserve"> DiD compares changes in outcomes before and after treatment between treated and control group</w:t>
      </w:r>
      <w:r w:rsidR="007F01ED">
        <w:t>s</w:t>
      </w:r>
      <w:r w:rsidR="0086792F">
        <w:t xml:space="preserve">, </w:t>
      </w:r>
      <w:r w:rsidR="007F01ED">
        <w:t xml:space="preserve">assuming </w:t>
      </w:r>
      <w:r w:rsidR="0086792F">
        <w:t>similar pre-treatment trends.</w:t>
      </w:r>
      <w:r w:rsidR="00B74FA9">
        <w:t xml:space="preserve"> </w:t>
      </w:r>
      <w:r w:rsidR="003A660E">
        <w:t>Since</w:t>
      </w:r>
      <w:r w:rsidR="00B74FA9">
        <w:t xml:space="preserve"> e-invoicing was the </w:t>
      </w:r>
      <w:r w:rsidR="00C16520">
        <w:t xml:space="preserve">primary </w:t>
      </w:r>
      <w:r w:rsidR="00B74FA9">
        <w:t xml:space="preserve">tax-related </w:t>
      </w:r>
      <w:r w:rsidR="00935C80">
        <w:t>change</w:t>
      </w:r>
      <w:r w:rsidR="00B74FA9">
        <w:t xml:space="preserve"> affecting VAT revenue</w:t>
      </w:r>
      <w:r w:rsidR="00550238">
        <w:t xml:space="preserve"> during this period</w:t>
      </w:r>
      <w:r w:rsidR="00B74FA9">
        <w:t xml:space="preserve">, </w:t>
      </w:r>
      <w:r w:rsidR="009713BB">
        <w:t xml:space="preserve">post-treatment differences </w:t>
      </w:r>
      <w:r w:rsidR="00123397">
        <w:t xml:space="preserve">are </w:t>
      </w:r>
      <w:r w:rsidR="009713BB">
        <w:t>attributed to the intervention under the parallel trends assumption.</w:t>
      </w:r>
    </w:p>
    <w:p w14:paraId="1D763271" w14:textId="219C1D18" w:rsidR="003A660E" w:rsidRDefault="003A660E" w:rsidP="00F34576">
      <w:pPr>
        <w:spacing w:line="240" w:lineRule="auto"/>
        <w:ind w:firstLine="504"/>
      </w:pPr>
      <w:r>
        <w:t>S</w:t>
      </w:r>
      <w:r w:rsidR="007D2A52">
        <w:t xml:space="preserve">tandard DiD methods using two-way fixed effects </w:t>
      </w:r>
      <w:r>
        <w:t>can produce biased estimates under staggered treatment timing. As Callaway and Sant’Anna (2021) show, TWFE may yield incorrect signs when treated units serve as controls for later-treated units, leading to invalid comparisons.</w:t>
      </w:r>
    </w:p>
    <w:p w14:paraId="1DD60FEC" w14:textId="5C23617A" w:rsidR="007D2A52" w:rsidRDefault="007D2A52" w:rsidP="003A660E">
      <w:pPr>
        <w:spacing w:line="240" w:lineRule="auto"/>
        <w:ind w:firstLine="504"/>
      </w:pPr>
      <w:r>
        <w:t xml:space="preserve">To </w:t>
      </w:r>
      <w:r w:rsidR="00B151C8">
        <w:t>address</w:t>
      </w:r>
      <w:r>
        <w:t xml:space="preserve"> these</w:t>
      </w:r>
      <w:r w:rsidR="00B151C8">
        <w:t xml:space="preserve"> concerns</w:t>
      </w:r>
      <w:r>
        <w:t xml:space="preserve">, I implement the </w:t>
      </w:r>
      <w:r w:rsidR="007957C5">
        <w:t xml:space="preserve">doubly robust </w:t>
      </w:r>
      <w:r>
        <w:t xml:space="preserve">event study </w:t>
      </w:r>
      <w:r w:rsidR="00F667CD">
        <w:t>estimator</w:t>
      </w:r>
      <w:r>
        <w:t xml:space="preserve"> developed by Callaway and Sant’Anna (2021). </w:t>
      </w:r>
      <w:r w:rsidR="00F667CD">
        <w:t>This method estimates group-time average treatment effects</w:t>
      </w:r>
      <w:r>
        <w:t xml:space="preserve"> (ATTs), </w:t>
      </w:r>
      <w:r w:rsidR="00FD3831">
        <w:t>defined as</w:t>
      </w:r>
      <w:r>
        <w:t>:</w:t>
      </w:r>
    </w:p>
    <w:p w14:paraId="3619543D" w14:textId="4F568301" w:rsidR="007D2A52" w:rsidRPr="007D2A52" w:rsidRDefault="007D2A52" w:rsidP="00F34576">
      <w:pPr>
        <w:spacing w:line="240" w:lineRule="auto"/>
        <w:ind w:firstLine="504"/>
        <w:rPr>
          <w:rFonts w:eastAsiaTheme="minorEastAsia"/>
        </w:rPr>
      </w:pPr>
      <m:oMathPara>
        <m:oMath>
          <m:r>
            <w:rPr>
              <w:rFonts w:ascii="Cambria Math" w:hAnsi="Cambria Math"/>
            </w:rPr>
            <m:t>ATT</m:t>
          </m:r>
          <m:d>
            <m:dPr>
              <m:ctrlPr>
                <w:rPr>
                  <w:rFonts w:ascii="Cambria Math" w:hAnsi="Cambria Math"/>
                  <w:i/>
                </w:rPr>
              </m:ctrlPr>
            </m:dPr>
            <m:e>
              <m:r>
                <w:rPr>
                  <w:rFonts w:ascii="Cambria Math" w:hAnsi="Cambria Math"/>
                </w:rPr>
                <m:t>g,t</m:t>
              </m:r>
            </m:e>
          </m:d>
          <m:r>
            <w:rPr>
              <w:rFonts w:ascii="Cambria Math" w:hAnsi="Cambria Math"/>
            </w:rPr>
            <m:t>=</m:t>
          </m:r>
          <m:r>
            <m:rPr>
              <m:scr m:val="double-struck"/>
            </m:rP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m:t>
              </m:r>
            </m:e>
          </m:d>
          <m:r>
            <w:rPr>
              <w:rFonts w:ascii="Cambria Math" w:eastAsiaTheme="minorEastAsia" w:hAnsi="Cambria Math"/>
            </w:rPr>
            <m:t xml:space="preserve"> G=g]</m:t>
          </m:r>
          <m:r>
            <w:rPr>
              <w:rFonts w:ascii="Cambria Math" w:eastAsiaTheme="minorEastAsia" w:hAnsi="Cambria Math"/>
            </w:rPr>
            <m:t>,</m:t>
          </m:r>
        </m:oMath>
      </m:oMathPara>
    </w:p>
    <w:p w14:paraId="1DC2BCE1" w14:textId="08F994A0" w:rsidR="009A2592" w:rsidRDefault="00010520" w:rsidP="009A2592">
      <w:pPr>
        <w:spacing w:line="240" w:lineRule="auto"/>
        <w:rPr>
          <w:rFonts w:eastAsiaTheme="minorEastAsia"/>
        </w:rPr>
      </w:pPr>
      <w:r>
        <w:t xml:space="preserve">which is the expected </w:t>
      </w:r>
      <w:r w:rsidR="00243355">
        <w:t xml:space="preserve">outcome difference at time </w:t>
      </w:r>
      <m:oMath>
        <m:r>
          <w:rPr>
            <w:rFonts w:ascii="Cambria Math" w:hAnsi="Cambria Math"/>
          </w:rPr>
          <m:t>t</m:t>
        </m:r>
      </m:oMath>
      <w:r>
        <w:t xml:space="preserve"> for units in treatment group </w:t>
      </w:r>
      <m:oMath>
        <m:r>
          <w:rPr>
            <w:rFonts w:ascii="Cambria Math" w:hAnsi="Cambria Math"/>
          </w:rPr>
          <m:t>g</m:t>
        </m:r>
      </m:oMath>
      <w:r>
        <w:t xml:space="preserve">. </w:t>
      </w:r>
      <w:r w:rsidR="00081933">
        <w:t>By fixing firms</w:t>
      </w:r>
      <w:r w:rsidR="009A2592">
        <w:t xml:space="preserve"> </w:t>
      </w:r>
      <w:r w:rsidR="00081933">
        <w:t>to a group</w:t>
      </w:r>
      <w:r w:rsidR="00081933">
        <w:rPr>
          <w:rFonts w:eastAsiaTheme="minorEastAsia"/>
        </w:rPr>
        <w:t xml:space="preserve"> and varying time,</w:t>
      </w:r>
      <w:r w:rsidR="009A2592">
        <w:rPr>
          <w:rFonts w:eastAsiaTheme="minorEastAsia"/>
        </w:rPr>
        <w:t xml:space="preserve"> the method traces treatment effects over time. Each group is compared only to units not yet treated at time </w:t>
      </w:r>
      <m:oMath>
        <m:r>
          <w:rPr>
            <w:rFonts w:ascii="Cambria Math" w:eastAsiaTheme="minorEastAsia" w:hAnsi="Cambria Math"/>
          </w:rPr>
          <m:t>t</m:t>
        </m:r>
      </m:oMath>
      <w:r w:rsidR="009A2592">
        <w:rPr>
          <w:rFonts w:eastAsiaTheme="minorEastAsia"/>
        </w:rPr>
        <w:t xml:space="preserve">, ensuring that control groups remain untreated and avoiding </w:t>
      </w:r>
      <w:r w:rsidR="00D416AE">
        <w:rPr>
          <w:rFonts w:eastAsiaTheme="minorEastAsia"/>
        </w:rPr>
        <w:t>invalid comparisons</w:t>
      </w:r>
      <w:r w:rsidR="009A2592">
        <w:rPr>
          <w:rFonts w:eastAsiaTheme="minorEastAsia"/>
        </w:rPr>
        <w:t>.</w:t>
      </w:r>
    </w:p>
    <w:p w14:paraId="3746501E" w14:textId="079D325C" w:rsidR="001C0DBA" w:rsidRDefault="005E00BF" w:rsidP="001C0DBA">
      <w:pPr>
        <w:spacing w:line="240" w:lineRule="auto"/>
        <w:ind w:firstLine="504"/>
        <w:rPr>
          <w:rFonts w:eastAsiaTheme="minorEastAsia"/>
        </w:rPr>
      </w:pPr>
      <w:r w:rsidRPr="005E00BF">
        <w:rPr>
          <w:rFonts w:eastAsiaTheme="minorEastAsia"/>
        </w:rPr>
        <w:lastRenderedPageBreak/>
        <w:t xml:space="preserve">Identification in Callaway and Sant’Anna (2021) relies on several assumptions. </w:t>
      </w:r>
      <w:r w:rsidR="001C0DBA">
        <w:rPr>
          <w:rFonts w:eastAsiaTheme="minorEastAsia"/>
        </w:rPr>
        <w:t>First, I test the parallel trends assumption with a visual check (treated and not-yet-treated firms follow similar trends in the absence of treatment). Second, I use the more robust unconditional parallel trends assumption, avoiding the use of covariates in my model; I take advantage of limitations in my dataset, which does not include firm-level characteristics such as age, digital readiness, or tax history. Unconditional parallel trends rests on the assumption that firms are homogenous across groups, which is not implausible in this setting as my sample only includes formal tax-filing firms. Third, I account for the limited treatment anticipation assumption by incorporating the five-month gap between notification and implementation in the model.</w:t>
      </w:r>
    </w:p>
    <w:p w14:paraId="3E2B51D2" w14:textId="147F2E70" w:rsidR="00F87CF6" w:rsidRDefault="003C141D" w:rsidP="00F34576">
      <w:pPr>
        <w:spacing w:line="240" w:lineRule="auto"/>
        <w:ind w:firstLine="504"/>
      </w:pPr>
      <w:r>
        <w:t xml:space="preserve">Treatment effects are measured using the log of firms’ monthly VAT revenue. </w:t>
      </w:r>
      <w:r w:rsidR="00D22DB0">
        <w:t>B</w:t>
      </w:r>
      <w:r>
        <w:t xml:space="preserve">ecause some firms do not remit every month, </w:t>
      </w:r>
      <w:r w:rsidR="00F87CF6">
        <w:t xml:space="preserve">resulting in zero values, I apply a standard </w:t>
      </w:r>
      <m:oMath>
        <m:r>
          <w:rPr>
            <w:rFonts w:ascii="Cambria Math" w:hAnsi="Cambria Math"/>
          </w:rPr>
          <m:t>log</m:t>
        </m:r>
        <m:d>
          <m:dPr>
            <m:ctrlPr>
              <w:rPr>
                <w:rFonts w:ascii="Cambria Math" w:hAnsi="Cambria Math"/>
                <w:i/>
              </w:rPr>
            </m:ctrlPr>
          </m:dPr>
          <m:e>
            <m:r>
              <w:rPr>
                <w:rFonts w:ascii="Cambria Math" w:hAnsi="Cambria Math"/>
              </w:rPr>
              <m:t>x+1</m:t>
            </m:r>
          </m:e>
        </m:d>
      </m:oMath>
      <w:r w:rsidR="00F87CF6">
        <w:rPr>
          <w:rFonts w:eastAsiaTheme="minorEastAsia"/>
        </w:rPr>
        <w:t xml:space="preserve"> transformation. This</w:t>
      </w:r>
      <w:r w:rsidR="00753192">
        <w:rPr>
          <w:rFonts w:eastAsiaTheme="minorEastAsia"/>
        </w:rPr>
        <w:t xml:space="preserve"> approach follows guidance from </w:t>
      </w:r>
      <w:r w:rsidR="00753192">
        <w:rPr>
          <w:rFonts w:eastAsiaTheme="minorEastAsia"/>
        </w:rPr>
        <w:t>Dzielinski et al. (2023)</w:t>
      </w:r>
      <w:r w:rsidR="00753192">
        <w:rPr>
          <w:rFonts w:eastAsiaTheme="minorEastAsia"/>
        </w:rPr>
        <w:t xml:space="preserve"> and</w:t>
      </w:r>
      <w:r w:rsidR="00F87CF6">
        <w:rPr>
          <w:rFonts w:eastAsiaTheme="minorEastAsia"/>
        </w:rPr>
        <w:t xml:space="preserve"> preserves zero observations while enabling logarithmic comparisons across firms and time. Although the adjustment introduces minor bias for small values, it avoids losing data or excluding firms with valid outcomes.</w:t>
      </w:r>
    </w:p>
    <w:p w14:paraId="22C2BD08" w14:textId="4433E056" w:rsidR="00901124" w:rsidRDefault="002D63D8" w:rsidP="00F34576">
      <w:pPr>
        <w:spacing w:line="240" w:lineRule="auto"/>
        <w:ind w:firstLine="504"/>
        <w:rPr>
          <w:rFonts w:eastAsiaTheme="minorEastAsia"/>
        </w:rPr>
      </w:pPr>
      <w:r>
        <w:rPr>
          <w:rFonts w:eastAsiaTheme="minorEastAsia"/>
        </w:rPr>
        <w:t xml:space="preserve">In addition to firm-level analysis, I estimate treatment effects </w:t>
      </w:r>
      <w:r w:rsidR="006F3C38">
        <w:rPr>
          <w:rFonts w:eastAsiaTheme="minorEastAsia"/>
        </w:rPr>
        <w:t xml:space="preserve">using a balanced panel of 189 group-industry-month units, </w:t>
      </w:r>
      <w:r>
        <w:rPr>
          <w:rFonts w:eastAsiaTheme="minorEastAsia"/>
        </w:rPr>
        <w:t xml:space="preserve">where each unit </w:t>
      </w:r>
      <w:r w:rsidR="006F3C38">
        <w:rPr>
          <w:rFonts w:eastAsiaTheme="minorEastAsia"/>
        </w:rPr>
        <w:t>represents</w:t>
      </w:r>
      <w:r>
        <w:rPr>
          <w:rFonts w:eastAsiaTheme="minorEastAsia"/>
        </w:rPr>
        <w:t xml:space="preserve"> all firms within a taxpayer </w:t>
      </w:r>
      <w:r w:rsidR="008C7222">
        <w:rPr>
          <w:rFonts w:eastAsiaTheme="minorEastAsia"/>
        </w:rPr>
        <w:t xml:space="preserve">size group </w:t>
      </w:r>
      <w:r w:rsidR="006F3C38">
        <w:rPr>
          <w:rFonts w:eastAsiaTheme="minorEastAsia"/>
        </w:rPr>
        <w:t xml:space="preserve">and industry </w:t>
      </w:r>
      <w:r>
        <w:rPr>
          <w:rFonts w:eastAsiaTheme="minorEastAsia"/>
        </w:rPr>
        <w:t xml:space="preserve">in a given month. </w:t>
      </w:r>
      <w:r w:rsidR="00CF7B6A">
        <w:rPr>
          <w:rFonts w:eastAsiaTheme="minorEastAsia"/>
        </w:rPr>
        <w:t>This aggregation smooths irregular reporting,</w:t>
      </w:r>
      <w:r w:rsidR="0009472B">
        <w:rPr>
          <w:rFonts w:eastAsiaTheme="minorEastAsia"/>
        </w:rPr>
        <w:t xml:space="preserve"> reducing noise</w:t>
      </w:r>
      <w:r w:rsidR="00104CB4">
        <w:rPr>
          <w:rFonts w:eastAsiaTheme="minorEastAsia"/>
        </w:rPr>
        <w:t xml:space="preserve">, </w:t>
      </w:r>
      <w:r w:rsidR="00CF7B6A">
        <w:rPr>
          <w:rFonts w:eastAsiaTheme="minorEastAsia"/>
        </w:rPr>
        <w:t xml:space="preserve">particularly among smaller firms. Compared to </w:t>
      </w:r>
      <w:r w:rsidR="00F6354E">
        <w:rPr>
          <w:rFonts w:eastAsiaTheme="minorEastAsia"/>
        </w:rPr>
        <w:t>the</w:t>
      </w:r>
      <w:r w:rsidR="00CF7B6A">
        <w:rPr>
          <w:rFonts w:eastAsiaTheme="minorEastAsia"/>
        </w:rPr>
        <w:t xml:space="preserve"> firm-</w:t>
      </w:r>
      <w:r w:rsidR="00F6354E">
        <w:rPr>
          <w:rFonts w:eastAsiaTheme="minorEastAsia"/>
        </w:rPr>
        <w:t>level</w:t>
      </w:r>
      <w:r w:rsidR="00CF7B6A">
        <w:rPr>
          <w:rFonts w:eastAsiaTheme="minorEastAsia"/>
        </w:rPr>
        <w:t xml:space="preserve"> panel </w:t>
      </w:r>
      <w:r w:rsidR="00F6354E">
        <w:rPr>
          <w:rFonts w:eastAsiaTheme="minorEastAsia"/>
        </w:rPr>
        <w:t xml:space="preserve">defined by industry and municipality, </w:t>
      </w:r>
      <w:r w:rsidR="00CF7B6A">
        <w:rPr>
          <w:rFonts w:eastAsiaTheme="minorEastAsia"/>
        </w:rPr>
        <w:t xml:space="preserve">the group-industry aggregation </w:t>
      </w:r>
      <w:r w:rsidR="0000761F">
        <w:rPr>
          <w:rFonts w:eastAsiaTheme="minorEastAsia"/>
        </w:rPr>
        <w:t xml:space="preserve">sacrifices </w:t>
      </w:r>
      <w:r w:rsidR="007A1B8E">
        <w:rPr>
          <w:rFonts w:eastAsiaTheme="minorEastAsia"/>
        </w:rPr>
        <w:t>g</w:t>
      </w:r>
      <w:r w:rsidR="00CF7B6A">
        <w:rPr>
          <w:rFonts w:eastAsiaTheme="minorEastAsia"/>
        </w:rPr>
        <w:t>ranularity for greater stability and interpretability in fiscal behavior.</w:t>
      </w:r>
      <w:r w:rsidR="00F10A4E">
        <w:rPr>
          <w:rFonts w:eastAsiaTheme="minorEastAsia"/>
        </w:rPr>
        <w:t xml:space="preserve"> These results are more </w:t>
      </w:r>
      <w:r w:rsidR="009009D2">
        <w:rPr>
          <w:rFonts w:eastAsiaTheme="minorEastAsia"/>
        </w:rPr>
        <w:t xml:space="preserve">informative </w:t>
      </w:r>
      <w:r w:rsidR="00F10A4E">
        <w:rPr>
          <w:rFonts w:eastAsiaTheme="minorEastAsia"/>
        </w:rPr>
        <w:t xml:space="preserve">for policymakers </w:t>
      </w:r>
      <w:r w:rsidR="009009D2">
        <w:rPr>
          <w:rFonts w:eastAsiaTheme="minorEastAsia"/>
        </w:rPr>
        <w:t>evaluating the mandate’s impact across</w:t>
      </w:r>
      <w:r w:rsidR="00F10A4E">
        <w:rPr>
          <w:rFonts w:eastAsiaTheme="minorEastAsia"/>
        </w:rPr>
        <w:t xml:space="preserve"> economic sectors.</w:t>
      </w:r>
    </w:p>
    <w:p w14:paraId="0A933589" w14:textId="5ACD639E" w:rsidR="00AD0EFA" w:rsidRPr="008103FB" w:rsidRDefault="00713089" w:rsidP="00621452">
      <w:pPr>
        <w:spacing w:line="240" w:lineRule="auto"/>
        <w:ind w:firstLine="504"/>
        <w:rPr>
          <w:rFonts w:eastAsiaTheme="minorEastAsia"/>
        </w:rPr>
      </w:pPr>
      <w:r>
        <w:t xml:space="preserve">To </w:t>
      </w:r>
      <w:r w:rsidR="00CB0144">
        <w:t>examine</w:t>
      </w:r>
      <w:r>
        <w:t xml:space="preserve"> how treatment effects </w:t>
      </w:r>
      <w:r w:rsidR="00621452">
        <w:t>evolve</w:t>
      </w:r>
      <w:r w:rsidR="00F14F92">
        <w:t xml:space="preserve"> over time</w:t>
      </w:r>
      <w:r w:rsidR="00621452">
        <w:t xml:space="preserve">, I construct an event study that re-indexes </w:t>
      </w:r>
      <w:r w:rsidR="0016302A">
        <w:t>outcomes</w:t>
      </w:r>
      <w:r w:rsidR="00621452">
        <w:t xml:space="preserve"> relative to each group’s treatment date. Letting</w:t>
      </w:r>
      <w:r w:rsidR="009172E6">
        <w:t xml:space="preserve"> </w:t>
      </w:r>
      <m:oMath>
        <m:r>
          <w:rPr>
            <w:rFonts w:ascii="Cambria Math" w:hAnsi="Cambria Math"/>
          </w:rPr>
          <m:t>e=t-g</m:t>
        </m:r>
      </m:oMath>
      <w:r w:rsidR="009172E6">
        <w:rPr>
          <w:rFonts w:eastAsiaTheme="minorEastAsia"/>
        </w:rPr>
        <w:t xml:space="preserve"> </w:t>
      </w:r>
      <w:r w:rsidR="00621452">
        <w:rPr>
          <w:rFonts w:eastAsiaTheme="minorEastAsia"/>
        </w:rPr>
        <w:t>denote</w:t>
      </w:r>
      <w:r w:rsidR="009172E6">
        <w:rPr>
          <w:rFonts w:eastAsiaTheme="minorEastAsia"/>
        </w:rPr>
        <w:t xml:space="preserve"> event time (i.e., how many periods before or after treatment), I estimate the average treatment effect at each event time:</w:t>
      </w:r>
      <w:r w:rsidR="009172E6">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es</m:t>
              </m:r>
            </m:sub>
          </m:sSub>
          <m:d>
            <m:dPr>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r>
                <m:rPr>
                  <m:sty m:val="bi"/>
                </m:rPr>
                <w:rPr>
                  <w:rFonts w:ascii="Cambria Math" w:hAnsi="Cambria Math"/>
                </w:rPr>
                <m:t>1</m:t>
              </m:r>
              <m:d>
                <m:dPr>
                  <m:begChr m:val="{"/>
                  <m:endChr m:val="}"/>
                  <m:ctrlPr>
                    <w:rPr>
                      <w:rFonts w:ascii="Cambria Math" w:hAnsi="Cambria Math"/>
                      <w:i/>
                    </w:rPr>
                  </m:ctrlPr>
                </m:dPr>
                <m:e>
                  <m:r>
                    <w:rPr>
                      <w:rFonts w:ascii="Cambria Math" w:hAnsi="Cambria Math"/>
                    </w:rPr>
                    <m:t>g+e≤T</m:t>
                  </m:r>
                </m:e>
              </m:d>
              <m:r>
                <w:rPr>
                  <w:rFonts w:ascii="Cambria Math" w:hAnsi="Cambria Math"/>
                </w:rPr>
                <m:t>P</m:t>
              </m:r>
              <m:d>
                <m:dPr>
                  <m:ctrlPr>
                    <w:rPr>
                      <w:rFonts w:ascii="Cambria Math" w:hAnsi="Cambria Math"/>
                      <w:i/>
                    </w:rPr>
                  </m:ctrlPr>
                </m:dPr>
                <m:e>
                  <m:r>
                    <w:rPr>
                      <w:rFonts w:ascii="Cambria Math" w:hAnsi="Cambria Math"/>
                    </w:rPr>
                    <m:t>G=g</m:t>
                  </m:r>
                </m:e>
                <m:e>
                  <m:r>
                    <w:rPr>
                      <w:rFonts w:ascii="Cambria Math" w:hAnsi="Cambria Math"/>
                    </w:rPr>
                    <m:t>G+e≤T</m:t>
                  </m:r>
                </m:e>
              </m:d>
              <m:r>
                <w:rPr>
                  <w:rFonts w:ascii="Cambria Math" w:hAnsi="Cambria Math"/>
                </w:rPr>
                <m:t>ATT</m:t>
              </m:r>
              <m:d>
                <m:dPr>
                  <m:ctrlPr>
                    <w:rPr>
                      <w:rFonts w:ascii="Cambria Math" w:hAnsi="Cambria Math"/>
                      <w:i/>
                    </w:rPr>
                  </m:ctrlPr>
                </m:dPr>
                <m:e>
                  <m:r>
                    <w:rPr>
                      <w:rFonts w:ascii="Cambria Math" w:hAnsi="Cambria Math"/>
                    </w:rPr>
                    <m:t>g,g+e</m:t>
                  </m:r>
                </m:e>
              </m:d>
              <m:r>
                <w:rPr>
                  <w:rFonts w:ascii="Cambria Math" w:hAnsi="Cambria Math"/>
                </w:rPr>
                <m:t>.</m:t>
              </m:r>
            </m:e>
          </m:nary>
        </m:oMath>
      </m:oMathPara>
    </w:p>
    <w:p w14:paraId="2C4A01E1" w14:textId="29DFA7A7" w:rsidR="008103FB" w:rsidRDefault="008103FB" w:rsidP="00713089">
      <w:pPr>
        <w:spacing w:line="240" w:lineRule="auto"/>
        <w:rPr>
          <w:rFonts w:eastAsiaTheme="minorEastAsia"/>
        </w:rPr>
      </w:pPr>
      <w:r>
        <w:rPr>
          <w:rFonts w:eastAsiaTheme="minorEastAsia"/>
        </w:rPr>
        <w:t xml:space="preserve">This </w:t>
      </w:r>
      <w:r w:rsidR="00831296">
        <w:rPr>
          <w:rFonts w:eastAsiaTheme="minorEastAsia"/>
        </w:rPr>
        <w:t xml:space="preserve">expression </w:t>
      </w:r>
      <w:r>
        <w:rPr>
          <w:rFonts w:eastAsiaTheme="minorEastAsia"/>
        </w:rPr>
        <w:t xml:space="preserve">aggregates group-time effects observed </w:t>
      </w:r>
      <w:r w:rsidR="00224C6D">
        <w:rPr>
          <w:rFonts w:eastAsiaTheme="minorEastAsia"/>
        </w:rPr>
        <w:t xml:space="preserve">at event time </w:t>
      </w:r>
      <m:oMath>
        <m:r>
          <w:rPr>
            <w:rFonts w:ascii="Cambria Math" w:eastAsiaTheme="minorEastAsia" w:hAnsi="Cambria Math"/>
          </w:rPr>
          <m:t>e</m:t>
        </m:r>
      </m:oMath>
      <w:r w:rsidR="00224C6D">
        <w:rPr>
          <w:rFonts w:eastAsiaTheme="minorEastAsia"/>
        </w:rPr>
        <w:t>,</w:t>
      </w:r>
      <w:r>
        <w:rPr>
          <w:rFonts w:eastAsiaTheme="minorEastAsia"/>
        </w:rPr>
        <w:t xml:space="preserve"> </w:t>
      </w:r>
      <w:r w:rsidR="00224C6D">
        <w:rPr>
          <w:rFonts w:eastAsiaTheme="minorEastAsia"/>
        </w:rPr>
        <w:t>weighting by group size.</w:t>
      </w:r>
      <w:r w:rsidR="00FE4B66">
        <w:rPr>
          <w:rFonts w:eastAsiaTheme="minorEastAsia"/>
        </w:rPr>
        <w:t xml:space="preserve"> </w:t>
      </w:r>
      <w:r w:rsidR="0044054B">
        <w:rPr>
          <w:rFonts w:eastAsiaTheme="minorEastAsia"/>
        </w:rPr>
        <w:t xml:space="preserve">Negative values of </w:t>
      </w:r>
      <m:oMath>
        <m:r>
          <w:rPr>
            <w:rFonts w:ascii="Cambria Math" w:eastAsiaTheme="minorEastAsia" w:hAnsi="Cambria Math"/>
          </w:rPr>
          <m:t>e</m:t>
        </m:r>
      </m:oMath>
      <w:r w:rsidR="0044054B">
        <w:rPr>
          <w:rFonts w:eastAsiaTheme="minorEastAsia"/>
        </w:rPr>
        <w:t xml:space="preserve"> </w:t>
      </w:r>
      <w:r w:rsidR="00767C66">
        <w:rPr>
          <w:rFonts w:eastAsiaTheme="minorEastAsia"/>
        </w:rPr>
        <w:t>correspond to</w:t>
      </w:r>
      <w:r w:rsidR="0044054B">
        <w:rPr>
          <w:rFonts w:eastAsiaTheme="minorEastAsia"/>
        </w:rPr>
        <w:t xml:space="preserve"> pre-treatment periods (used to </w:t>
      </w:r>
      <w:r w:rsidR="002C7FDD">
        <w:rPr>
          <w:rFonts w:eastAsiaTheme="minorEastAsia"/>
        </w:rPr>
        <w:t>assess parallel trends</w:t>
      </w:r>
      <w:r w:rsidR="0044054B">
        <w:rPr>
          <w:rFonts w:eastAsiaTheme="minorEastAsia"/>
        </w:rPr>
        <w:t xml:space="preserve">), while positive values </w:t>
      </w:r>
      <w:r w:rsidR="00D2789D">
        <w:rPr>
          <w:rFonts w:eastAsiaTheme="minorEastAsia"/>
        </w:rPr>
        <w:t>reflect post-treatment effects</w:t>
      </w:r>
      <w:r w:rsidR="0044054B">
        <w:rPr>
          <w:rFonts w:eastAsiaTheme="minorEastAsia"/>
        </w:rPr>
        <w:t>.</w:t>
      </w:r>
    </w:p>
    <w:p w14:paraId="488DB568" w14:textId="35FEDB87" w:rsidR="00637F41" w:rsidRDefault="0052206B" w:rsidP="00F34576">
      <w:pPr>
        <w:spacing w:line="240" w:lineRule="auto"/>
        <w:ind w:firstLine="504"/>
        <w:rPr>
          <w:rFonts w:eastAsiaTheme="minorEastAsia"/>
        </w:rPr>
      </w:pPr>
      <w:r w:rsidRPr="0052206B">
        <w:rPr>
          <w:rFonts w:eastAsiaTheme="minorEastAsia"/>
        </w:rPr>
        <w:t xml:space="preserve">I implement this estimator in two steps using the </w:t>
      </w:r>
      <w:proofErr w:type="spellStart"/>
      <w:r w:rsidRPr="0052206B">
        <w:rPr>
          <w:rFonts w:eastAsiaTheme="minorEastAsia"/>
        </w:rPr>
        <w:t>did</w:t>
      </w:r>
      <w:proofErr w:type="spellEnd"/>
      <w:r w:rsidRPr="0052206B">
        <w:rPr>
          <w:rFonts w:eastAsiaTheme="minorEastAsia"/>
        </w:rPr>
        <w:t xml:space="preserve"> package in R. </w:t>
      </w:r>
      <w:r w:rsidR="00B36B3C">
        <w:rPr>
          <w:rFonts w:eastAsiaTheme="minorEastAsia"/>
        </w:rPr>
        <w:t>The Callaway and Sant’Anna (2021)</w:t>
      </w:r>
      <w:r w:rsidRPr="0052206B">
        <w:rPr>
          <w:rFonts w:eastAsiaTheme="minorEastAsia"/>
        </w:rPr>
        <w:t xml:space="preserve"> </w:t>
      </w:r>
      <w:r w:rsidR="00084783">
        <w:rPr>
          <w:rFonts w:eastAsiaTheme="minorEastAsia"/>
        </w:rPr>
        <w:t xml:space="preserve">event study </w:t>
      </w:r>
      <w:r w:rsidRPr="0052206B">
        <w:rPr>
          <w:rFonts w:eastAsiaTheme="minorEastAsia"/>
        </w:rPr>
        <w:t xml:space="preserve">provides more credible estimates under staggered rollout. Unlike Bellon et al. (2020), which used traditional TWFE in their Peru study, the event study framework </w:t>
      </w:r>
      <w:r w:rsidR="00192490">
        <w:rPr>
          <w:rFonts w:eastAsiaTheme="minorEastAsia"/>
        </w:rPr>
        <w:t xml:space="preserve">explicitly </w:t>
      </w:r>
      <w:r w:rsidRPr="0052206B">
        <w:rPr>
          <w:rFonts w:eastAsiaTheme="minorEastAsia"/>
        </w:rPr>
        <w:t>models treatment dynamics and restricts comparisons to untreated units. As a result, the Callaway and Sant’Anna (2021) method avoids common biases and offers a clearer view of the policy’s timing and impact.</w:t>
      </w:r>
    </w:p>
    <w:p w14:paraId="538BEBB0" w14:textId="77777777" w:rsidR="0021646A" w:rsidRDefault="0021646A" w:rsidP="00F34576">
      <w:pPr>
        <w:spacing w:line="240" w:lineRule="auto"/>
        <w:ind w:firstLine="504"/>
        <w:rPr>
          <w:rFonts w:eastAsiaTheme="minorEastAsia"/>
        </w:rPr>
      </w:pPr>
    </w:p>
    <w:p w14:paraId="08EF714A" w14:textId="77777777" w:rsidR="0021646A" w:rsidRDefault="0021646A" w:rsidP="00F34576">
      <w:pPr>
        <w:spacing w:line="240" w:lineRule="auto"/>
        <w:ind w:firstLine="504"/>
        <w:rPr>
          <w:rFonts w:eastAsiaTheme="minorEastAsia"/>
        </w:rPr>
      </w:pPr>
    </w:p>
    <w:p w14:paraId="178B1C0D" w14:textId="4EBFD0ED" w:rsidR="00053F67" w:rsidRDefault="0021646A" w:rsidP="00F34576">
      <w:pPr>
        <w:pStyle w:val="Heading2"/>
        <w:spacing w:line="240" w:lineRule="auto"/>
        <w:ind w:firstLine="504"/>
      </w:pPr>
      <w:r>
        <w:lastRenderedPageBreak/>
        <w:t>Results:</w:t>
      </w:r>
    </w:p>
    <w:p w14:paraId="52C15B17" w14:textId="39EB11ED" w:rsidR="00262BE8" w:rsidRDefault="00053F67" w:rsidP="00F34576">
      <w:pPr>
        <w:spacing w:line="240" w:lineRule="auto"/>
        <w:ind w:firstLine="504"/>
      </w:pPr>
      <w:r>
        <w:tab/>
        <w:t>The Callaway and Sant’Anna (2021) event study model fits the data well</w:t>
      </w:r>
      <w:r w:rsidR="00262BE8">
        <w:t xml:space="preserve"> and confirms parallel pre-treatment trends</w:t>
      </w:r>
      <w:r>
        <w:t>.</w:t>
      </w:r>
      <w:r w:rsidR="000467B5">
        <w:t xml:space="preserve"> </w:t>
      </w:r>
      <w:r w:rsidR="00262BE8">
        <w:t xml:space="preserve">I find no evidence that El Salvador’s e-invoicing mandate significantly or </w:t>
      </w:r>
      <w:r w:rsidR="004A07D3">
        <w:t>rapidly</w:t>
      </w:r>
      <w:r w:rsidR="00262BE8">
        <w:t xml:space="preserve"> increased VAT remittance or compliance during the initial rollout period. However, long-term effects — particularly among smaller firms — remain </w:t>
      </w:r>
      <w:r w:rsidR="00093A3D">
        <w:t>uncertain</w:t>
      </w:r>
      <w:r w:rsidR="00262BE8">
        <w:t xml:space="preserve"> and </w:t>
      </w:r>
      <w:r w:rsidR="00093A3D">
        <w:t>may strengthen as</w:t>
      </w:r>
      <w:r w:rsidR="00262BE8">
        <w:t xml:space="preserve"> firms adapt and enforcement scales. </w:t>
      </w:r>
      <w:r w:rsidR="00BE1735">
        <w:t>These results</w:t>
      </w:r>
      <w:r w:rsidR="00262BE8">
        <w:t xml:space="preserve"> reject the hypothesis that the policy produced immediate gains in public revenue collection.</w:t>
      </w:r>
    </w:p>
    <w:p w14:paraId="3464634A" w14:textId="19F6A325" w:rsidR="00F34576" w:rsidRDefault="00F34576" w:rsidP="00F34576">
      <w:pPr>
        <w:pStyle w:val="Heading3"/>
        <w:spacing w:line="240" w:lineRule="auto"/>
      </w:pPr>
      <w:r>
        <w:tab/>
      </w:r>
    </w:p>
    <w:p w14:paraId="4FCAAE9D" w14:textId="1B4AA708" w:rsidR="0021646A" w:rsidRDefault="00F34576" w:rsidP="00F34576">
      <w:pPr>
        <w:pStyle w:val="Heading3"/>
        <w:spacing w:line="240" w:lineRule="auto"/>
        <w:ind w:firstLine="504"/>
      </w:pPr>
      <w:r>
        <w:t xml:space="preserve">A. </w:t>
      </w:r>
      <w:r w:rsidR="0034763C">
        <w:t>Effects on VAT Remittance</w:t>
      </w:r>
      <w:r w:rsidR="003068B2">
        <w:t>:</w:t>
      </w:r>
    </w:p>
    <w:p w14:paraId="4BCE8587" w14:textId="77777777" w:rsidR="0021646A" w:rsidRDefault="0021646A" w:rsidP="00F34576">
      <w:pPr>
        <w:spacing w:line="240" w:lineRule="auto"/>
        <w:ind w:firstLine="504"/>
      </w:pPr>
      <w:r w:rsidRPr="0021646A">
        <w:drawing>
          <wp:inline distT="0" distB="0" distL="0" distR="0" wp14:anchorId="170B9350" wp14:editId="1FFC47AB">
            <wp:extent cx="6061787" cy="3028950"/>
            <wp:effectExtent l="0" t="0" r="0" b="0"/>
            <wp:docPr id="1719539332"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9332" name="Picture 1" descr="A graph with lines and dots&#10;&#10;AI-generated content may be incorrect."/>
                    <pic:cNvPicPr/>
                  </pic:nvPicPr>
                  <pic:blipFill>
                    <a:blip r:embed="rId8"/>
                    <a:stretch>
                      <a:fillRect/>
                    </a:stretch>
                  </pic:blipFill>
                  <pic:spPr>
                    <a:xfrm>
                      <a:off x="0" y="0"/>
                      <a:ext cx="6079814" cy="3037958"/>
                    </a:xfrm>
                    <a:prstGeom prst="rect">
                      <a:avLst/>
                    </a:prstGeom>
                  </pic:spPr>
                </pic:pic>
              </a:graphicData>
            </a:graphic>
          </wp:inline>
        </w:drawing>
      </w:r>
    </w:p>
    <w:p w14:paraId="52943550" w14:textId="77777777" w:rsidR="00F20E0D" w:rsidRDefault="00F20E0D" w:rsidP="00F34576">
      <w:pPr>
        <w:spacing w:line="240" w:lineRule="auto"/>
        <w:ind w:firstLine="504"/>
      </w:pPr>
    </w:p>
    <w:p w14:paraId="3E9CC0F0" w14:textId="7C28CAD6" w:rsidR="001E7F83" w:rsidRDefault="001E7F83" w:rsidP="001E7F83">
      <w:pPr>
        <w:spacing w:line="240" w:lineRule="auto"/>
        <w:ind w:firstLine="504"/>
      </w:pPr>
      <w:r>
        <w:t xml:space="preserve">I estimate treatment effects on log monthly VAT revenue using </w:t>
      </w:r>
      <w:r w:rsidR="000632A2">
        <w:t xml:space="preserve">the </w:t>
      </w:r>
      <w:r>
        <w:t xml:space="preserve">Callaway and Sant’Anna (2021) event study model. Figure 1 plots group-time ATT estimates, and the results confirm parallel pre-treatment trends. Through the end of 2024, there is no statistically significant increase in VAT revenue following e-invoicing adoption. The overall average treatment effect on the treated (ATT is 0.012 (SE = 0.041), </w:t>
      </w:r>
      <w:r w:rsidR="006A6978">
        <w:t>with</w:t>
      </w:r>
      <w:r>
        <w:t xml:space="preserve"> a 95% confidence interval </w:t>
      </w:r>
      <w:r w:rsidR="00F20E0D">
        <w:t xml:space="preserve">of [-0.068, 0.091]. These </w:t>
      </w:r>
      <w:r>
        <w:t xml:space="preserve">null </w:t>
      </w:r>
      <w:r w:rsidR="00F20E0D">
        <w:t xml:space="preserve">results </w:t>
      </w:r>
      <w:r>
        <w:t>are visualized in a flat post-treatment path.</w:t>
      </w:r>
    </w:p>
    <w:p w14:paraId="71E1CEC8" w14:textId="584FE76E" w:rsidR="00F20E0D" w:rsidRDefault="001E7F83" w:rsidP="00F34576">
      <w:pPr>
        <w:spacing w:line="240" w:lineRule="auto"/>
        <w:ind w:firstLine="504"/>
      </w:pPr>
      <w:r>
        <w:t>These findings suggest that mandatory e-invoicing did not raise reported VAT revenue in the short run. This may reflect gradual firm adaptation, limited enforcement, or transitional frictions. This event study model accounts for staggered rollout and avoids cohort contamination, lending credibility to the null result. While short-term effects are limited, longer-run gains remain plausible, especially for</w:t>
      </w:r>
      <w:r w:rsidR="008565CF">
        <w:t xml:space="preserve"> smaller</w:t>
      </w:r>
      <w:r>
        <w:t xml:space="preserve"> firms slower to adopt digital reporting.</w:t>
      </w:r>
    </w:p>
    <w:p w14:paraId="2B5C86B5" w14:textId="77777777" w:rsidR="00F20E0D" w:rsidRDefault="00F20E0D" w:rsidP="00F34576">
      <w:pPr>
        <w:spacing w:line="240" w:lineRule="auto"/>
        <w:ind w:firstLine="504"/>
      </w:pPr>
    </w:p>
    <w:p w14:paraId="1F363589" w14:textId="71613000" w:rsidR="0021646A" w:rsidRDefault="003068B2" w:rsidP="00896603">
      <w:pPr>
        <w:pStyle w:val="Heading3"/>
        <w:numPr>
          <w:ilvl w:val="0"/>
          <w:numId w:val="10"/>
        </w:numPr>
        <w:spacing w:line="240" w:lineRule="auto"/>
      </w:pPr>
      <w:r>
        <w:t>Changes in Remittance Probability</w:t>
      </w:r>
    </w:p>
    <w:p w14:paraId="7C32CF96" w14:textId="197EC67A" w:rsidR="000E6440" w:rsidRDefault="0021646A" w:rsidP="00CF0262">
      <w:pPr>
        <w:spacing w:line="240" w:lineRule="auto"/>
        <w:ind w:firstLine="504"/>
      </w:pPr>
      <w:r w:rsidRPr="0021646A">
        <w:drawing>
          <wp:inline distT="0" distB="0" distL="0" distR="0" wp14:anchorId="58CD3824" wp14:editId="7ADA1D41">
            <wp:extent cx="5512792" cy="2754630"/>
            <wp:effectExtent l="0" t="0" r="0" b="1270"/>
            <wp:docPr id="734020653"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0653" name="Picture 1" descr="A graph with lines and dots&#10;&#10;AI-generated content may be incorrect."/>
                    <pic:cNvPicPr/>
                  </pic:nvPicPr>
                  <pic:blipFill>
                    <a:blip r:embed="rId9"/>
                    <a:stretch>
                      <a:fillRect/>
                    </a:stretch>
                  </pic:blipFill>
                  <pic:spPr>
                    <a:xfrm>
                      <a:off x="0" y="0"/>
                      <a:ext cx="5537075" cy="2766764"/>
                    </a:xfrm>
                    <a:prstGeom prst="rect">
                      <a:avLst/>
                    </a:prstGeom>
                  </pic:spPr>
                </pic:pic>
              </a:graphicData>
            </a:graphic>
          </wp:inline>
        </w:drawing>
      </w:r>
    </w:p>
    <w:p w14:paraId="67600905" w14:textId="77777777" w:rsidR="00CF0262" w:rsidRDefault="00CF0262" w:rsidP="00CF0262">
      <w:pPr>
        <w:spacing w:line="240" w:lineRule="auto"/>
        <w:ind w:firstLine="504"/>
      </w:pPr>
    </w:p>
    <w:p w14:paraId="55BD2BF3" w14:textId="7804A6DC" w:rsidR="004F6BDA" w:rsidRDefault="00F116A7" w:rsidP="00F116A7">
      <w:pPr>
        <w:spacing w:line="240" w:lineRule="auto"/>
        <w:ind w:firstLine="504"/>
      </w:pPr>
      <w:r>
        <w:t>To test whether e-invoicing affected firms’ likelihood of remitting, I estimate dynamic effects on the probability of positive monthly VAT payment. The ATT is –0.0006 (SE = 0.0037), with a 95% confidence interval of [–0.0078, 0.0066], indicating no statistically significant change.</w:t>
      </w:r>
      <w:r w:rsidR="00D514ED">
        <w:t xml:space="preserve"> Because the sample excludes firms with no reported revenue prior to the first notification date, estimates reflect compliance behavior among firms already filing VAT returns.</w:t>
      </w:r>
      <w:r>
        <w:t xml:space="preserve"> These results suggest that e-invoicing had little short-run effect on the extensive margin of compliance</w:t>
      </w:r>
      <w:r w:rsidR="0060094D">
        <w:t>: f</w:t>
      </w:r>
      <w:r>
        <w:t>irms that previously remitted continued to do so, while non-remitting firms largely remained</w:t>
      </w:r>
      <w:r w:rsidR="000F1DAD">
        <w:t xml:space="preserve"> noncompliant</w:t>
      </w:r>
      <w:r>
        <w:t>. This aligns with the earlier finding of no significant revenue gains.</w:t>
      </w:r>
    </w:p>
    <w:p w14:paraId="301B373A" w14:textId="77777777" w:rsidR="000E6440" w:rsidRDefault="000E6440" w:rsidP="00F34576">
      <w:pPr>
        <w:spacing w:line="240" w:lineRule="auto"/>
        <w:ind w:firstLine="504"/>
      </w:pPr>
    </w:p>
    <w:p w14:paraId="5EDA037B" w14:textId="70C2F278" w:rsidR="00B10D0C" w:rsidRDefault="00393C75" w:rsidP="00896603">
      <w:pPr>
        <w:pStyle w:val="Heading3"/>
        <w:numPr>
          <w:ilvl w:val="0"/>
          <w:numId w:val="10"/>
        </w:numPr>
        <w:spacing w:line="240" w:lineRule="auto"/>
      </w:pPr>
      <w:r>
        <w:t>Aggregate Revenue and Compliance Effects</w:t>
      </w:r>
    </w:p>
    <w:p w14:paraId="44EA93BB" w14:textId="78B2BD48" w:rsidR="00B10D0C" w:rsidRPr="00B10D0C" w:rsidRDefault="00B10D0C" w:rsidP="00F34576">
      <w:pPr>
        <w:spacing w:line="240" w:lineRule="auto"/>
        <w:ind w:firstLine="504"/>
      </w:pPr>
    </w:p>
    <w:p w14:paraId="19D7B0D6" w14:textId="1A5F41E6" w:rsidR="00D224F6" w:rsidRPr="00D224F6" w:rsidRDefault="000E6440" w:rsidP="00F34576">
      <w:pPr>
        <w:pStyle w:val="Heading3"/>
        <w:spacing w:line="240" w:lineRule="auto"/>
        <w:ind w:firstLine="504"/>
        <w:rPr>
          <w:b w:val="0"/>
          <w:bCs w:val="0"/>
          <w:noProof/>
        </w:rPr>
      </w:pPr>
      <w:r w:rsidRPr="000E6440">
        <w:rPr>
          <w:noProof/>
        </w:rPr>
        <w:lastRenderedPageBreak/>
        <w:t xml:space="preserve"> </w:t>
      </w:r>
      <w:r w:rsidRPr="000E6440">
        <w:drawing>
          <wp:inline distT="0" distB="0" distL="0" distR="0" wp14:anchorId="241F831D" wp14:editId="69EDF877">
            <wp:extent cx="4128770" cy="2063061"/>
            <wp:effectExtent l="0" t="0" r="0" b="0"/>
            <wp:docPr id="111493154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1542" name="Picture 1" descr="A graph with lines in red and blue&#10;&#10;AI-generated content may be incorrect."/>
                    <pic:cNvPicPr/>
                  </pic:nvPicPr>
                  <pic:blipFill>
                    <a:blip r:embed="rId10"/>
                    <a:stretch>
                      <a:fillRect/>
                    </a:stretch>
                  </pic:blipFill>
                  <pic:spPr>
                    <a:xfrm>
                      <a:off x="0" y="0"/>
                      <a:ext cx="4325001" cy="2161114"/>
                    </a:xfrm>
                    <a:prstGeom prst="rect">
                      <a:avLst/>
                    </a:prstGeom>
                  </pic:spPr>
                </pic:pic>
              </a:graphicData>
            </a:graphic>
          </wp:inline>
        </w:drawing>
      </w:r>
      <w:r w:rsidRPr="000E6440">
        <w:rPr>
          <w:noProof/>
        </w:rPr>
        <w:t xml:space="preserve"> </w:t>
      </w:r>
      <w:r w:rsidR="0058532D">
        <w:rPr>
          <w:noProof/>
        </w:rPr>
        <w:t>(</w:t>
      </w:r>
      <w:r w:rsidR="007C657A">
        <w:rPr>
          <w:noProof/>
        </w:rPr>
        <w:t xml:space="preserve">Panel </w:t>
      </w:r>
      <w:r w:rsidR="0058532D">
        <w:rPr>
          <w:noProof/>
        </w:rPr>
        <w:t>A)</w:t>
      </w:r>
    </w:p>
    <w:p w14:paraId="08250817" w14:textId="2ACD7AD2" w:rsidR="000E6440" w:rsidRDefault="000E6440" w:rsidP="00F34576">
      <w:pPr>
        <w:pStyle w:val="Heading3"/>
        <w:spacing w:line="240" w:lineRule="auto"/>
        <w:ind w:firstLine="504"/>
      </w:pPr>
      <w:r w:rsidRPr="000E6440">
        <w:rPr>
          <w:noProof/>
        </w:rPr>
        <w:drawing>
          <wp:inline distT="0" distB="0" distL="0" distR="0" wp14:anchorId="765FAF06" wp14:editId="7EEA1E6F">
            <wp:extent cx="4163187" cy="2080260"/>
            <wp:effectExtent l="0" t="0" r="2540" b="2540"/>
            <wp:docPr id="1535925798"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25798" name="Picture 1" descr="A graph with lines in the middle&#10;&#10;AI-generated content may be incorrect."/>
                    <pic:cNvPicPr/>
                  </pic:nvPicPr>
                  <pic:blipFill>
                    <a:blip r:embed="rId11"/>
                    <a:stretch>
                      <a:fillRect/>
                    </a:stretch>
                  </pic:blipFill>
                  <pic:spPr>
                    <a:xfrm>
                      <a:off x="0" y="0"/>
                      <a:ext cx="4309073" cy="2153156"/>
                    </a:xfrm>
                    <a:prstGeom prst="rect">
                      <a:avLst/>
                    </a:prstGeom>
                  </pic:spPr>
                </pic:pic>
              </a:graphicData>
            </a:graphic>
          </wp:inline>
        </w:drawing>
      </w:r>
      <w:r w:rsidR="0058532D">
        <w:t>(</w:t>
      </w:r>
      <w:r w:rsidR="007C657A">
        <w:t xml:space="preserve">Panel </w:t>
      </w:r>
      <w:r w:rsidR="0058532D">
        <w:t>B)</w:t>
      </w:r>
    </w:p>
    <w:p w14:paraId="401083C8" w14:textId="77777777" w:rsidR="00355AAA" w:rsidRDefault="00355AAA" w:rsidP="00F34576">
      <w:pPr>
        <w:spacing w:line="240" w:lineRule="auto"/>
        <w:ind w:firstLine="504"/>
      </w:pPr>
    </w:p>
    <w:p w14:paraId="5D1F57BD" w14:textId="2323D48F" w:rsidR="00355AAA" w:rsidRDefault="00A032C9" w:rsidP="00802EC3">
      <w:pPr>
        <w:spacing w:line="240" w:lineRule="auto"/>
        <w:ind w:firstLine="504"/>
      </w:pPr>
      <w:r>
        <w:t>To assess broader fiscal effects, I estimate event studies using group-industry-month units, where each unit includes all firms within a taxpayer size group and industry code. Panel A reports effects on log total VAT revenue; Panel B shows the probability that any firm in the unit remits VAT. All ATT estimates are calculated using not-yet-treated group-industries as controls.</w:t>
      </w:r>
      <w:r>
        <w:t xml:space="preserve"> </w:t>
      </w:r>
      <w:r>
        <w:t>For log revenue, the estimated ATT is –0.059 (SE = 0.100), with a 95% confidence interval of [–0.255, 0.136]</w:t>
      </w:r>
      <w:r w:rsidR="0037411A">
        <w:t>; t</w:t>
      </w:r>
      <w:r>
        <w:t>he event study plot shows no post-treatment increase. For remittance probability, the ATT is 0.009 (SE = 0.011),</w:t>
      </w:r>
      <w:r w:rsidR="008E37DF">
        <w:t xml:space="preserve"> with a 95% confidence interval of [-0.013, 0.031],</w:t>
      </w:r>
      <w:r>
        <w:t xml:space="preserve"> also statistically insignificant.</w:t>
      </w:r>
      <w:r w:rsidR="00802EC3">
        <w:t xml:space="preserve"> </w:t>
      </w:r>
      <w:r>
        <w:t>These results suggest that e-invoicing had no measurable short-run effect on aggregate revenue or compliance through the end of 2024, consistent with firm-level findings.</w:t>
      </w:r>
    </w:p>
    <w:p w14:paraId="48B8A6BA" w14:textId="41212B36" w:rsidR="00355AAA" w:rsidRDefault="00355AAA" w:rsidP="00F34576">
      <w:pPr>
        <w:spacing w:line="240" w:lineRule="auto"/>
        <w:ind w:firstLine="504"/>
      </w:pPr>
    </w:p>
    <w:p w14:paraId="41DAAA23" w14:textId="77777777" w:rsidR="00024A01" w:rsidRDefault="00024A01" w:rsidP="00F34576">
      <w:pPr>
        <w:spacing w:line="240" w:lineRule="auto"/>
        <w:ind w:firstLine="504"/>
      </w:pPr>
    </w:p>
    <w:p w14:paraId="1DE57EA0" w14:textId="4D5E54B3" w:rsidR="00024A01" w:rsidRDefault="00024A01" w:rsidP="00896603">
      <w:pPr>
        <w:pStyle w:val="Heading3"/>
        <w:numPr>
          <w:ilvl w:val="0"/>
          <w:numId w:val="10"/>
        </w:numPr>
        <w:spacing w:line="240" w:lineRule="auto"/>
      </w:pPr>
      <w:r>
        <w:t>Industry-Specific Treatment Effects</w:t>
      </w:r>
    </w:p>
    <w:p w14:paraId="083779F9" w14:textId="77777777" w:rsidR="00024A01" w:rsidRDefault="00024A01" w:rsidP="00F34576">
      <w:pPr>
        <w:spacing w:line="240" w:lineRule="auto"/>
        <w:ind w:firstLine="504"/>
      </w:pPr>
      <w:r w:rsidRPr="00B60E6E">
        <w:lastRenderedPageBreak/>
        <w:drawing>
          <wp:inline distT="0" distB="0" distL="0" distR="0" wp14:anchorId="4FD6B517" wp14:editId="7AEE1B47">
            <wp:extent cx="5943600" cy="2969895"/>
            <wp:effectExtent l="0" t="0" r="0" b="1905"/>
            <wp:docPr id="1026242089"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2089" name="Picture 1" descr="A graph with lines in different colors&#10;&#10;AI-generated content may be incorrect."/>
                    <pic:cNvPicPr/>
                  </pic:nvPicPr>
                  <pic:blipFill>
                    <a:blip r:embed="rId12"/>
                    <a:stretch>
                      <a:fillRect/>
                    </a:stretch>
                  </pic:blipFill>
                  <pic:spPr>
                    <a:xfrm>
                      <a:off x="0" y="0"/>
                      <a:ext cx="5943600" cy="2969895"/>
                    </a:xfrm>
                    <a:prstGeom prst="rect">
                      <a:avLst/>
                    </a:prstGeom>
                  </pic:spPr>
                </pic:pic>
              </a:graphicData>
            </a:graphic>
          </wp:inline>
        </w:drawing>
      </w:r>
    </w:p>
    <w:p w14:paraId="534F01A0" w14:textId="77777777" w:rsidR="00024A01" w:rsidRDefault="00024A01" w:rsidP="00F34576">
      <w:pPr>
        <w:spacing w:line="240" w:lineRule="auto"/>
        <w:ind w:firstLine="504"/>
      </w:pPr>
      <w:r>
        <w:t>(Public administration and defense; compulsory social security plans)</w:t>
      </w:r>
    </w:p>
    <w:p w14:paraId="18FE2B7F" w14:textId="77777777" w:rsidR="00024A01" w:rsidRDefault="00024A01" w:rsidP="00F34576">
      <w:pPr>
        <w:spacing w:line="240" w:lineRule="auto"/>
        <w:ind w:firstLine="504"/>
      </w:pPr>
    </w:p>
    <w:p w14:paraId="69D76ED7" w14:textId="77777777" w:rsidR="00024A01" w:rsidRDefault="00024A01" w:rsidP="00F34576">
      <w:pPr>
        <w:spacing w:line="240" w:lineRule="auto"/>
        <w:ind w:firstLine="504"/>
      </w:pPr>
      <w:r w:rsidRPr="00B97147">
        <w:drawing>
          <wp:inline distT="0" distB="0" distL="0" distR="0" wp14:anchorId="1B997086" wp14:editId="687E9693">
            <wp:extent cx="5943600" cy="2969895"/>
            <wp:effectExtent l="0" t="0" r="0" b="1905"/>
            <wp:docPr id="136083426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4266" name="Picture 1" descr="A graph with lines and dots&#10;&#10;AI-generated content may be incorrect."/>
                    <pic:cNvPicPr/>
                  </pic:nvPicPr>
                  <pic:blipFill>
                    <a:blip r:embed="rId13"/>
                    <a:stretch>
                      <a:fillRect/>
                    </a:stretch>
                  </pic:blipFill>
                  <pic:spPr>
                    <a:xfrm>
                      <a:off x="0" y="0"/>
                      <a:ext cx="5943600" cy="2969895"/>
                    </a:xfrm>
                    <a:prstGeom prst="rect">
                      <a:avLst/>
                    </a:prstGeom>
                  </pic:spPr>
                </pic:pic>
              </a:graphicData>
            </a:graphic>
          </wp:inline>
        </w:drawing>
      </w:r>
    </w:p>
    <w:p w14:paraId="08C427CB" w14:textId="77777777" w:rsidR="00024A01" w:rsidRDefault="00024A01" w:rsidP="00F34576">
      <w:pPr>
        <w:spacing w:line="240" w:lineRule="auto"/>
        <w:ind w:firstLine="504"/>
      </w:pPr>
      <w:r>
        <w:t>(Agriculture, livestock, forestry and fishing)</w:t>
      </w:r>
    </w:p>
    <w:p w14:paraId="6837499F" w14:textId="77777777" w:rsidR="00024A01" w:rsidRDefault="00024A01" w:rsidP="00F34576">
      <w:pPr>
        <w:spacing w:line="240" w:lineRule="auto"/>
        <w:ind w:firstLine="504"/>
      </w:pPr>
    </w:p>
    <w:p w14:paraId="2C103F6A" w14:textId="77777777" w:rsidR="00024A01" w:rsidRDefault="00024A01" w:rsidP="00F34576">
      <w:pPr>
        <w:spacing w:line="240" w:lineRule="auto"/>
        <w:ind w:firstLine="504"/>
      </w:pPr>
      <w:r w:rsidRPr="00307798">
        <w:lastRenderedPageBreak/>
        <w:drawing>
          <wp:inline distT="0" distB="0" distL="0" distR="0" wp14:anchorId="5B6373B2" wp14:editId="115A5BE4">
            <wp:extent cx="5943600" cy="2969895"/>
            <wp:effectExtent l="0" t="0" r="0" b="1905"/>
            <wp:docPr id="196799842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8427" name="Picture 1" descr="A graph with lines and dots&#10;&#10;AI-generated content may be incorrect."/>
                    <pic:cNvPicPr/>
                  </pic:nvPicPr>
                  <pic:blipFill>
                    <a:blip r:embed="rId14"/>
                    <a:stretch>
                      <a:fillRect/>
                    </a:stretch>
                  </pic:blipFill>
                  <pic:spPr>
                    <a:xfrm>
                      <a:off x="0" y="0"/>
                      <a:ext cx="5943600" cy="2969895"/>
                    </a:xfrm>
                    <a:prstGeom prst="rect">
                      <a:avLst/>
                    </a:prstGeom>
                  </pic:spPr>
                </pic:pic>
              </a:graphicData>
            </a:graphic>
          </wp:inline>
        </w:drawing>
      </w:r>
    </w:p>
    <w:p w14:paraId="065D9982" w14:textId="77777777" w:rsidR="00024A01" w:rsidRPr="00062FE3" w:rsidRDefault="00024A01" w:rsidP="00F34576">
      <w:pPr>
        <w:spacing w:line="240" w:lineRule="auto"/>
        <w:ind w:firstLine="504"/>
      </w:pPr>
      <w:r>
        <w:t>(Human health care and social care activities)</w:t>
      </w:r>
    </w:p>
    <w:p w14:paraId="5084A6EF" w14:textId="77777777" w:rsidR="00024A01" w:rsidRDefault="00024A01" w:rsidP="007777FF">
      <w:pPr>
        <w:spacing w:line="240" w:lineRule="auto"/>
      </w:pPr>
    </w:p>
    <w:p w14:paraId="00B5B429" w14:textId="33B7B3B5" w:rsidR="007863EF" w:rsidRDefault="007863EF" w:rsidP="00EF5393">
      <w:pPr>
        <w:spacing w:line="240" w:lineRule="auto"/>
        <w:ind w:firstLine="504"/>
      </w:pPr>
      <w:r>
        <w:t>Industry-level event studies show that only three sectors</w:t>
      </w:r>
      <w:r w:rsidR="00CD43F9">
        <w:t xml:space="preserve"> — </w:t>
      </w:r>
      <w:r>
        <w:t>health care and social assistance; agriculture, livestock, forestry and fishing; and public administration and social security</w:t>
      </w:r>
      <w:r w:rsidR="00CD43F9">
        <w:t xml:space="preserve"> — </w:t>
      </w:r>
      <w:r>
        <w:t>exhibit statistically significant post-treatment</w:t>
      </w:r>
      <w:r w:rsidR="009D242C">
        <w:t xml:space="preserve"> effects</w:t>
      </w:r>
      <w:r>
        <w:t>. These sectors stand out</w:t>
      </w:r>
      <w:r w:rsidR="00A806ED">
        <w:t xml:space="preserve"> among the top 20 industries, most of which </w:t>
      </w:r>
      <w:r>
        <w:t>show no measurable response to the e-invoicing mandate.</w:t>
      </w:r>
    </w:p>
    <w:p w14:paraId="26607A6D" w14:textId="2F10CF64" w:rsidR="00024A01" w:rsidRDefault="007863EF" w:rsidP="007863EF">
      <w:pPr>
        <w:spacing w:line="240" w:lineRule="auto"/>
        <w:ind w:firstLine="504"/>
      </w:pPr>
      <w:r>
        <w:t xml:space="preserve">The concentration of effects in these </w:t>
      </w:r>
      <w:r w:rsidR="00FC4362">
        <w:t>sectors</w:t>
      </w:r>
      <w:r>
        <w:t xml:space="preserve"> suggests that the policy’s early impact is strongest where firms are already </w:t>
      </w:r>
      <w:r w:rsidR="00663B19">
        <w:t>integrated</w:t>
      </w:r>
      <w:r>
        <w:t xml:space="preserve"> in</w:t>
      </w:r>
      <w:r w:rsidR="00663B19">
        <w:t>to</w:t>
      </w:r>
      <w:r>
        <w:t xml:space="preserve"> formal systems (e.g., public contracts, health licensing) or where informal firms </w:t>
      </w:r>
      <w:r w:rsidR="00837187">
        <w:t>regularly</w:t>
      </w:r>
      <w:r w:rsidR="009931F4">
        <w:t xml:space="preserve"> </w:t>
      </w:r>
      <w:r w:rsidR="009E68A7">
        <w:t>interact</w:t>
      </w:r>
      <w:r>
        <w:t xml:space="preserve"> with the state, such as agricultural exporter</w:t>
      </w:r>
      <w:r w:rsidR="00F82264">
        <w:t>s</w:t>
      </w:r>
      <w:r>
        <w:t>. These results support the hypothesis that e-invoicing is most effective in raising compliance and VAT remittance in sectors</w:t>
      </w:r>
      <w:r w:rsidR="00FF06DD">
        <w:t xml:space="preserve"> operating</w:t>
      </w:r>
      <w:r>
        <w:t xml:space="preserve"> at the boundary </w:t>
      </w:r>
      <w:r w:rsidR="00405DF6">
        <w:t>of</w:t>
      </w:r>
      <w:r>
        <w:t xml:space="preserve"> informality and state regulation.</w:t>
      </w:r>
    </w:p>
    <w:p w14:paraId="279564A0" w14:textId="77777777" w:rsidR="00024A01" w:rsidRDefault="00024A01" w:rsidP="00F34576">
      <w:pPr>
        <w:spacing w:line="240" w:lineRule="auto"/>
        <w:ind w:firstLine="504"/>
      </w:pPr>
    </w:p>
    <w:p w14:paraId="67A29BD1" w14:textId="77777777" w:rsidR="00024A01" w:rsidRDefault="00024A01" w:rsidP="00F34576">
      <w:pPr>
        <w:spacing w:line="240" w:lineRule="auto"/>
        <w:ind w:firstLine="504"/>
      </w:pPr>
    </w:p>
    <w:p w14:paraId="1D139071" w14:textId="77777777" w:rsidR="00024A01" w:rsidRDefault="00024A01" w:rsidP="00F34576">
      <w:pPr>
        <w:spacing w:line="240" w:lineRule="auto"/>
        <w:ind w:firstLine="504"/>
      </w:pPr>
    </w:p>
    <w:p w14:paraId="1126F083" w14:textId="77777777" w:rsidR="00024A01" w:rsidRDefault="00024A01" w:rsidP="00F34576">
      <w:pPr>
        <w:spacing w:line="240" w:lineRule="auto"/>
        <w:ind w:firstLine="504"/>
      </w:pPr>
    </w:p>
    <w:p w14:paraId="2694542D" w14:textId="38176CD3" w:rsidR="003068B2" w:rsidRDefault="0005142D" w:rsidP="00896603">
      <w:pPr>
        <w:pStyle w:val="Heading3"/>
        <w:numPr>
          <w:ilvl w:val="0"/>
          <w:numId w:val="10"/>
        </w:numPr>
        <w:spacing w:line="240" w:lineRule="auto"/>
      </w:pPr>
      <w:r>
        <w:t xml:space="preserve">Recent Cohorts and </w:t>
      </w:r>
      <w:r w:rsidR="00062FE3">
        <w:t xml:space="preserve">Possible </w:t>
      </w:r>
      <w:r w:rsidR="0097313F">
        <w:t>Late-Stage Treatment Effects</w:t>
      </w:r>
    </w:p>
    <w:p w14:paraId="2515D92C" w14:textId="6A4E3E88" w:rsidR="00F34576" w:rsidRDefault="00F34576" w:rsidP="008B5909">
      <w:pPr>
        <w:tabs>
          <w:tab w:val="left" w:pos="2976"/>
        </w:tabs>
        <w:spacing w:line="240" w:lineRule="auto"/>
      </w:pPr>
    </w:p>
    <w:p w14:paraId="75069BE1" w14:textId="77777777" w:rsidR="00F34576" w:rsidRDefault="00F34576" w:rsidP="00F34576">
      <w:pPr>
        <w:tabs>
          <w:tab w:val="left" w:pos="2976"/>
        </w:tabs>
        <w:spacing w:line="240" w:lineRule="auto"/>
        <w:ind w:firstLine="504"/>
      </w:pPr>
    </w:p>
    <w:p w14:paraId="448AB08A" w14:textId="77777777" w:rsidR="00D224F6" w:rsidRDefault="00355AAA" w:rsidP="00F34576">
      <w:pPr>
        <w:spacing w:line="240" w:lineRule="auto"/>
        <w:ind w:firstLine="504"/>
      </w:pPr>
      <w:r w:rsidRPr="00355AAA">
        <w:lastRenderedPageBreak/>
        <w:drawing>
          <wp:inline distT="0" distB="0" distL="0" distR="0" wp14:anchorId="55E27D08" wp14:editId="4A8D4CB6">
            <wp:extent cx="5943600" cy="2969895"/>
            <wp:effectExtent l="0" t="0" r="0" b="1905"/>
            <wp:docPr id="715149163"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49163" name="Picture 1" descr="A graph with colored lines&#10;&#10;AI-generated content may be incorrect."/>
                    <pic:cNvPicPr/>
                  </pic:nvPicPr>
                  <pic:blipFill>
                    <a:blip r:embed="rId15"/>
                    <a:stretch>
                      <a:fillRect/>
                    </a:stretch>
                  </pic:blipFill>
                  <pic:spPr>
                    <a:xfrm>
                      <a:off x="0" y="0"/>
                      <a:ext cx="5943600" cy="2969895"/>
                    </a:xfrm>
                    <a:prstGeom prst="rect">
                      <a:avLst/>
                    </a:prstGeom>
                  </pic:spPr>
                </pic:pic>
              </a:graphicData>
            </a:graphic>
          </wp:inline>
        </w:drawing>
      </w:r>
    </w:p>
    <w:p w14:paraId="76B40C50" w14:textId="77777777" w:rsidR="00D224F6" w:rsidRDefault="00D224F6" w:rsidP="00F34576">
      <w:pPr>
        <w:spacing w:line="240" w:lineRule="auto"/>
        <w:ind w:firstLine="504"/>
      </w:pPr>
    </w:p>
    <w:p w14:paraId="4242261F" w14:textId="77777777" w:rsidR="00D224F6" w:rsidRDefault="00D224F6" w:rsidP="00F34576">
      <w:pPr>
        <w:spacing w:line="240" w:lineRule="auto"/>
        <w:ind w:firstLine="504"/>
      </w:pPr>
    </w:p>
    <w:p w14:paraId="6C8AAF5D" w14:textId="17A381B7" w:rsidR="00D224F6" w:rsidRDefault="00355AAA" w:rsidP="00F34576">
      <w:pPr>
        <w:spacing w:line="240" w:lineRule="auto"/>
        <w:ind w:firstLine="504"/>
      </w:pPr>
      <w:r w:rsidRPr="00355AAA">
        <w:drawing>
          <wp:inline distT="0" distB="0" distL="0" distR="0" wp14:anchorId="4FE286BB" wp14:editId="497AF18A">
            <wp:extent cx="5943600" cy="2969895"/>
            <wp:effectExtent l="0" t="0" r="0" b="1905"/>
            <wp:docPr id="94917299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2997" name="Picture 1" descr="A graph with lines and dots&#10;&#10;AI-generated content may be incorrect."/>
                    <pic:cNvPicPr/>
                  </pic:nvPicPr>
                  <pic:blipFill>
                    <a:blip r:embed="rId16"/>
                    <a:stretch>
                      <a:fillRect/>
                    </a:stretch>
                  </pic:blipFill>
                  <pic:spPr>
                    <a:xfrm>
                      <a:off x="0" y="0"/>
                      <a:ext cx="5943600" cy="2969895"/>
                    </a:xfrm>
                    <a:prstGeom prst="rect">
                      <a:avLst/>
                    </a:prstGeom>
                  </pic:spPr>
                </pic:pic>
              </a:graphicData>
            </a:graphic>
          </wp:inline>
        </w:drawing>
      </w:r>
    </w:p>
    <w:p w14:paraId="1CB4E1E4" w14:textId="77777777" w:rsidR="00D224F6" w:rsidRDefault="00D224F6" w:rsidP="00F34576">
      <w:pPr>
        <w:spacing w:line="240" w:lineRule="auto"/>
        <w:ind w:firstLine="504"/>
      </w:pPr>
    </w:p>
    <w:p w14:paraId="757A2C76" w14:textId="6A0EBE4B" w:rsidR="00D224F6" w:rsidRDefault="00D224F6" w:rsidP="00F34576">
      <w:pPr>
        <w:spacing w:line="240" w:lineRule="auto"/>
        <w:ind w:firstLine="504"/>
      </w:pPr>
      <w:r w:rsidRPr="00D224F6">
        <w:lastRenderedPageBreak/>
        <w:drawing>
          <wp:inline distT="0" distB="0" distL="0" distR="0" wp14:anchorId="7EF1686D" wp14:editId="52A7228E">
            <wp:extent cx="5943600" cy="2969895"/>
            <wp:effectExtent l="0" t="0" r="0" b="1905"/>
            <wp:docPr id="163519400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94002" name="Picture 1" descr="A graph with lines in red and blue&#10;&#10;AI-generated content may be incorrect."/>
                    <pic:cNvPicPr/>
                  </pic:nvPicPr>
                  <pic:blipFill>
                    <a:blip r:embed="rId17"/>
                    <a:stretch>
                      <a:fillRect/>
                    </a:stretch>
                  </pic:blipFill>
                  <pic:spPr>
                    <a:xfrm>
                      <a:off x="0" y="0"/>
                      <a:ext cx="5943600" cy="2969895"/>
                    </a:xfrm>
                    <a:prstGeom prst="rect">
                      <a:avLst/>
                    </a:prstGeom>
                  </pic:spPr>
                </pic:pic>
              </a:graphicData>
            </a:graphic>
          </wp:inline>
        </w:drawing>
      </w:r>
    </w:p>
    <w:p w14:paraId="4427DF46" w14:textId="24CD10EB" w:rsidR="00D224F6" w:rsidRDefault="00D224F6" w:rsidP="000E55B7">
      <w:pPr>
        <w:spacing w:line="240" w:lineRule="auto"/>
      </w:pPr>
    </w:p>
    <w:p w14:paraId="3F2786D3" w14:textId="77777777" w:rsidR="00D224F6" w:rsidRDefault="00D224F6" w:rsidP="00F34576">
      <w:pPr>
        <w:spacing w:line="240" w:lineRule="auto"/>
        <w:ind w:firstLine="504"/>
      </w:pPr>
    </w:p>
    <w:p w14:paraId="75EDC29E" w14:textId="48AD65CF" w:rsidR="00062FE3" w:rsidRDefault="00D224F6" w:rsidP="00F34576">
      <w:pPr>
        <w:spacing w:line="240" w:lineRule="auto"/>
        <w:ind w:firstLine="504"/>
      </w:pPr>
      <w:r w:rsidRPr="00D224F6">
        <w:drawing>
          <wp:inline distT="0" distB="0" distL="0" distR="0" wp14:anchorId="7AAFA72D" wp14:editId="45C4FC07">
            <wp:extent cx="5943600" cy="2969895"/>
            <wp:effectExtent l="0" t="0" r="0" b="1905"/>
            <wp:docPr id="983608023"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08023" name="Picture 1" descr="A graph with lines in different colors&#10;&#10;AI-generated content may be incorrect."/>
                    <pic:cNvPicPr/>
                  </pic:nvPicPr>
                  <pic:blipFill>
                    <a:blip r:embed="rId18"/>
                    <a:stretch>
                      <a:fillRect/>
                    </a:stretch>
                  </pic:blipFill>
                  <pic:spPr>
                    <a:xfrm>
                      <a:off x="0" y="0"/>
                      <a:ext cx="5943600" cy="2969895"/>
                    </a:xfrm>
                    <a:prstGeom prst="rect">
                      <a:avLst/>
                    </a:prstGeom>
                  </pic:spPr>
                </pic:pic>
              </a:graphicData>
            </a:graphic>
          </wp:inline>
        </w:drawing>
      </w:r>
    </w:p>
    <w:p w14:paraId="318BDB43" w14:textId="77777777" w:rsidR="00DB08A3" w:rsidRDefault="00DB08A3" w:rsidP="00F34576">
      <w:pPr>
        <w:spacing w:line="240" w:lineRule="auto"/>
        <w:ind w:firstLine="504"/>
      </w:pPr>
    </w:p>
    <w:p w14:paraId="636FEC41" w14:textId="77777777" w:rsidR="00DB08A3" w:rsidRDefault="00DB08A3" w:rsidP="00F34576">
      <w:pPr>
        <w:spacing w:line="240" w:lineRule="auto"/>
        <w:ind w:firstLine="504"/>
      </w:pPr>
    </w:p>
    <w:p w14:paraId="1F19DF33" w14:textId="77777777" w:rsidR="008B5909" w:rsidRDefault="008B5909" w:rsidP="008B5909">
      <w:pPr>
        <w:tabs>
          <w:tab w:val="left" w:pos="2976"/>
        </w:tabs>
        <w:spacing w:line="240" w:lineRule="auto"/>
        <w:ind w:firstLine="504"/>
      </w:pPr>
      <w:r>
        <w:t>While later cohorts show potential increases in VAT remittance, I do not interpret these results as causal due to possible changes in firm classification and reporting practices in 2025. The validity of the event study depends on stable unit definitions, which may not hold in the final months of the panel. I therefore present this analysis descriptively.</w:t>
      </w:r>
    </w:p>
    <w:p w14:paraId="3E94626C" w14:textId="764015CF" w:rsidR="008B5909" w:rsidRDefault="008B5909" w:rsidP="008B5909">
      <w:pPr>
        <w:tabs>
          <w:tab w:val="left" w:pos="2976"/>
        </w:tabs>
        <w:spacing w:line="240" w:lineRule="auto"/>
        <w:ind w:firstLine="504"/>
      </w:pPr>
      <w:r>
        <w:lastRenderedPageBreak/>
        <w:t xml:space="preserve">For early treatment groups, VAT remittance </w:t>
      </w:r>
      <w:r w:rsidR="003A713E">
        <w:t xml:space="preserve">aligns with </w:t>
      </w:r>
      <w:r>
        <w:t xml:space="preserve">historical seasonal trends. Later cohorts, primarily smaller firms, show </w:t>
      </w:r>
      <w:r w:rsidR="0005089B">
        <w:t>pronounced</w:t>
      </w:r>
      <w:r>
        <w:t xml:space="preserve"> increases around treatment dates that mirror </w:t>
      </w:r>
      <w:r w:rsidR="008A2C5E">
        <w:t xml:space="preserve">the </w:t>
      </w:r>
      <w:r>
        <w:t xml:space="preserve">seasonal spikes already </w:t>
      </w:r>
      <w:r w:rsidR="008A2C5E">
        <w:t>seen</w:t>
      </w:r>
      <w:r>
        <w:t xml:space="preserve"> in larger groups. By law, firms report VAT monthly </w:t>
      </w:r>
      <w:r w:rsidR="00044C14">
        <w:t>and</w:t>
      </w:r>
      <w:r>
        <w:t xml:space="preserve"> remit it by the 10th business day of the following month. As a result,</w:t>
      </w:r>
      <w:r w:rsidR="008565BD">
        <w:t xml:space="preserve"> holiday-season</w:t>
      </w:r>
      <w:r>
        <w:t xml:space="preserve"> consumption </w:t>
      </w:r>
      <w:r w:rsidR="00FC41E3">
        <w:t xml:space="preserve">and public/private contract spending concentrated at the start of the fiscal year </w:t>
      </w:r>
      <w:r w:rsidR="000756C4">
        <w:t>contribute to consistent first-quarter spikes in remittance.</w:t>
      </w:r>
    </w:p>
    <w:p w14:paraId="5D909A3B" w14:textId="5FAB0E74" w:rsidR="008B5909" w:rsidRDefault="004E3962" w:rsidP="008B5909">
      <w:pPr>
        <w:tabs>
          <w:tab w:val="left" w:pos="2976"/>
        </w:tabs>
        <w:spacing w:line="240" w:lineRule="auto"/>
        <w:ind w:firstLine="504"/>
      </w:pPr>
      <w:r>
        <w:t>Beyond seasonal patterns</w:t>
      </w:r>
      <w:r w:rsidR="008B5909">
        <w:t xml:space="preserve">, smaller firms show a sharper increase in remittance that may reflect stronger compliance effects following treatment. Larger firms, already more compliant, show no </w:t>
      </w:r>
      <w:r w:rsidR="008B3614">
        <w:t>departure</w:t>
      </w:r>
      <w:r w:rsidR="008B5909">
        <w:t xml:space="preserve"> from historical patterns. </w:t>
      </w:r>
      <w:r w:rsidR="00E47733">
        <w:t>While i</w:t>
      </w:r>
      <w:r w:rsidR="008B5909">
        <w:t xml:space="preserve">nterpretation is limited by the </w:t>
      </w:r>
      <w:r w:rsidR="00E47733">
        <w:t xml:space="preserve">potential administrative changes in </w:t>
      </w:r>
      <w:r w:rsidR="008B5909">
        <w:t xml:space="preserve">2025, </w:t>
      </w:r>
      <w:r w:rsidR="00E47733">
        <w:t xml:space="preserve">the </w:t>
      </w:r>
      <w:r w:rsidR="008B5909">
        <w:t xml:space="preserve">results suggest long-run compliance gains: the ATT on remittance probability is 0.019 (SE = 0.0029), significant at the 5% level. However, this does not </w:t>
      </w:r>
      <w:r w:rsidR="00B82190">
        <w:t xml:space="preserve">translate into meaningful </w:t>
      </w:r>
      <w:r w:rsidR="008B5909">
        <w:t>revenue gains</w:t>
      </w:r>
      <w:r w:rsidR="0061230C">
        <w:t xml:space="preserve"> — </w:t>
      </w:r>
      <w:r w:rsidR="008B5909">
        <w:t xml:space="preserve">log VAT revenue </w:t>
      </w:r>
      <w:r w:rsidR="0061230C">
        <w:t xml:space="preserve">increases by just </w:t>
      </w:r>
      <w:r w:rsidR="008B5909">
        <w:t xml:space="preserve">0.049 (SE = 0.0284), not statistically significant. </w:t>
      </w:r>
      <w:r w:rsidR="00C97FAF">
        <w:t>Though</w:t>
      </w:r>
      <w:r w:rsidR="008B5909">
        <w:t xml:space="preserve"> not causal, these findings indicate that e-invoicing may </w:t>
      </w:r>
      <w:r w:rsidR="008535A0">
        <w:t xml:space="preserve">help </w:t>
      </w:r>
      <w:r w:rsidR="008B5909">
        <w:t>bring more small firms into the tax net, but their aggregate revenue contributions remain modest.</w:t>
      </w:r>
    </w:p>
    <w:p w14:paraId="66247142" w14:textId="77777777" w:rsidR="008B5909" w:rsidRDefault="008B5909" w:rsidP="008B5909">
      <w:pPr>
        <w:spacing w:line="240" w:lineRule="auto"/>
      </w:pPr>
    </w:p>
    <w:p w14:paraId="16D0642F" w14:textId="77777777" w:rsidR="00DB08A3" w:rsidRDefault="00DB08A3" w:rsidP="00DC0F4A">
      <w:pPr>
        <w:spacing w:line="240" w:lineRule="auto"/>
      </w:pPr>
    </w:p>
    <w:p w14:paraId="1E1D3874" w14:textId="77777777" w:rsidR="00DC0F4A" w:rsidRDefault="00DC0F4A" w:rsidP="00DC0F4A">
      <w:pPr>
        <w:spacing w:line="240" w:lineRule="auto"/>
      </w:pPr>
    </w:p>
    <w:p w14:paraId="7052E033" w14:textId="3096ABD1" w:rsidR="00DC0F4A" w:rsidRDefault="00DC0F4A" w:rsidP="00DC0F4A">
      <w:pPr>
        <w:pStyle w:val="Heading2"/>
      </w:pPr>
      <w:r>
        <w:t>Conclusion</w:t>
      </w:r>
      <w:r w:rsidR="00B34581">
        <w:t>:</w:t>
      </w:r>
    </w:p>
    <w:p w14:paraId="6DA37DA0" w14:textId="1759F46D" w:rsidR="002B2301" w:rsidRDefault="002B2301" w:rsidP="009258FB">
      <w:pPr>
        <w:ind w:firstLine="720"/>
      </w:pPr>
      <w:r w:rsidRPr="002B2301">
        <w:t xml:space="preserve">This paper examines the early effects of El Salvador’s e-invoicing mandate on reported VAT revenue and compliance, using public firm-level data and correspondence with the Ministry of Finance. I find no significant revenue increase for large firms, likely due to </w:t>
      </w:r>
      <w:r w:rsidR="00CE53DC">
        <w:t xml:space="preserve">their </w:t>
      </w:r>
      <w:r w:rsidRPr="002B2301">
        <w:t xml:space="preserve">existing digital infrastructure and </w:t>
      </w:r>
      <w:r w:rsidR="005A2BC6">
        <w:t>already high</w:t>
      </w:r>
      <w:r w:rsidRPr="002B2301">
        <w:t xml:space="preserve"> compliance. </w:t>
      </w:r>
      <w:r w:rsidR="00AA31DE">
        <w:t>Since large firms already contribute most VAT revenue and use digital systems</w:t>
      </w:r>
      <w:r w:rsidR="00C9707A">
        <w:t xml:space="preserve">, the short-run fiscal impact of the mandate is more limited than expected. </w:t>
      </w:r>
      <w:r w:rsidRPr="002B2301">
        <w:t xml:space="preserve">Effects </w:t>
      </w:r>
      <w:r w:rsidR="00C9707A">
        <w:t>appear</w:t>
      </w:r>
      <w:r w:rsidRPr="002B2301">
        <w:t xml:space="preserve"> heterogeneous, with </w:t>
      </w:r>
      <w:r w:rsidR="00C9707A">
        <w:t xml:space="preserve">potential gains concentrated </w:t>
      </w:r>
      <w:r w:rsidRPr="002B2301">
        <w:t xml:space="preserve">among smaller firms and sectors with lower noncompliance risk, </w:t>
      </w:r>
      <w:r w:rsidR="00DE5723">
        <w:t>suggesting the mandate’s initial impact was administrative rather than behavioral.</w:t>
      </w:r>
    </w:p>
    <w:p w14:paraId="1BD22C1E" w14:textId="60EA1164" w:rsidR="005A57DD" w:rsidRDefault="004653BA" w:rsidP="00FC4991">
      <w:pPr>
        <w:ind w:firstLine="720"/>
      </w:pPr>
      <w:r>
        <w:t>As in Peru’s rollout, t</w:t>
      </w:r>
      <w:r w:rsidR="002B2301" w:rsidRPr="002B2301">
        <w:t xml:space="preserve">reatment effects </w:t>
      </w:r>
      <w:r>
        <w:t>emerge</w:t>
      </w:r>
      <w:r w:rsidR="002B2301" w:rsidRPr="002B2301">
        <w:t xml:space="preserve"> gradually</w:t>
      </w:r>
      <w:r>
        <w:t xml:space="preserve"> </w:t>
      </w:r>
      <w:r w:rsidR="003A3BAF">
        <w:t xml:space="preserve">and </w:t>
      </w:r>
      <w:r>
        <w:t>may strengthen over time.</w:t>
      </w:r>
      <w:r w:rsidR="003A3BAF">
        <w:t xml:space="preserve"> </w:t>
      </w:r>
      <w:r w:rsidR="002B2301" w:rsidRPr="002B2301">
        <w:t xml:space="preserve">The Ministry of Finance plans to </w:t>
      </w:r>
      <w:r w:rsidR="00657906">
        <w:t>expand the mandate beyond the current</w:t>
      </w:r>
      <w:r w:rsidR="002B2301" w:rsidRPr="002B2301">
        <w:t xml:space="preserve"> ten cohorts and </w:t>
      </w:r>
      <w:r w:rsidR="00064A6F">
        <w:t>has invested in physical help centers</w:t>
      </w:r>
      <w:r w:rsidR="002B2301" w:rsidRPr="002B2301">
        <w:t>.</w:t>
      </w:r>
      <w:r w:rsidR="009146B7">
        <w:t xml:space="preserve"> However, my results show no measurable compliance gains for large or medium firms, even with these complementary efforts, indicating that such investments may yield higher returns among small or digitally inexperienced taxpayers.</w:t>
      </w:r>
    </w:p>
    <w:p w14:paraId="6F774B77" w14:textId="67458335" w:rsidR="002838B2" w:rsidRDefault="002838B2" w:rsidP="00FC4991">
      <w:pPr>
        <w:ind w:firstLine="720"/>
      </w:pPr>
      <w:r>
        <w:t>These results highlight the need to tailor tax digitalization efforts to local administrative and technological conditions. In countries where digital uptake is already high among the largest revenue-contributing firms, the marginal benefit of mandating e-</w:t>
      </w:r>
      <w:r>
        <w:lastRenderedPageBreak/>
        <w:t>invoicing may be limited in the short run. Greater policy returns may come from targeting support to smaller or informal firms that remain outside the tax net. Still, e-invoicing may offer long-term gains through improved audit targeting, data availability, and administrative modernization.</w:t>
      </w:r>
    </w:p>
    <w:p w14:paraId="057A3ED1" w14:textId="774B38E2" w:rsidR="009146B7" w:rsidRDefault="009146B7" w:rsidP="00FC4991">
      <w:pPr>
        <w:ind w:firstLine="720"/>
      </w:pPr>
      <w:r>
        <w:t>Future research should assess outcomes once the rollout is complete to estimate causal effects among smaller firms and examine potential spillovers to state-linked sectors such as public administration, social security, and health care, where early signals of improved compliance are strongest.</w:t>
      </w:r>
    </w:p>
    <w:p w14:paraId="467FDC49" w14:textId="2120DAC2" w:rsidR="00E32500" w:rsidRDefault="008615DF" w:rsidP="00382B97">
      <w:pPr>
        <w:ind w:firstLine="720"/>
      </w:pPr>
      <w:r w:rsidRPr="008615DF">
        <w:t xml:space="preserve">This study is among the first to apply modern difference-in-differences methods to measure firm- and group-level responses to staggered e-invoicing rollout in a low-capacity tax administration. </w:t>
      </w:r>
      <w:r w:rsidR="00B84B94">
        <w:t>By u</w:t>
      </w:r>
      <w:r w:rsidRPr="008615DF">
        <w:t>sing the Callaway and Sant’Anna (2021) estimator</w:t>
      </w:r>
      <w:r w:rsidR="00B84B94">
        <w:t xml:space="preserve">, I </w:t>
      </w:r>
      <w:r w:rsidRPr="008615DF">
        <w:t>ensure</w:t>
      </w:r>
      <w:r w:rsidR="00B84B94">
        <w:t xml:space="preserve"> </w:t>
      </w:r>
      <w:r w:rsidRPr="008615DF">
        <w:t xml:space="preserve">valid cohort comparisons and avoid </w:t>
      </w:r>
      <w:r w:rsidR="00B84B94">
        <w:t xml:space="preserve">common </w:t>
      </w:r>
      <w:r w:rsidRPr="008615DF">
        <w:t xml:space="preserve">biases </w:t>
      </w:r>
      <w:r w:rsidR="00B84B94">
        <w:t xml:space="preserve">in </w:t>
      </w:r>
      <w:r w:rsidRPr="008615DF">
        <w:t>traditional DiD. The</w:t>
      </w:r>
      <w:r w:rsidR="00382B97">
        <w:t>se</w:t>
      </w:r>
      <w:r w:rsidRPr="008615DF">
        <w:t xml:space="preserve"> findings</w:t>
      </w:r>
      <w:r w:rsidR="00382B97">
        <w:t xml:space="preserve"> suggest that while e-invoicing may be less effective as a standalone enforcement tool in settings with widespread digital</w:t>
      </w:r>
      <w:r w:rsidR="00F32F4A">
        <w:rPr>
          <w:b/>
          <w:bCs/>
        </w:rPr>
        <w:t xml:space="preserve"> </w:t>
      </w:r>
      <w:r w:rsidR="00F32F4A">
        <w:t>adoption</w:t>
      </w:r>
      <w:r w:rsidR="00382B97">
        <w:t xml:space="preserve">, it may </w:t>
      </w:r>
      <w:r w:rsidR="002838B2">
        <w:t xml:space="preserve">still </w:t>
      </w:r>
      <w:r w:rsidR="00382B97">
        <w:t xml:space="preserve">inform policy in middle-income or administratively capable countries seeking long-term gains in </w:t>
      </w:r>
      <w:r w:rsidR="00BF427D">
        <w:t xml:space="preserve">economic </w:t>
      </w:r>
      <w:r w:rsidR="00382B97">
        <w:t>formalization and state modernization</w:t>
      </w:r>
      <w:r w:rsidR="00BF427D">
        <w:t>,</w:t>
      </w:r>
      <w:r w:rsidR="00382B97">
        <w:t xml:space="preserve"> rather than </w:t>
      </w:r>
      <w:r w:rsidR="00BF427D">
        <w:t>short-term</w:t>
      </w:r>
      <w:r w:rsidR="00382B97">
        <w:t xml:space="preserve"> revenue </w:t>
      </w:r>
      <w:r w:rsidR="00BF427D">
        <w:t>growth</w:t>
      </w:r>
      <w:r w:rsidR="00382B97">
        <w:t>.</w:t>
      </w:r>
    </w:p>
    <w:p w14:paraId="07487CC8" w14:textId="77777777" w:rsidR="00CB4EB1" w:rsidRDefault="00CB4EB1" w:rsidP="00382B97">
      <w:pPr>
        <w:ind w:firstLine="720"/>
      </w:pPr>
    </w:p>
    <w:p w14:paraId="0DF48903" w14:textId="77777777" w:rsidR="00CB4EB1" w:rsidRDefault="00CB4EB1" w:rsidP="00382B97">
      <w:pPr>
        <w:ind w:firstLine="720"/>
      </w:pPr>
    </w:p>
    <w:p w14:paraId="167B9052" w14:textId="77777777" w:rsidR="00CB4EB1" w:rsidRDefault="00CB4EB1" w:rsidP="00382B97">
      <w:pPr>
        <w:ind w:firstLine="720"/>
      </w:pPr>
    </w:p>
    <w:p w14:paraId="7B1823D6" w14:textId="77777777" w:rsidR="00CB4EB1" w:rsidRDefault="00CB4EB1" w:rsidP="00382B97">
      <w:pPr>
        <w:ind w:firstLine="720"/>
      </w:pPr>
    </w:p>
    <w:p w14:paraId="03BF67D3" w14:textId="3D7B1D0C" w:rsidR="00CB4EB1" w:rsidRPr="00DC0F4A" w:rsidRDefault="00CB4EB1" w:rsidP="00CB4EB1"/>
    <w:sectPr w:rsidR="00CB4EB1" w:rsidRPr="00DC0F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81A9E" w14:textId="77777777" w:rsidR="00430E85" w:rsidRDefault="00430E85" w:rsidP="00B05368">
      <w:pPr>
        <w:spacing w:after="0" w:line="240" w:lineRule="auto"/>
      </w:pPr>
      <w:r>
        <w:separator/>
      </w:r>
    </w:p>
  </w:endnote>
  <w:endnote w:type="continuationSeparator" w:id="0">
    <w:p w14:paraId="25C6B247" w14:textId="77777777" w:rsidR="00430E85" w:rsidRDefault="00430E85" w:rsidP="00B0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57B11" w14:textId="77777777" w:rsidR="00430E85" w:rsidRDefault="00430E85" w:rsidP="00B05368">
      <w:pPr>
        <w:spacing w:after="0" w:line="240" w:lineRule="auto"/>
      </w:pPr>
      <w:r>
        <w:separator/>
      </w:r>
    </w:p>
  </w:footnote>
  <w:footnote w:type="continuationSeparator" w:id="0">
    <w:p w14:paraId="6D165297" w14:textId="77777777" w:rsidR="00430E85" w:rsidRDefault="00430E85" w:rsidP="00B053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6688"/>
    <w:multiLevelType w:val="hybridMultilevel"/>
    <w:tmpl w:val="E69A2DAA"/>
    <w:lvl w:ilvl="0" w:tplc="32B4A59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AB7860"/>
    <w:multiLevelType w:val="hybridMultilevel"/>
    <w:tmpl w:val="6B1EF664"/>
    <w:lvl w:ilvl="0" w:tplc="04090015">
      <w:start w:val="5"/>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7020080"/>
    <w:multiLevelType w:val="hybridMultilevel"/>
    <w:tmpl w:val="5E881988"/>
    <w:lvl w:ilvl="0" w:tplc="04090015">
      <w:start w:val="1"/>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3B40564C"/>
    <w:multiLevelType w:val="hybridMultilevel"/>
    <w:tmpl w:val="DF5A01AE"/>
    <w:lvl w:ilvl="0" w:tplc="26CE20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21357D"/>
    <w:multiLevelType w:val="hybridMultilevel"/>
    <w:tmpl w:val="0104495A"/>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14E01"/>
    <w:multiLevelType w:val="hybridMultilevel"/>
    <w:tmpl w:val="80CC75FE"/>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65708"/>
    <w:multiLevelType w:val="hybridMultilevel"/>
    <w:tmpl w:val="4C92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371E3"/>
    <w:multiLevelType w:val="hybridMultilevel"/>
    <w:tmpl w:val="FA0071A6"/>
    <w:lvl w:ilvl="0" w:tplc="26CE20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DD20FA"/>
    <w:multiLevelType w:val="hybridMultilevel"/>
    <w:tmpl w:val="F6943924"/>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A42A9"/>
    <w:multiLevelType w:val="hybridMultilevel"/>
    <w:tmpl w:val="F8F42A18"/>
    <w:lvl w:ilvl="0" w:tplc="B9044D90">
      <w:numFmt w:val="bullet"/>
      <w:lvlText w:val=""/>
      <w:lvlJc w:val="left"/>
      <w:pPr>
        <w:ind w:left="864" w:hanging="360"/>
      </w:pPr>
      <w:rPr>
        <w:rFonts w:ascii="Symbol" w:eastAsiaTheme="minorHAnsi" w:hAnsi="Symbol" w:cstheme="minorBid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15:restartNumberingAfterBreak="0">
    <w:nsid w:val="71EB111C"/>
    <w:multiLevelType w:val="hybridMultilevel"/>
    <w:tmpl w:val="F08E1C76"/>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74D7223D"/>
    <w:multiLevelType w:val="hybridMultilevel"/>
    <w:tmpl w:val="C704673A"/>
    <w:lvl w:ilvl="0" w:tplc="5178C352">
      <w:start w:val="2"/>
      <w:numFmt w:val="upperLetter"/>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363023305">
    <w:abstractNumId w:val="7"/>
  </w:num>
  <w:num w:numId="2" w16cid:durableId="871070742">
    <w:abstractNumId w:val="3"/>
  </w:num>
  <w:num w:numId="3" w16cid:durableId="2052458294">
    <w:abstractNumId w:val="5"/>
  </w:num>
  <w:num w:numId="4" w16cid:durableId="477038037">
    <w:abstractNumId w:val="8"/>
  </w:num>
  <w:num w:numId="5" w16cid:durableId="742264952">
    <w:abstractNumId w:val="4"/>
  </w:num>
  <w:num w:numId="6" w16cid:durableId="833381302">
    <w:abstractNumId w:val="10"/>
  </w:num>
  <w:num w:numId="7" w16cid:durableId="2005694055">
    <w:abstractNumId w:val="2"/>
  </w:num>
  <w:num w:numId="8" w16cid:durableId="177548959">
    <w:abstractNumId w:val="1"/>
  </w:num>
  <w:num w:numId="9" w16cid:durableId="1298609983">
    <w:abstractNumId w:val="6"/>
  </w:num>
  <w:num w:numId="10" w16cid:durableId="655959409">
    <w:abstractNumId w:val="11"/>
  </w:num>
  <w:num w:numId="11" w16cid:durableId="1167864767">
    <w:abstractNumId w:val="9"/>
  </w:num>
  <w:num w:numId="12" w16cid:durableId="1337226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4B"/>
    <w:rsid w:val="000035E1"/>
    <w:rsid w:val="00003C3C"/>
    <w:rsid w:val="0000515B"/>
    <w:rsid w:val="000059D5"/>
    <w:rsid w:val="0000761F"/>
    <w:rsid w:val="00010520"/>
    <w:rsid w:val="000106CF"/>
    <w:rsid w:val="000111AB"/>
    <w:rsid w:val="00015294"/>
    <w:rsid w:val="0001553D"/>
    <w:rsid w:val="00015C14"/>
    <w:rsid w:val="00015E20"/>
    <w:rsid w:val="00024A01"/>
    <w:rsid w:val="00025487"/>
    <w:rsid w:val="0002680C"/>
    <w:rsid w:val="00034EA7"/>
    <w:rsid w:val="000365F2"/>
    <w:rsid w:val="000375F4"/>
    <w:rsid w:val="00042DE8"/>
    <w:rsid w:val="00043A1F"/>
    <w:rsid w:val="00044C14"/>
    <w:rsid w:val="000452A3"/>
    <w:rsid w:val="000467B5"/>
    <w:rsid w:val="0005089B"/>
    <w:rsid w:val="000512C1"/>
    <w:rsid w:val="0005142D"/>
    <w:rsid w:val="000522EA"/>
    <w:rsid w:val="00052F20"/>
    <w:rsid w:val="00053B5B"/>
    <w:rsid w:val="00053F67"/>
    <w:rsid w:val="00056E67"/>
    <w:rsid w:val="00062C33"/>
    <w:rsid w:val="00062FE3"/>
    <w:rsid w:val="000632A2"/>
    <w:rsid w:val="00064A6F"/>
    <w:rsid w:val="0006573E"/>
    <w:rsid w:val="00073F80"/>
    <w:rsid w:val="00075369"/>
    <w:rsid w:val="000756C4"/>
    <w:rsid w:val="00075AF3"/>
    <w:rsid w:val="00075D29"/>
    <w:rsid w:val="000773E8"/>
    <w:rsid w:val="0007781A"/>
    <w:rsid w:val="00077C0B"/>
    <w:rsid w:val="000806D9"/>
    <w:rsid w:val="00081933"/>
    <w:rsid w:val="00082651"/>
    <w:rsid w:val="00083DC1"/>
    <w:rsid w:val="00084783"/>
    <w:rsid w:val="00084BD1"/>
    <w:rsid w:val="00085F72"/>
    <w:rsid w:val="00090CE1"/>
    <w:rsid w:val="00091AB8"/>
    <w:rsid w:val="00092595"/>
    <w:rsid w:val="0009369E"/>
    <w:rsid w:val="00093A3D"/>
    <w:rsid w:val="0009472B"/>
    <w:rsid w:val="00097BF7"/>
    <w:rsid w:val="000A1451"/>
    <w:rsid w:val="000A1558"/>
    <w:rsid w:val="000A3217"/>
    <w:rsid w:val="000A5B9F"/>
    <w:rsid w:val="000B4587"/>
    <w:rsid w:val="000B6794"/>
    <w:rsid w:val="000B6CFB"/>
    <w:rsid w:val="000C0071"/>
    <w:rsid w:val="000C4098"/>
    <w:rsid w:val="000C6460"/>
    <w:rsid w:val="000D2F9D"/>
    <w:rsid w:val="000E0AEB"/>
    <w:rsid w:val="000E4138"/>
    <w:rsid w:val="000E55B7"/>
    <w:rsid w:val="000E6440"/>
    <w:rsid w:val="000F162E"/>
    <w:rsid w:val="000F1DAD"/>
    <w:rsid w:val="000F27D2"/>
    <w:rsid w:val="000F308A"/>
    <w:rsid w:val="0010119C"/>
    <w:rsid w:val="00101D2F"/>
    <w:rsid w:val="001021A6"/>
    <w:rsid w:val="001032FF"/>
    <w:rsid w:val="00104CB4"/>
    <w:rsid w:val="001052A1"/>
    <w:rsid w:val="0010755C"/>
    <w:rsid w:val="001122DB"/>
    <w:rsid w:val="001157FB"/>
    <w:rsid w:val="00116FBE"/>
    <w:rsid w:val="00117FC3"/>
    <w:rsid w:val="00123397"/>
    <w:rsid w:val="00123A1F"/>
    <w:rsid w:val="00123FD3"/>
    <w:rsid w:val="001241AF"/>
    <w:rsid w:val="0012638F"/>
    <w:rsid w:val="00131109"/>
    <w:rsid w:val="001362A8"/>
    <w:rsid w:val="00144E88"/>
    <w:rsid w:val="00145375"/>
    <w:rsid w:val="00150551"/>
    <w:rsid w:val="00151F57"/>
    <w:rsid w:val="00152617"/>
    <w:rsid w:val="00156346"/>
    <w:rsid w:val="001576FF"/>
    <w:rsid w:val="00160D97"/>
    <w:rsid w:val="0016302A"/>
    <w:rsid w:val="00164776"/>
    <w:rsid w:val="00165C1A"/>
    <w:rsid w:val="00170DD4"/>
    <w:rsid w:val="00171297"/>
    <w:rsid w:val="0017201B"/>
    <w:rsid w:val="00177CF3"/>
    <w:rsid w:val="0018033A"/>
    <w:rsid w:val="00183DA9"/>
    <w:rsid w:val="001850E3"/>
    <w:rsid w:val="0019144C"/>
    <w:rsid w:val="00191F57"/>
    <w:rsid w:val="0019246B"/>
    <w:rsid w:val="00192490"/>
    <w:rsid w:val="00195EBF"/>
    <w:rsid w:val="00197DEE"/>
    <w:rsid w:val="001A28A4"/>
    <w:rsid w:val="001A2DCC"/>
    <w:rsid w:val="001A4E49"/>
    <w:rsid w:val="001A647E"/>
    <w:rsid w:val="001A7B4C"/>
    <w:rsid w:val="001B1E43"/>
    <w:rsid w:val="001B2EB8"/>
    <w:rsid w:val="001B56D4"/>
    <w:rsid w:val="001C0DBA"/>
    <w:rsid w:val="001D1AAB"/>
    <w:rsid w:val="001D359A"/>
    <w:rsid w:val="001D5773"/>
    <w:rsid w:val="001D7AB8"/>
    <w:rsid w:val="001E3C27"/>
    <w:rsid w:val="001E7F83"/>
    <w:rsid w:val="001F0C84"/>
    <w:rsid w:val="001F2727"/>
    <w:rsid w:val="001F5986"/>
    <w:rsid w:val="001F62E9"/>
    <w:rsid w:val="001F6B2C"/>
    <w:rsid w:val="001F7ED2"/>
    <w:rsid w:val="0020072E"/>
    <w:rsid w:val="00200CCC"/>
    <w:rsid w:val="00200E97"/>
    <w:rsid w:val="00201E94"/>
    <w:rsid w:val="0020200B"/>
    <w:rsid w:val="0020272A"/>
    <w:rsid w:val="00202C93"/>
    <w:rsid w:val="00203175"/>
    <w:rsid w:val="00203559"/>
    <w:rsid w:val="00204281"/>
    <w:rsid w:val="00207415"/>
    <w:rsid w:val="00207A1C"/>
    <w:rsid w:val="00215F4E"/>
    <w:rsid w:val="0021646A"/>
    <w:rsid w:val="002174EC"/>
    <w:rsid w:val="00221C53"/>
    <w:rsid w:val="0022295A"/>
    <w:rsid w:val="00223912"/>
    <w:rsid w:val="00224C6D"/>
    <w:rsid w:val="0022544E"/>
    <w:rsid w:val="00226810"/>
    <w:rsid w:val="00231587"/>
    <w:rsid w:val="00236A49"/>
    <w:rsid w:val="00237F26"/>
    <w:rsid w:val="00240942"/>
    <w:rsid w:val="00240F7A"/>
    <w:rsid w:val="00243355"/>
    <w:rsid w:val="00243B36"/>
    <w:rsid w:val="00243D1A"/>
    <w:rsid w:val="00245815"/>
    <w:rsid w:val="00247134"/>
    <w:rsid w:val="00247ED5"/>
    <w:rsid w:val="0025013E"/>
    <w:rsid w:val="002506F1"/>
    <w:rsid w:val="002514A7"/>
    <w:rsid w:val="00253227"/>
    <w:rsid w:val="00253EDD"/>
    <w:rsid w:val="00254F32"/>
    <w:rsid w:val="00256E63"/>
    <w:rsid w:val="00260170"/>
    <w:rsid w:val="00262AC8"/>
    <w:rsid w:val="00262BE8"/>
    <w:rsid w:val="00265820"/>
    <w:rsid w:val="0026752F"/>
    <w:rsid w:val="00270112"/>
    <w:rsid w:val="00273228"/>
    <w:rsid w:val="00276B11"/>
    <w:rsid w:val="00280014"/>
    <w:rsid w:val="002838B2"/>
    <w:rsid w:val="00286175"/>
    <w:rsid w:val="00287C28"/>
    <w:rsid w:val="00291474"/>
    <w:rsid w:val="00295D99"/>
    <w:rsid w:val="002A2DD3"/>
    <w:rsid w:val="002A70B1"/>
    <w:rsid w:val="002B1EB1"/>
    <w:rsid w:val="002B2301"/>
    <w:rsid w:val="002B23F0"/>
    <w:rsid w:val="002B5474"/>
    <w:rsid w:val="002B638D"/>
    <w:rsid w:val="002B745A"/>
    <w:rsid w:val="002C65ED"/>
    <w:rsid w:val="002C7FDD"/>
    <w:rsid w:val="002D32FE"/>
    <w:rsid w:val="002D3BFB"/>
    <w:rsid w:val="002D63D8"/>
    <w:rsid w:val="002D6E78"/>
    <w:rsid w:val="002D7BF0"/>
    <w:rsid w:val="002E05AA"/>
    <w:rsid w:val="002E2E5A"/>
    <w:rsid w:val="002F1052"/>
    <w:rsid w:val="002F41D3"/>
    <w:rsid w:val="002F5D92"/>
    <w:rsid w:val="002F6631"/>
    <w:rsid w:val="002F7539"/>
    <w:rsid w:val="0030199E"/>
    <w:rsid w:val="00301DAB"/>
    <w:rsid w:val="00302A8E"/>
    <w:rsid w:val="00304169"/>
    <w:rsid w:val="00305F1A"/>
    <w:rsid w:val="003068B2"/>
    <w:rsid w:val="00307798"/>
    <w:rsid w:val="00313844"/>
    <w:rsid w:val="003151AF"/>
    <w:rsid w:val="00315459"/>
    <w:rsid w:val="00315F25"/>
    <w:rsid w:val="003214C9"/>
    <w:rsid w:val="0032793D"/>
    <w:rsid w:val="0033087D"/>
    <w:rsid w:val="0033135B"/>
    <w:rsid w:val="00331EA7"/>
    <w:rsid w:val="003337D8"/>
    <w:rsid w:val="00335C79"/>
    <w:rsid w:val="00342158"/>
    <w:rsid w:val="0034283C"/>
    <w:rsid w:val="003432E2"/>
    <w:rsid w:val="0034763C"/>
    <w:rsid w:val="003476F8"/>
    <w:rsid w:val="00350CCA"/>
    <w:rsid w:val="0035321C"/>
    <w:rsid w:val="00355AAA"/>
    <w:rsid w:val="00370040"/>
    <w:rsid w:val="003723D1"/>
    <w:rsid w:val="0037411A"/>
    <w:rsid w:val="003771FC"/>
    <w:rsid w:val="00377E85"/>
    <w:rsid w:val="00380D59"/>
    <w:rsid w:val="00382B97"/>
    <w:rsid w:val="00383E6D"/>
    <w:rsid w:val="00385797"/>
    <w:rsid w:val="00390498"/>
    <w:rsid w:val="00390A03"/>
    <w:rsid w:val="0039212B"/>
    <w:rsid w:val="00392C09"/>
    <w:rsid w:val="00393C75"/>
    <w:rsid w:val="00394716"/>
    <w:rsid w:val="003970E6"/>
    <w:rsid w:val="003A0644"/>
    <w:rsid w:val="003A33C7"/>
    <w:rsid w:val="003A3BAF"/>
    <w:rsid w:val="003A49C4"/>
    <w:rsid w:val="003A660E"/>
    <w:rsid w:val="003A713E"/>
    <w:rsid w:val="003B3170"/>
    <w:rsid w:val="003B318B"/>
    <w:rsid w:val="003B50A7"/>
    <w:rsid w:val="003C0194"/>
    <w:rsid w:val="003C11EB"/>
    <w:rsid w:val="003C141D"/>
    <w:rsid w:val="003C2465"/>
    <w:rsid w:val="003C261F"/>
    <w:rsid w:val="003C4B4C"/>
    <w:rsid w:val="003C7B66"/>
    <w:rsid w:val="003D2ECF"/>
    <w:rsid w:val="003D2FB0"/>
    <w:rsid w:val="003D398E"/>
    <w:rsid w:val="003D5CAB"/>
    <w:rsid w:val="003E09DE"/>
    <w:rsid w:val="003E1BB5"/>
    <w:rsid w:val="003E6279"/>
    <w:rsid w:val="003F2D92"/>
    <w:rsid w:val="003F30B9"/>
    <w:rsid w:val="003F62B9"/>
    <w:rsid w:val="003F6495"/>
    <w:rsid w:val="003F6F66"/>
    <w:rsid w:val="003F7E9C"/>
    <w:rsid w:val="00400429"/>
    <w:rsid w:val="004022D4"/>
    <w:rsid w:val="00405DF6"/>
    <w:rsid w:val="00411609"/>
    <w:rsid w:val="00416F23"/>
    <w:rsid w:val="004258C3"/>
    <w:rsid w:val="0042778F"/>
    <w:rsid w:val="00430E85"/>
    <w:rsid w:val="004327F4"/>
    <w:rsid w:val="00433623"/>
    <w:rsid w:val="00434EE6"/>
    <w:rsid w:val="00435876"/>
    <w:rsid w:val="0044054B"/>
    <w:rsid w:val="00443D7C"/>
    <w:rsid w:val="0044465F"/>
    <w:rsid w:val="004548BB"/>
    <w:rsid w:val="00454AEE"/>
    <w:rsid w:val="004554A8"/>
    <w:rsid w:val="00461142"/>
    <w:rsid w:val="004638C8"/>
    <w:rsid w:val="004653BA"/>
    <w:rsid w:val="00466433"/>
    <w:rsid w:val="004665CA"/>
    <w:rsid w:val="00466912"/>
    <w:rsid w:val="004679ED"/>
    <w:rsid w:val="00467C80"/>
    <w:rsid w:val="00474BC2"/>
    <w:rsid w:val="00475CF6"/>
    <w:rsid w:val="00480778"/>
    <w:rsid w:val="00480AD1"/>
    <w:rsid w:val="0048210A"/>
    <w:rsid w:val="00486CC2"/>
    <w:rsid w:val="004879D6"/>
    <w:rsid w:val="00491F85"/>
    <w:rsid w:val="0049368F"/>
    <w:rsid w:val="00493ACE"/>
    <w:rsid w:val="00494952"/>
    <w:rsid w:val="00495C83"/>
    <w:rsid w:val="004A01FF"/>
    <w:rsid w:val="004A05C9"/>
    <w:rsid w:val="004A07D3"/>
    <w:rsid w:val="004A07E4"/>
    <w:rsid w:val="004A0984"/>
    <w:rsid w:val="004A167B"/>
    <w:rsid w:val="004A3273"/>
    <w:rsid w:val="004A3283"/>
    <w:rsid w:val="004B285D"/>
    <w:rsid w:val="004B5C11"/>
    <w:rsid w:val="004B5C50"/>
    <w:rsid w:val="004B70B8"/>
    <w:rsid w:val="004B753F"/>
    <w:rsid w:val="004C1FFC"/>
    <w:rsid w:val="004C5813"/>
    <w:rsid w:val="004D08FD"/>
    <w:rsid w:val="004D0F89"/>
    <w:rsid w:val="004D3B4F"/>
    <w:rsid w:val="004D5B02"/>
    <w:rsid w:val="004E3598"/>
    <w:rsid w:val="004E3962"/>
    <w:rsid w:val="004E40C1"/>
    <w:rsid w:val="004E5C68"/>
    <w:rsid w:val="004F095A"/>
    <w:rsid w:val="004F164C"/>
    <w:rsid w:val="004F4513"/>
    <w:rsid w:val="004F5E32"/>
    <w:rsid w:val="004F6507"/>
    <w:rsid w:val="004F6BDA"/>
    <w:rsid w:val="0050011C"/>
    <w:rsid w:val="00500D00"/>
    <w:rsid w:val="005012FD"/>
    <w:rsid w:val="00502B85"/>
    <w:rsid w:val="0051099D"/>
    <w:rsid w:val="0051273F"/>
    <w:rsid w:val="00512B06"/>
    <w:rsid w:val="0052064F"/>
    <w:rsid w:val="00521FA1"/>
    <w:rsid w:val="0052206B"/>
    <w:rsid w:val="0052273A"/>
    <w:rsid w:val="00525D0C"/>
    <w:rsid w:val="005277D8"/>
    <w:rsid w:val="00527D86"/>
    <w:rsid w:val="005366DC"/>
    <w:rsid w:val="005377EE"/>
    <w:rsid w:val="00540943"/>
    <w:rsid w:val="005430E7"/>
    <w:rsid w:val="0054575D"/>
    <w:rsid w:val="00547664"/>
    <w:rsid w:val="00550238"/>
    <w:rsid w:val="00550985"/>
    <w:rsid w:val="005509DD"/>
    <w:rsid w:val="00554C6E"/>
    <w:rsid w:val="00554CB3"/>
    <w:rsid w:val="00556EB0"/>
    <w:rsid w:val="005570C2"/>
    <w:rsid w:val="00560A57"/>
    <w:rsid w:val="00567D80"/>
    <w:rsid w:val="005746F4"/>
    <w:rsid w:val="00577625"/>
    <w:rsid w:val="00581871"/>
    <w:rsid w:val="00581E8A"/>
    <w:rsid w:val="0058532D"/>
    <w:rsid w:val="0058553D"/>
    <w:rsid w:val="00585C28"/>
    <w:rsid w:val="0058669D"/>
    <w:rsid w:val="00587C48"/>
    <w:rsid w:val="00590D60"/>
    <w:rsid w:val="00593140"/>
    <w:rsid w:val="00593E33"/>
    <w:rsid w:val="0059481F"/>
    <w:rsid w:val="00594A48"/>
    <w:rsid w:val="00596EA5"/>
    <w:rsid w:val="005A18CA"/>
    <w:rsid w:val="005A1A16"/>
    <w:rsid w:val="005A2BC6"/>
    <w:rsid w:val="005A57DD"/>
    <w:rsid w:val="005A5B4D"/>
    <w:rsid w:val="005A672D"/>
    <w:rsid w:val="005A6C9D"/>
    <w:rsid w:val="005B263D"/>
    <w:rsid w:val="005B733D"/>
    <w:rsid w:val="005B7D2C"/>
    <w:rsid w:val="005C0D74"/>
    <w:rsid w:val="005C326D"/>
    <w:rsid w:val="005C32CA"/>
    <w:rsid w:val="005C4C2B"/>
    <w:rsid w:val="005C7FD1"/>
    <w:rsid w:val="005D3AA3"/>
    <w:rsid w:val="005D6888"/>
    <w:rsid w:val="005D7AFB"/>
    <w:rsid w:val="005E00BF"/>
    <w:rsid w:val="005F1D6A"/>
    <w:rsid w:val="005F4918"/>
    <w:rsid w:val="005F7A4E"/>
    <w:rsid w:val="0060053C"/>
    <w:rsid w:val="0060094D"/>
    <w:rsid w:val="0060353F"/>
    <w:rsid w:val="006038F6"/>
    <w:rsid w:val="0061230C"/>
    <w:rsid w:val="0061501B"/>
    <w:rsid w:val="00615E41"/>
    <w:rsid w:val="00616BD4"/>
    <w:rsid w:val="0061703A"/>
    <w:rsid w:val="0061722F"/>
    <w:rsid w:val="00621452"/>
    <w:rsid w:val="00622611"/>
    <w:rsid w:val="006230B6"/>
    <w:rsid w:val="0062618C"/>
    <w:rsid w:val="00626373"/>
    <w:rsid w:val="00627D06"/>
    <w:rsid w:val="0063376C"/>
    <w:rsid w:val="00633C86"/>
    <w:rsid w:val="006372C4"/>
    <w:rsid w:val="0063760A"/>
    <w:rsid w:val="00637F41"/>
    <w:rsid w:val="006426F7"/>
    <w:rsid w:val="00645505"/>
    <w:rsid w:val="00646528"/>
    <w:rsid w:val="00652292"/>
    <w:rsid w:val="00657906"/>
    <w:rsid w:val="00663B19"/>
    <w:rsid w:val="0066514C"/>
    <w:rsid w:val="00665B88"/>
    <w:rsid w:val="0066747E"/>
    <w:rsid w:val="0067416A"/>
    <w:rsid w:val="00675E01"/>
    <w:rsid w:val="00681C46"/>
    <w:rsid w:val="00682D61"/>
    <w:rsid w:val="00694BBA"/>
    <w:rsid w:val="0069555F"/>
    <w:rsid w:val="006969FD"/>
    <w:rsid w:val="00696CC8"/>
    <w:rsid w:val="006A39D6"/>
    <w:rsid w:val="006A6978"/>
    <w:rsid w:val="006B004C"/>
    <w:rsid w:val="006B2BE1"/>
    <w:rsid w:val="006B4149"/>
    <w:rsid w:val="006B4B12"/>
    <w:rsid w:val="006B5A69"/>
    <w:rsid w:val="006B6132"/>
    <w:rsid w:val="006B6CA6"/>
    <w:rsid w:val="006C09F2"/>
    <w:rsid w:val="006D1D71"/>
    <w:rsid w:val="006D2C4C"/>
    <w:rsid w:val="006D4B19"/>
    <w:rsid w:val="006D7F8B"/>
    <w:rsid w:val="006E0B7C"/>
    <w:rsid w:val="006E0C0F"/>
    <w:rsid w:val="006E357F"/>
    <w:rsid w:val="006E79B6"/>
    <w:rsid w:val="006E7F32"/>
    <w:rsid w:val="006F339D"/>
    <w:rsid w:val="006F3ABD"/>
    <w:rsid w:val="006F3C38"/>
    <w:rsid w:val="006F77E0"/>
    <w:rsid w:val="006F7F70"/>
    <w:rsid w:val="00703435"/>
    <w:rsid w:val="0071224D"/>
    <w:rsid w:val="00713089"/>
    <w:rsid w:val="007135BE"/>
    <w:rsid w:val="00713F95"/>
    <w:rsid w:val="00720CDF"/>
    <w:rsid w:val="007252AC"/>
    <w:rsid w:val="00725593"/>
    <w:rsid w:val="00727038"/>
    <w:rsid w:val="0072757B"/>
    <w:rsid w:val="007308E9"/>
    <w:rsid w:val="007342DD"/>
    <w:rsid w:val="00736221"/>
    <w:rsid w:val="00737A28"/>
    <w:rsid w:val="00742CE0"/>
    <w:rsid w:val="00750EEA"/>
    <w:rsid w:val="00753192"/>
    <w:rsid w:val="0076001D"/>
    <w:rsid w:val="00763832"/>
    <w:rsid w:val="00765419"/>
    <w:rsid w:val="00766F65"/>
    <w:rsid w:val="00767C66"/>
    <w:rsid w:val="007702C1"/>
    <w:rsid w:val="0077285F"/>
    <w:rsid w:val="007777FF"/>
    <w:rsid w:val="0078331E"/>
    <w:rsid w:val="00786034"/>
    <w:rsid w:val="007863EF"/>
    <w:rsid w:val="00790901"/>
    <w:rsid w:val="00791C0E"/>
    <w:rsid w:val="0079312D"/>
    <w:rsid w:val="007957C5"/>
    <w:rsid w:val="00795DD2"/>
    <w:rsid w:val="00796729"/>
    <w:rsid w:val="007A1B8E"/>
    <w:rsid w:val="007A4062"/>
    <w:rsid w:val="007A6A6C"/>
    <w:rsid w:val="007B208D"/>
    <w:rsid w:val="007B4088"/>
    <w:rsid w:val="007B4CE2"/>
    <w:rsid w:val="007B5567"/>
    <w:rsid w:val="007C3C83"/>
    <w:rsid w:val="007C62E5"/>
    <w:rsid w:val="007C6332"/>
    <w:rsid w:val="007C657A"/>
    <w:rsid w:val="007C7533"/>
    <w:rsid w:val="007C7EDB"/>
    <w:rsid w:val="007D149B"/>
    <w:rsid w:val="007D2220"/>
    <w:rsid w:val="007D2A52"/>
    <w:rsid w:val="007D5B45"/>
    <w:rsid w:val="007D5C4B"/>
    <w:rsid w:val="007D7348"/>
    <w:rsid w:val="007D793E"/>
    <w:rsid w:val="007E5939"/>
    <w:rsid w:val="007E7247"/>
    <w:rsid w:val="007F01ED"/>
    <w:rsid w:val="007F05AD"/>
    <w:rsid w:val="007F28FB"/>
    <w:rsid w:val="007F42F0"/>
    <w:rsid w:val="007F52B5"/>
    <w:rsid w:val="007F6143"/>
    <w:rsid w:val="007F6B5F"/>
    <w:rsid w:val="007F779C"/>
    <w:rsid w:val="00802EC3"/>
    <w:rsid w:val="008103FB"/>
    <w:rsid w:val="00812198"/>
    <w:rsid w:val="008142FD"/>
    <w:rsid w:val="008177DC"/>
    <w:rsid w:val="00820192"/>
    <w:rsid w:val="00823B61"/>
    <w:rsid w:val="00824F40"/>
    <w:rsid w:val="00831296"/>
    <w:rsid w:val="00832B30"/>
    <w:rsid w:val="008332B6"/>
    <w:rsid w:val="008366B5"/>
    <w:rsid w:val="00837187"/>
    <w:rsid w:val="008535A0"/>
    <w:rsid w:val="00854583"/>
    <w:rsid w:val="008565BD"/>
    <w:rsid w:val="008565CF"/>
    <w:rsid w:val="008576E4"/>
    <w:rsid w:val="008615DF"/>
    <w:rsid w:val="00862983"/>
    <w:rsid w:val="00863819"/>
    <w:rsid w:val="0086792F"/>
    <w:rsid w:val="008719FD"/>
    <w:rsid w:val="008759FD"/>
    <w:rsid w:val="00876717"/>
    <w:rsid w:val="00876DA7"/>
    <w:rsid w:val="00881393"/>
    <w:rsid w:val="008830BC"/>
    <w:rsid w:val="0088422C"/>
    <w:rsid w:val="00886026"/>
    <w:rsid w:val="00890837"/>
    <w:rsid w:val="008944C5"/>
    <w:rsid w:val="0089512C"/>
    <w:rsid w:val="00896603"/>
    <w:rsid w:val="008A01A7"/>
    <w:rsid w:val="008A2C5E"/>
    <w:rsid w:val="008A62B3"/>
    <w:rsid w:val="008B29CE"/>
    <w:rsid w:val="008B3614"/>
    <w:rsid w:val="008B381E"/>
    <w:rsid w:val="008B4215"/>
    <w:rsid w:val="008B5909"/>
    <w:rsid w:val="008B5E3D"/>
    <w:rsid w:val="008B63B1"/>
    <w:rsid w:val="008B6B39"/>
    <w:rsid w:val="008C1C76"/>
    <w:rsid w:val="008C4BBB"/>
    <w:rsid w:val="008C5DE2"/>
    <w:rsid w:val="008C7222"/>
    <w:rsid w:val="008C785C"/>
    <w:rsid w:val="008D0F09"/>
    <w:rsid w:val="008D12F0"/>
    <w:rsid w:val="008D3BEF"/>
    <w:rsid w:val="008D593A"/>
    <w:rsid w:val="008E0E7B"/>
    <w:rsid w:val="008E37DF"/>
    <w:rsid w:val="008E6DEE"/>
    <w:rsid w:val="008F2230"/>
    <w:rsid w:val="008F55A4"/>
    <w:rsid w:val="009009D2"/>
    <w:rsid w:val="00901124"/>
    <w:rsid w:val="00903A05"/>
    <w:rsid w:val="00905CCE"/>
    <w:rsid w:val="009146B7"/>
    <w:rsid w:val="009169A8"/>
    <w:rsid w:val="009172E6"/>
    <w:rsid w:val="00921976"/>
    <w:rsid w:val="009258FB"/>
    <w:rsid w:val="00931C73"/>
    <w:rsid w:val="009344C4"/>
    <w:rsid w:val="00935C80"/>
    <w:rsid w:val="009378C8"/>
    <w:rsid w:val="00942362"/>
    <w:rsid w:val="00945F6F"/>
    <w:rsid w:val="00947E83"/>
    <w:rsid w:val="00952963"/>
    <w:rsid w:val="00952A45"/>
    <w:rsid w:val="0095442A"/>
    <w:rsid w:val="00960200"/>
    <w:rsid w:val="00966CEB"/>
    <w:rsid w:val="009713BB"/>
    <w:rsid w:val="0097215A"/>
    <w:rsid w:val="0097313F"/>
    <w:rsid w:val="009731D4"/>
    <w:rsid w:val="00973C13"/>
    <w:rsid w:val="009770ED"/>
    <w:rsid w:val="00977A21"/>
    <w:rsid w:val="00981521"/>
    <w:rsid w:val="00991440"/>
    <w:rsid w:val="00991C68"/>
    <w:rsid w:val="009931F4"/>
    <w:rsid w:val="0099381A"/>
    <w:rsid w:val="009A2441"/>
    <w:rsid w:val="009A2592"/>
    <w:rsid w:val="009A291F"/>
    <w:rsid w:val="009A2F48"/>
    <w:rsid w:val="009A38EA"/>
    <w:rsid w:val="009A6A31"/>
    <w:rsid w:val="009A6A9B"/>
    <w:rsid w:val="009B2BC4"/>
    <w:rsid w:val="009B5344"/>
    <w:rsid w:val="009B5AC9"/>
    <w:rsid w:val="009B5EE0"/>
    <w:rsid w:val="009C29A0"/>
    <w:rsid w:val="009C3A14"/>
    <w:rsid w:val="009C49D4"/>
    <w:rsid w:val="009C72E1"/>
    <w:rsid w:val="009D242C"/>
    <w:rsid w:val="009D6693"/>
    <w:rsid w:val="009D79EF"/>
    <w:rsid w:val="009E1D77"/>
    <w:rsid w:val="009E68A7"/>
    <w:rsid w:val="009E7757"/>
    <w:rsid w:val="009E7D2B"/>
    <w:rsid w:val="009F0413"/>
    <w:rsid w:val="009F5964"/>
    <w:rsid w:val="009F6511"/>
    <w:rsid w:val="009F68F6"/>
    <w:rsid w:val="00A032C9"/>
    <w:rsid w:val="00A07F77"/>
    <w:rsid w:val="00A1060D"/>
    <w:rsid w:val="00A12E9E"/>
    <w:rsid w:val="00A1624E"/>
    <w:rsid w:val="00A1629A"/>
    <w:rsid w:val="00A1728A"/>
    <w:rsid w:val="00A231EF"/>
    <w:rsid w:val="00A236AC"/>
    <w:rsid w:val="00A242D6"/>
    <w:rsid w:val="00A372B5"/>
    <w:rsid w:val="00A462B3"/>
    <w:rsid w:val="00A509F2"/>
    <w:rsid w:val="00A52886"/>
    <w:rsid w:val="00A60055"/>
    <w:rsid w:val="00A62963"/>
    <w:rsid w:val="00A62C63"/>
    <w:rsid w:val="00A64760"/>
    <w:rsid w:val="00A6548F"/>
    <w:rsid w:val="00A67596"/>
    <w:rsid w:val="00A71392"/>
    <w:rsid w:val="00A717DB"/>
    <w:rsid w:val="00A737FA"/>
    <w:rsid w:val="00A771A8"/>
    <w:rsid w:val="00A806ED"/>
    <w:rsid w:val="00A85F05"/>
    <w:rsid w:val="00A87DD0"/>
    <w:rsid w:val="00A902F1"/>
    <w:rsid w:val="00A90F73"/>
    <w:rsid w:val="00A91F6D"/>
    <w:rsid w:val="00A9390B"/>
    <w:rsid w:val="00A96716"/>
    <w:rsid w:val="00A97158"/>
    <w:rsid w:val="00A97D59"/>
    <w:rsid w:val="00AA0606"/>
    <w:rsid w:val="00AA15EA"/>
    <w:rsid w:val="00AA31DE"/>
    <w:rsid w:val="00AA41CC"/>
    <w:rsid w:val="00AA6876"/>
    <w:rsid w:val="00AB1D9D"/>
    <w:rsid w:val="00AB2BDB"/>
    <w:rsid w:val="00AB4BAC"/>
    <w:rsid w:val="00AB5F75"/>
    <w:rsid w:val="00AB7A30"/>
    <w:rsid w:val="00AC0723"/>
    <w:rsid w:val="00AC1921"/>
    <w:rsid w:val="00AC1FFA"/>
    <w:rsid w:val="00AD0EFA"/>
    <w:rsid w:val="00AD166D"/>
    <w:rsid w:val="00AD2688"/>
    <w:rsid w:val="00AD4BA1"/>
    <w:rsid w:val="00AD6C05"/>
    <w:rsid w:val="00AE1F93"/>
    <w:rsid w:val="00AE2305"/>
    <w:rsid w:val="00AE44AF"/>
    <w:rsid w:val="00AE50EF"/>
    <w:rsid w:val="00AE751B"/>
    <w:rsid w:val="00AF14E3"/>
    <w:rsid w:val="00AF576D"/>
    <w:rsid w:val="00B0003A"/>
    <w:rsid w:val="00B00147"/>
    <w:rsid w:val="00B02962"/>
    <w:rsid w:val="00B05368"/>
    <w:rsid w:val="00B05455"/>
    <w:rsid w:val="00B10D0C"/>
    <w:rsid w:val="00B13191"/>
    <w:rsid w:val="00B139C9"/>
    <w:rsid w:val="00B151C8"/>
    <w:rsid w:val="00B174F8"/>
    <w:rsid w:val="00B17EF7"/>
    <w:rsid w:val="00B22A85"/>
    <w:rsid w:val="00B2385E"/>
    <w:rsid w:val="00B24C64"/>
    <w:rsid w:val="00B30BB7"/>
    <w:rsid w:val="00B34581"/>
    <w:rsid w:val="00B34B66"/>
    <w:rsid w:val="00B369D7"/>
    <w:rsid w:val="00B36B3C"/>
    <w:rsid w:val="00B37575"/>
    <w:rsid w:val="00B37E98"/>
    <w:rsid w:val="00B41405"/>
    <w:rsid w:val="00B4173E"/>
    <w:rsid w:val="00B41FBB"/>
    <w:rsid w:val="00B4272F"/>
    <w:rsid w:val="00B427D3"/>
    <w:rsid w:val="00B50907"/>
    <w:rsid w:val="00B56052"/>
    <w:rsid w:val="00B6050C"/>
    <w:rsid w:val="00B60688"/>
    <w:rsid w:val="00B60E6E"/>
    <w:rsid w:val="00B623BE"/>
    <w:rsid w:val="00B64699"/>
    <w:rsid w:val="00B669A5"/>
    <w:rsid w:val="00B71999"/>
    <w:rsid w:val="00B720D3"/>
    <w:rsid w:val="00B724C1"/>
    <w:rsid w:val="00B72DAD"/>
    <w:rsid w:val="00B74FA9"/>
    <w:rsid w:val="00B80634"/>
    <w:rsid w:val="00B82190"/>
    <w:rsid w:val="00B8301E"/>
    <w:rsid w:val="00B84B94"/>
    <w:rsid w:val="00B95769"/>
    <w:rsid w:val="00B97147"/>
    <w:rsid w:val="00B97889"/>
    <w:rsid w:val="00BA0C8E"/>
    <w:rsid w:val="00BA675C"/>
    <w:rsid w:val="00BA6E7F"/>
    <w:rsid w:val="00BB129A"/>
    <w:rsid w:val="00BB5FB3"/>
    <w:rsid w:val="00BB7887"/>
    <w:rsid w:val="00BB7B58"/>
    <w:rsid w:val="00BC2BF5"/>
    <w:rsid w:val="00BC358C"/>
    <w:rsid w:val="00BC668D"/>
    <w:rsid w:val="00BC6AC2"/>
    <w:rsid w:val="00BC6D5E"/>
    <w:rsid w:val="00BD1BDA"/>
    <w:rsid w:val="00BD32C8"/>
    <w:rsid w:val="00BD34C1"/>
    <w:rsid w:val="00BD5019"/>
    <w:rsid w:val="00BE1735"/>
    <w:rsid w:val="00BE1DF2"/>
    <w:rsid w:val="00BE5077"/>
    <w:rsid w:val="00BE5276"/>
    <w:rsid w:val="00BE5995"/>
    <w:rsid w:val="00BE77FD"/>
    <w:rsid w:val="00BF3E67"/>
    <w:rsid w:val="00BF427D"/>
    <w:rsid w:val="00BF660E"/>
    <w:rsid w:val="00BF6AA5"/>
    <w:rsid w:val="00BF7728"/>
    <w:rsid w:val="00C04078"/>
    <w:rsid w:val="00C0563A"/>
    <w:rsid w:val="00C0594B"/>
    <w:rsid w:val="00C06BC7"/>
    <w:rsid w:val="00C10A23"/>
    <w:rsid w:val="00C11527"/>
    <w:rsid w:val="00C16520"/>
    <w:rsid w:val="00C26271"/>
    <w:rsid w:val="00C26D27"/>
    <w:rsid w:val="00C32F21"/>
    <w:rsid w:val="00C347FF"/>
    <w:rsid w:val="00C40AC0"/>
    <w:rsid w:val="00C42060"/>
    <w:rsid w:val="00C44612"/>
    <w:rsid w:val="00C51F3E"/>
    <w:rsid w:val="00C60269"/>
    <w:rsid w:val="00C61D84"/>
    <w:rsid w:val="00C62C00"/>
    <w:rsid w:val="00C6528A"/>
    <w:rsid w:val="00C6632A"/>
    <w:rsid w:val="00C7500A"/>
    <w:rsid w:val="00C7523A"/>
    <w:rsid w:val="00C77A56"/>
    <w:rsid w:val="00C80CBD"/>
    <w:rsid w:val="00C80FDB"/>
    <w:rsid w:val="00C813C5"/>
    <w:rsid w:val="00C85D78"/>
    <w:rsid w:val="00C9099B"/>
    <w:rsid w:val="00C91D12"/>
    <w:rsid w:val="00C921A7"/>
    <w:rsid w:val="00C94453"/>
    <w:rsid w:val="00C9707A"/>
    <w:rsid w:val="00C97DF5"/>
    <w:rsid w:val="00C97FAF"/>
    <w:rsid w:val="00CA2DCD"/>
    <w:rsid w:val="00CB0144"/>
    <w:rsid w:val="00CB2E1A"/>
    <w:rsid w:val="00CB4EB1"/>
    <w:rsid w:val="00CC04CE"/>
    <w:rsid w:val="00CC4C5C"/>
    <w:rsid w:val="00CD033E"/>
    <w:rsid w:val="00CD2531"/>
    <w:rsid w:val="00CD43F9"/>
    <w:rsid w:val="00CD6322"/>
    <w:rsid w:val="00CD7AD0"/>
    <w:rsid w:val="00CE0D5B"/>
    <w:rsid w:val="00CE53DC"/>
    <w:rsid w:val="00CE5508"/>
    <w:rsid w:val="00CE60B3"/>
    <w:rsid w:val="00CE6222"/>
    <w:rsid w:val="00CE7D81"/>
    <w:rsid w:val="00CF0262"/>
    <w:rsid w:val="00CF0A66"/>
    <w:rsid w:val="00CF13CC"/>
    <w:rsid w:val="00CF1CC4"/>
    <w:rsid w:val="00CF7378"/>
    <w:rsid w:val="00CF7B6A"/>
    <w:rsid w:val="00D05F04"/>
    <w:rsid w:val="00D103F9"/>
    <w:rsid w:val="00D15683"/>
    <w:rsid w:val="00D16962"/>
    <w:rsid w:val="00D224F6"/>
    <w:rsid w:val="00D22DB0"/>
    <w:rsid w:val="00D23094"/>
    <w:rsid w:val="00D25B5B"/>
    <w:rsid w:val="00D2665E"/>
    <w:rsid w:val="00D2789D"/>
    <w:rsid w:val="00D348C5"/>
    <w:rsid w:val="00D3694F"/>
    <w:rsid w:val="00D416AE"/>
    <w:rsid w:val="00D51197"/>
    <w:rsid w:val="00D514ED"/>
    <w:rsid w:val="00D528DF"/>
    <w:rsid w:val="00D537C5"/>
    <w:rsid w:val="00D560E9"/>
    <w:rsid w:val="00D61976"/>
    <w:rsid w:val="00D62111"/>
    <w:rsid w:val="00D65F49"/>
    <w:rsid w:val="00D70800"/>
    <w:rsid w:val="00D760A0"/>
    <w:rsid w:val="00D8052A"/>
    <w:rsid w:val="00D81D6A"/>
    <w:rsid w:val="00D84979"/>
    <w:rsid w:val="00D85FBB"/>
    <w:rsid w:val="00D92F67"/>
    <w:rsid w:val="00D959C8"/>
    <w:rsid w:val="00D95DDF"/>
    <w:rsid w:val="00D9790A"/>
    <w:rsid w:val="00DA06D0"/>
    <w:rsid w:val="00DA1611"/>
    <w:rsid w:val="00DA460F"/>
    <w:rsid w:val="00DA7472"/>
    <w:rsid w:val="00DA7A8B"/>
    <w:rsid w:val="00DB03A9"/>
    <w:rsid w:val="00DB08A3"/>
    <w:rsid w:val="00DB1D1B"/>
    <w:rsid w:val="00DB6B19"/>
    <w:rsid w:val="00DB77B4"/>
    <w:rsid w:val="00DB7F5E"/>
    <w:rsid w:val="00DC0F4A"/>
    <w:rsid w:val="00DC0FE6"/>
    <w:rsid w:val="00DC1C46"/>
    <w:rsid w:val="00DC4B68"/>
    <w:rsid w:val="00DD0D8B"/>
    <w:rsid w:val="00DD0D91"/>
    <w:rsid w:val="00DD21D9"/>
    <w:rsid w:val="00DD48E3"/>
    <w:rsid w:val="00DD4E2A"/>
    <w:rsid w:val="00DD601E"/>
    <w:rsid w:val="00DD6587"/>
    <w:rsid w:val="00DE1BB0"/>
    <w:rsid w:val="00DE44A5"/>
    <w:rsid w:val="00DE4502"/>
    <w:rsid w:val="00DE5723"/>
    <w:rsid w:val="00DE731E"/>
    <w:rsid w:val="00DF02DA"/>
    <w:rsid w:val="00DF4034"/>
    <w:rsid w:val="00E00FF5"/>
    <w:rsid w:val="00E11900"/>
    <w:rsid w:val="00E1600B"/>
    <w:rsid w:val="00E21C5F"/>
    <w:rsid w:val="00E23B36"/>
    <w:rsid w:val="00E25073"/>
    <w:rsid w:val="00E30F51"/>
    <w:rsid w:val="00E32500"/>
    <w:rsid w:val="00E3368A"/>
    <w:rsid w:val="00E33EDC"/>
    <w:rsid w:val="00E44DEB"/>
    <w:rsid w:val="00E46559"/>
    <w:rsid w:val="00E467C3"/>
    <w:rsid w:val="00E47733"/>
    <w:rsid w:val="00E541E4"/>
    <w:rsid w:val="00E5772A"/>
    <w:rsid w:val="00E6033F"/>
    <w:rsid w:val="00E61164"/>
    <w:rsid w:val="00E62C7D"/>
    <w:rsid w:val="00E64C59"/>
    <w:rsid w:val="00E70F5E"/>
    <w:rsid w:val="00E71AE3"/>
    <w:rsid w:val="00E74432"/>
    <w:rsid w:val="00E749F4"/>
    <w:rsid w:val="00E77CAE"/>
    <w:rsid w:val="00E937C4"/>
    <w:rsid w:val="00E95E31"/>
    <w:rsid w:val="00E96EB4"/>
    <w:rsid w:val="00E97EDA"/>
    <w:rsid w:val="00EA2E22"/>
    <w:rsid w:val="00EA3D5C"/>
    <w:rsid w:val="00EA415C"/>
    <w:rsid w:val="00EA44AB"/>
    <w:rsid w:val="00EA60F2"/>
    <w:rsid w:val="00EB1181"/>
    <w:rsid w:val="00EB2CD7"/>
    <w:rsid w:val="00EB2DE3"/>
    <w:rsid w:val="00EB2F6F"/>
    <w:rsid w:val="00EC0252"/>
    <w:rsid w:val="00EC066C"/>
    <w:rsid w:val="00EC0670"/>
    <w:rsid w:val="00EC4FE4"/>
    <w:rsid w:val="00ED0B7E"/>
    <w:rsid w:val="00ED0C3A"/>
    <w:rsid w:val="00ED1514"/>
    <w:rsid w:val="00ED27EF"/>
    <w:rsid w:val="00ED3DCE"/>
    <w:rsid w:val="00EF1842"/>
    <w:rsid w:val="00EF35B3"/>
    <w:rsid w:val="00EF3A61"/>
    <w:rsid w:val="00EF5393"/>
    <w:rsid w:val="00EF5CF4"/>
    <w:rsid w:val="00EF7693"/>
    <w:rsid w:val="00F0052D"/>
    <w:rsid w:val="00F00D84"/>
    <w:rsid w:val="00F0152F"/>
    <w:rsid w:val="00F03840"/>
    <w:rsid w:val="00F057E6"/>
    <w:rsid w:val="00F10A4E"/>
    <w:rsid w:val="00F116A7"/>
    <w:rsid w:val="00F1234E"/>
    <w:rsid w:val="00F12E48"/>
    <w:rsid w:val="00F14F92"/>
    <w:rsid w:val="00F155B1"/>
    <w:rsid w:val="00F20E0D"/>
    <w:rsid w:val="00F21822"/>
    <w:rsid w:val="00F234C0"/>
    <w:rsid w:val="00F2662E"/>
    <w:rsid w:val="00F32F4A"/>
    <w:rsid w:val="00F34576"/>
    <w:rsid w:val="00F36F3A"/>
    <w:rsid w:val="00F4322B"/>
    <w:rsid w:val="00F435E2"/>
    <w:rsid w:val="00F44F66"/>
    <w:rsid w:val="00F45936"/>
    <w:rsid w:val="00F52065"/>
    <w:rsid w:val="00F539E4"/>
    <w:rsid w:val="00F548D9"/>
    <w:rsid w:val="00F57CBF"/>
    <w:rsid w:val="00F57CD1"/>
    <w:rsid w:val="00F600EE"/>
    <w:rsid w:val="00F62450"/>
    <w:rsid w:val="00F6354E"/>
    <w:rsid w:val="00F667CD"/>
    <w:rsid w:val="00F676DD"/>
    <w:rsid w:val="00F721C6"/>
    <w:rsid w:val="00F72880"/>
    <w:rsid w:val="00F7449C"/>
    <w:rsid w:val="00F754A8"/>
    <w:rsid w:val="00F763A0"/>
    <w:rsid w:val="00F764F7"/>
    <w:rsid w:val="00F80D6C"/>
    <w:rsid w:val="00F81C2E"/>
    <w:rsid w:val="00F82264"/>
    <w:rsid w:val="00F84C3A"/>
    <w:rsid w:val="00F866AD"/>
    <w:rsid w:val="00F87CF6"/>
    <w:rsid w:val="00F90F75"/>
    <w:rsid w:val="00F91024"/>
    <w:rsid w:val="00F953B7"/>
    <w:rsid w:val="00FA5080"/>
    <w:rsid w:val="00FB0E75"/>
    <w:rsid w:val="00FB2065"/>
    <w:rsid w:val="00FB2239"/>
    <w:rsid w:val="00FB5888"/>
    <w:rsid w:val="00FB5CB1"/>
    <w:rsid w:val="00FB7211"/>
    <w:rsid w:val="00FB76BD"/>
    <w:rsid w:val="00FB7761"/>
    <w:rsid w:val="00FC008F"/>
    <w:rsid w:val="00FC0D2E"/>
    <w:rsid w:val="00FC41E3"/>
    <w:rsid w:val="00FC4362"/>
    <w:rsid w:val="00FC4991"/>
    <w:rsid w:val="00FC6813"/>
    <w:rsid w:val="00FC7CBF"/>
    <w:rsid w:val="00FD1B2C"/>
    <w:rsid w:val="00FD3244"/>
    <w:rsid w:val="00FD3831"/>
    <w:rsid w:val="00FD3912"/>
    <w:rsid w:val="00FD49F4"/>
    <w:rsid w:val="00FD4E52"/>
    <w:rsid w:val="00FD589B"/>
    <w:rsid w:val="00FE1D97"/>
    <w:rsid w:val="00FE377A"/>
    <w:rsid w:val="00FE3FE4"/>
    <w:rsid w:val="00FE4B66"/>
    <w:rsid w:val="00FE4E4C"/>
    <w:rsid w:val="00FF06DD"/>
    <w:rsid w:val="00FF1C51"/>
    <w:rsid w:val="00FF552E"/>
    <w:rsid w:val="00FF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F247"/>
  <w15:chartTrackingRefBased/>
  <w15:docId w15:val="{2DB6A584-7BC5-A14B-9A87-679783A7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EB1"/>
  </w:style>
  <w:style w:type="paragraph" w:styleId="Heading1">
    <w:name w:val="heading 1"/>
    <w:basedOn w:val="Normal"/>
    <w:next w:val="Normal"/>
    <w:link w:val="Heading1Char"/>
    <w:uiPriority w:val="9"/>
    <w:qFormat/>
    <w:rsid w:val="00C059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95A"/>
    <w:pPr>
      <w:outlineLvl w:val="1"/>
    </w:pPr>
    <w:rPr>
      <w:b/>
      <w:bCs/>
      <w:sz w:val="32"/>
      <w:szCs w:val="32"/>
    </w:rPr>
  </w:style>
  <w:style w:type="paragraph" w:styleId="Heading3">
    <w:name w:val="heading 3"/>
    <w:basedOn w:val="Normal"/>
    <w:next w:val="Normal"/>
    <w:link w:val="Heading3Char"/>
    <w:uiPriority w:val="9"/>
    <w:unhideWhenUsed/>
    <w:qFormat/>
    <w:rsid w:val="00820192"/>
    <w:pPr>
      <w:outlineLvl w:val="2"/>
    </w:pPr>
    <w:rPr>
      <w:b/>
      <w:bCs/>
      <w:sz w:val="28"/>
      <w:szCs w:val="28"/>
    </w:rPr>
  </w:style>
  <w:style w:type="paragraph" w:styleId="Heading4">
    <w:name w:val="heading 4"/>
    <w:basedOn w:val="Normal"/>
    <w:next w:val="Normal"/>
    <w:link w:val="Heading4Char"/>
    <w:uiPriority w:val="9"/>
    <w:semiHidden/>
    <w:unhideWhenUsed/>
    <w:qFormat/>
    <w:rsid w:val="00C05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9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95A"/>
    <w:rPr>
      <w:b/>
      <w:bCs/>
      <w:sz w:val="32"/>
      <w:szCs w:val="32"/>
    </w:rPr>
  </w:style>
  <w:style w:type="character" w:customStyle="1" w:styleId="Heading3Char">
    <w:name w:val="Heading 3 Char"/>
    <w:basedOn w:val="DefaultParagraphFont"/>
    <w:link w:val="Heading3"/>
    <w:uiPriority w:val="9"/>
    <w:rsid w:val="00820192"/>
    <w:rPr>
      <w:b/>
      <w:bCs/>
      <w:sz w:val="28"/>
      <w:szCs w:val="28"/>
    </w:rPr>
  </w:style>
  <w:style w:type="character" w:customStyle="1" w:styleId="Heading4Char">
    <w:name w:val="Heading 4 Char"/>
    <w:basedOn w:val="DefaultParagraphFont"/>
    <w:link w:val="Heading4"/>
    <w:uiPriority w:val="9"/>
    <w:semiHidden/>
    <w:rsid w:val="00C05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94B"/>
    <w:rPr>
      <w:rFonts w:eastAsiaTheme="majorEastAsia" w:cstheme="majorBidi"/>
      <w:color w:val="272727" w:themeColor="text1" w:themeTint="D8"/>
    </w:rPr>
  </w:style>
  <w:style w:type="paragraph" w:styleId="Title">
    <w:name w:val="Title"/>
    <w:basedOn w:val="Normal"/>
    <w:next w:val="Normal"/>
    <w:link w:val="TitleChar"/>
    <w:uiPriority w:val="10"/>
    <w:qFormat/>
    <w:rsid w:val="00C05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94B"/>
    <w:pPr>
      <w:spacing w:before="160"/>
      <w:jc w:val="center"/>
    </w:pPr>
    <w:rPr>
      <w:i/>
      <w:iCs/>
      <w:color w:val="404040" w:themeColor="text1" w:themeTint="BF"/>
    </w:rPr>
  </w:style>
  <w:style w:type="character" w:customStyle="1" w:styleId="QuoteChar">
    <w:name w:val="Quote Char"/>
    <w:basedOn w:val="DefaultParagraphFont"/>
    <w:link w:val="Quote"/>
    <w:uiPriority w:val="29"/>
    <w:rsid w:val="00C0594B"/>
    <w:rPr>
      <w:i/>
      <w:iCs/>
      <w:color w:val="404040" w:themeColor="text1" w:themeTint="BF"/>
    </w:rPr>
  </w:style>
  <w:style w:type="paragraph" w:styleId="ListParagraph">
    <w:name w:val="List Paragraph"/>
    <w:basedOn w:val="Normal"/>
    <w:uiPriority w:val="34"/>
    <w:qFormat/>
    <w:rsid w:val="00C0594B"/>
    <w:pPr>
      <w:ind w:left="720"/>
      <w:contextualSpacing/>
    </w:pPr>
  </w:style>
  <w:style w:type="character" w:styleId="IntenseEmphasis">
    <w:name w:val="Intense Emphasis"/>
    <w:basedOn w:val="DefaultParagraphFont"/>
    <w:uiPriority w:val="21"/>
    <w:qFormat/>
    <w:rsid w:val="00C0594B"/>
    <w:rPr>
      <w:i/>
      <w:iCs/>
      <w:color w:val="0F4761" w:themeColor="accent1" w:themeShade="BF"/>
    </w:rPr>
  </w:style>
  <w:style w:type="paragraph" w:styleId="IntenseQuote">
    <w:name w:val="Intense Quote"/>
    <w:basedOn w:val="Normal"/>
    <w:next w:val="Normal"/>
    <w:link w:val="IntenseQuoteChar"/>
    <w:uiPriority w:val="30"/>
    <w:qFormat/>
    <w:rsid w:val="00C05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94B"/>
    <w:rPr>
      <w:i/>
      <w:iCs/>
      <w:color w:val="0F4761" w:themeColor="accent1" w:themeShade="BF"/>
    </w:rPr>
  </w:style>
  <w:style w:type="character" w:styleId="IntenseReference">
    <w:name w:val="Intense Reference"/>
    <w:basedOn w:val="DefaultParagraphFont"/>
    <w:uiPriority w:val="32"/>
    <w:qFormat/>
    <w:rsid w:val="00C0594B"/>
    <w:rPr>
      <w:b/>
      <w:bCs/>
      <w:smallCaps/>
      <w:color w:val="0F4761" w:themeColor="accent1" w:themeShade="BF"/>
      <w:spacing w:val="5"/>
    </w:rPr>
  </w:style>
  <w:style w:type="character" w:styleId="Hyperlink">
    <w:name w:val="Hyperlink"/>
    <w:basedOn w:val="DefaultParagraphFont"/>
    <w:uiPriority w:val="99"/>
    <w:unhideWhenUsed/>
    <w:rsid w:val="00FC7CBF"/>
    <w:rPr>
      <w:color w:val="467886" w:themeColor="hyperlink"/>
      <w:u w:val="single"/>
    </w:rPr>
  </w:style>
  <w:style w:type="character" w:styleId="UnresolvedMention">
    <w:name w:val="Unresolved Mention"/>
    <w:basedOn w:val="DefaultParagraphFont"/>
    <w:uiPriority w:val="99"/>
    <w:semiHidden/>
    <w:unhideWhenUsed/>
    <w:rsid w:val="00FC7CBF"/>
    <w:rPr>
      <w:color w:val="605E5C"/>
      <w:shd w:val="clear" w:color="auto" w:fill="E1DFDD"/>
    </w:rPr>
  </w:style>
  <w:style w:type="paragraph" w:styleId="Header">
    <w:name w:val="header"/>
    <w:basedOn w:val="Normal"/>
    <w:link w:val="HeaderChar"/>
    <w:uiPriority w:val="99"/>
    <w:unhideWhenUsed/>
    <w:rsid w:val="00B05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368"/>
  </w:style>
  <w:style w:type="paragraph" w:styleId="Footer">
    <w:name w:val="footer"/>
    <w:basedOn w:val="Normal"/>
    <w:link w:val="FooterChar"/>
    <w:uiPriority w:val="99"/>
    <w:unhideWhenUsed/>
    <w:rsid w:val="00B05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368"/>
  </w:style>
  <w:style w:type="character" w:styleId="PlaceholderText">
    <w:name w:val="Placeholder Text"/>
    <w:basedOn w:val="DefaultParagraphFont"/>
    <w:uiPriority w:val="99"/>
    <w:semiHidden/>
    <w:rsid w:val="00493ACE"/>
    <w:rPr>
      <w:color w:val="666666"/>
    </w:rPr>
  </w:style>
  <w:style w:type="paragraph" w:styleId="FootnoteText">
    <w:name w:val="footnote text"/>
    <w:basedOn w:val="Normal"/>
    <w:link w:val="FootnoteTextChar"/>
    <w:uiPriority w:val="99"/>
    <w:semiHidden/>
    <w:unhideWhenUsed/>
    <w:rsid w:val="00183D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3DA9"/>
    <w:rPr>
      <w:sz w:val="20"/>
      <w:szCs w:val="20"/>
    </w:rPr>
  </w:style>
  <w:style w:type="character" w:styleId="FootnoteReference">
    <w:name w:val="footnote reference"/>
    <w:basedOn w:val="DefaultParagraphFont"/>
    <w:uiPriority w:val="99"/>
    <w:semiHidden/>
    <w:unhideWhenUsed/>
    <w:rsid w:val="00183DA9"/>
    <w:rPr>
      <w:vertAlign w:val="superscript"/>
    </w:rPr>
  </w:style>
  <w:style w:type="table" w:styleId="TableGrid">
    <w:name w:val="Table Grid"/>
    <w:basedOn w:val="TableNormal"/>
    <w:uiPriority w:val="39"/>
    <w:rsid w:val="00FD5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CB4EB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09802">
      <w:bodyDiv w:val="1"/>
      <w:marLeft w:val="0"/>
      <w:marRight w:val="0"/>
      <w:marTop w:val="0"/>
      <w:marBottom w:val="0"/>
      <w:divBdr>
        <w:top w:val="none" w:sz="0" w:space="0" w:color="auto"/>
        <w:left w:val="none" w:sz="0" w:space="0" w:color="auto"/>
        <w:bottom w:val="none" w:sz="0" w:space="0" w:color="auto"/>
        <w:right w:val="none" w:sz="0" w:space="0" w:color="auto"/>
      </w:divBdr>
      <w:divsChild>
        <w:div w:id="831533269">
          <w:marLeft w:val="480"/>
          <w:marRight w:val="0"/>
          <w:marTop w:val="0"/>
          <w:marBottom w:val="0"/>
          <w:divBdr>
            <w:top w:val="none" w:sz="0" w:space="0" w:color="auto"/>
            <w:left w:val="none" w:sz="0" w:space="0" w:color="auto"/>
            <w:bottom w:val="none" w:sz="0" w:space="0" w:color="auto"/>
            <w:right w:val="none" w:sz="0" w:space="0" w:color="auto"/>
          </w:divBdr>
          <w:divsChild>
            <w:div w:id="15119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0770">
      <w:bodyDiv w:val="1"/>
      <w:marLeft w:val="0"/>
      <w:marRight w:val="0"/>
      <w:marTop w:val="0"/>
      <w:marBottom w:val="0"/>
      <w:divBdr>
        <w:top w:val="none" w:sz="0" w:space="0" w:color="auto"/>
        <w:left w:val="none" w:sz="0" w:space="0" w:color="auto"/>
        <w:bottom w:val="none" w:sz="0" w:space="0" w:color="auto"/>
        <w:right w:val="none" w:sz="0" w:space="0" w:color="auto"/>
      </w:divBdr>
      <w:divsChild>
        <w:div w:id="9619618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24608622">
      <w:bodyDiv w:val="1"/>
      <w:marLeft w:val="0"/>
      <w:marRight w:val="0"/>
      <w:marTop w:val="0"/>
      <w:marBottom w:val="0"/>
      <w:divBdr>
        <w:top w:val="none" w:sz="0" w:space="0" w:color="auto"/>
        <w:left w:val="none" w:sz="0" w:space="0" w:color="auto"/>
        <w:bottom w:val="none" w:sz="0" w:space="0" w:color="auto"/>
        <w:right w:val="none" w:sz="0" w:space="0" w:color="auto"/>
      </w:divBdr>
    </w:div>
    <w:div w:id="250509419">
      <w:bodyDiv w:val="1"/>
      <w:marLeft w:val="0"/>
      <w:marRight w:val="0"/>
      <w:marTop w:val="0"/>
      <w:marBottom w:val="0"/>
      <w:divBdr>
        <w:top w:val="none" w:sz="0" w:space="0" w:color="auto"/>
        <w:left w:val="none" w:sz="0" w:space="0" w:color="auto"/>
        <w:bottom w:val="none" w:sz="0" w:space="0" w:color="auto"/>
        <w:right w:val="none" w:sz="0" w:space="0" w:color="auto"/>
      </w:divBdr>
    </w:div>
    <w:div w:id="290861182">
      <w:bodyDiv w:val="1"/>
      <w:marLeft w:val="0"/>
      <w:marRight w:val="0"/>
      <w:marTop w:val="0"/>
      <w:marBottom w:val="0"/>
      <w:divBdr>
        <w:top w:val="none" w:sz="0" w:space="0" w:color="auto"/>
        <w:left w:val="none" w:sz="0" w:space="0" w:color="auto"/>
        <w:bottom w:val="none" w:sz="0" w:space="0" w:color="auto"/>
        <w:right w:val="none" w:sz="0" w:space="0" w:color="auto"/>
      </w:divBdr>
      <w:divsChild>
        <w:div w:id="15084490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73013282">
      <w:bodyDiv w:val="1"/>
      <w:marLeft w:val="0"/>
      <w:marRight w:val="0"/>
      <w:marTop w:val="0"/>
      <w:marBottom w:val="0"/>
      <w:divBdr>
        <w:top w:val="none" w:sz="0" w:space="0" w:color="auto"/>
        <w:left w:val="none" w:sz="0" w:space="0" w:color="auto"/>
        <w:bottom w:val="none" w:sz="0" w:space="0" w:color="auto"/>
        <w:right w:val="none" w:sz="0" w:space="0" w:color="auto"/>
      </w:divBdr>
      <w:divsChild>
        <w:div w:id="3894272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8915644">
      <w:bodyDiv w:val="1"/>
      <w:marLeft w:val="0"/>
      <w:marRight w:val="0"/>
      <w:marTop w:val="0"/>
      <w:marBottom w:val="0"/>
      <w:divBdr>
        <w:top w:val="none" w:sz="0" w:space="0" w:color="auto"/>
        <w:left w:val="none" w:sz="0" w:space="0" w:color="auto"/>
        <w:bottom w:val="none" w:sz="0" w:space="0" w:color="auto"/>
        <w:right w:val="none" w:sz="0" w:space="0" w:color="auto"/>
      </w:divBdr>
      <w:divsChild>
        <w:div w:id="64693654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43667937">
      <w:bodyDiv w:val="1"/>
      <w:marLeft w:val="0"/>
      <w:marRight w:val="0"/>
      <w:marTop w:val="0"/>
      <w:marBottom w:val="0"/>
      <w:divBdr>
        <w:top w:val="none" w:sz="0" w:space="0" w:color="auto"/>
        <w:left w:val="none" w:sz="0" w:space="0" w:color="auto"/>
        <w:bottom w:val="none" w:sz="0" w:space="0" w:color="auto"/>
        <w:right w:val="none" w:sz="0" w:space="0" w:color="auto"/>
      </w:divBdr>
    </w:div>
    <w:div w:id="960114711">
      <w:bodyDiv w:val="1"/>
      <w:marLeft w:val="0"/>
      <w:marRight w:val="0"/>
      <w:marTop w:val="0"/>
      <w:marBottom w:val="0"/>
      <w:divBdr>
        <w:top w:val="none" w:sz="0" w:space="0" w:color="auto"/>
        <w:left w:val="none" w:sz="0" w:space="0" w:color="auto"/>
        <w:bottom w:val="none" w:sz="0" w:space="0" w:color="auto"/>
        <w:right w:val="none" w:sz="0" w:space="0" w:color="auto"/>
      </w:divBdr>
      <w:divsChild>
        <w:div w:id="14969969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32418898">
      <w:bodyDiv w:val="1"/>
      <w:marLeft w:val="0"/>
      <w:marRight w:val="0"/>
      <w:marTop w:val="0"/>
      <w:marBottom w:val="0"/>
      <w:divBdr>
        <w:top w:val="none" w:sz="0" w:space="0" w:color="auto"/>
        <w:left w:val="none" w:sz="0" w:space="0" w:color="auto"/>
        <w:bottom w:val="none" w:sz="0" w:space="0" w:color="auto"/>
        <w:right w:val="none" w:sz="0" w:space="0" w:color="auto"/>
      </w:divBdr>
    </w:div>
    <w:div w:id="1040519576">
      <w:bodyDiv w:val="1"/>
      <w:marLeft w:val="0"/>
      <w:marRight w:val="0"/>
      <w:marTop w:val="0"/>
      <w:marBottom w:val="0"/>
      <w:divBdr>
        <w:top w:val="none" w:sz="0" w:space="0" w:color="auto"/>
        <w:left w:val="none" w:sz="0" w:space="0" w:color="auto"/>
        <w:bottom w:val="none" w:sz="0" w:space="0" w:color="auto"/>
        <w:right w:val="none" w:sz="0" w:space="0" w:color="auto"/>
      </w:divBdr>
    </w:div>
    <w:div w:id="1044791293">
      <w:bodyDiv w:val="1"/>
      <w:marLeft w:val="0"/>
      <w:marRight w:val="0"/>
      <w:marTop w:val="0"/>
      <w:marBottom w:val="0"/>
      <w:divBdr>
        <w:top w:val="none" w:sz="0" w:space="0" w:color="auto"/>
        <w:left w:val="none" w:sz="0" w:space="0" w:color="auto"/>
        <w:bottom w:val="none" w:sz="0" w:space="0" w:color="auto"/>
        <w:right w:val="none" w:sz="0" w:space="0" w:color="auto"/>
      </w:divBdr>
    </w:div>
    <w:div w:id="1069382717">
      <w:bodyDiv w:val="1"/>
      <w:marLeft w:val="0"/>
      <w:marRight w:val="0"/>
      <w:marTop w:val="0"/>
      <w:marBottom w:val="0"/>
      <w:divBdr>
        <w:top w:val="none" w:sz="0" w:space="0" w:color="auto"/>
        <w:left w:val="none" w:sz="0" w:space="0" w:color="auto"/>
        <w:bottom w:val="none" w:sz="0" w:space="0" w:color="auto"/>
        <w:right w:val="none" w:sz="0" w:space="0" w:color="auto"/>
      </w:divBdr>
      <w:divsChild>
        <w:div w:id="158475440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53059344">
      <w:bodyDiv w:val="1"/>
      <w:marLeft w:val="0"/>
      <w:marRight w:val="0"/>
      <w:marTop w:val="0"/>
      <w:marBottom w:val="0"/>
      <w:divBdr>
        <w:top w:val="none" w:sz="0" w:space="0" w:color="auto"/>
        <w:left w:val="none" w:sz="0" w:space="0" w:color="auto"/>
        <w:bottom w:val="none" w:sz="0" w:space="0" w:color="auto"/>
        <w:right w:val="none" w:sz="0" w:space="0" w:color="auto"/>
      </w:divBdr>
    </w:div>
    <w:div w:id="1243636136">
      <w:bodyDiv w:val="1"/>
      <w:marLeft w:val="0"/>
      <w:marRight w:val="0"/>
      <w:marTop w:val="0"/>
      <w:marBottom w:val="0"/>
      <w:divBdr>
        <w:top w:val="none" w:sz="0" w:space="0" w:color="auto"/>
        <w:left w:val="none" w:sz="0" w:space="0" w:color="auto"/>
        <w:bottom w:val="none" w:sz="0" w:space="0" w:color="auto"/>
        <w:right w:val="none" w:sz="0" w:space="0" w:color="auto"/>
      </w:divBdr>
    </w:div>
    <w:div w:id="1326326126">
      <w:bodyDiv w:val="1"/>
      <w:marLeft w:val="0"/>
      <w:marRight w:val="0"/>
      <w:marTop w:val="0"/>
      <w:marBottom w:val="0"/>
      <w:divBdr>
        <w:top w:val="none" w:sz="0" w:space="0" w:color="auto"/>
        <w:left w:val="none" w:sz="0" w:space="0" w:color="auto"/>
        <w:bottom w:val="none" w:sz="0" w:space="0" w:color="auto"/>
        <w:right w:val="none" w:sz="0" w:space="0" w:color="auto"/>
      </w:divBdr>
    </w:div>
    <w:div w:id="1351762790">
      <w:bodyDiv w:val="1"/>
      <w:marLeft w:val="0"/>
      <w:marRight w:val="0"/>
      <w:marTop w:val="0"/>
      <w:marBottom w:val="0"/>
      <w:divBdr>
        <w:top w:val="none" w:sz="0" w:space="0" w:color="auto"/>
        <w:left w:val="none" w:sz="0" w:space="0" w:color="auto"/>
        <w:bottom w:val="none" w:sz="0" w:space="0" w:color="auto"/>
        <w:right w:val="none" w:sz="0" w:space="0" w:color="auto"/>
      </w:divBdr>
    </w:div>
    <w:div w:id="1466972723">
      <w:bodyDiv w:val="1"/>
      <w:marLeft w:val="0"/>
      <w:marRight w:val="0"/>
      <w:marTop w:val="0"/>
      <w:marBottom w:val="0"/>
      <w:divBdr>
        <w:top w:val="none" w:sz="0" w:space="0" w:color="auto"/>
        <w:left w:val="none" w:sz="0" w:space="0" w:color="auto"/>
        <w:bottom w:val="none" w:sz="0" w:space="0" w:color="auto"/>
        <w:right w:val="none" w:sz="0" w:space="0" w:color="auto"/>
      </w:divBdr>
    </w:div>
    <w:div w:id="1492984699">
      <w:bodyDiv w:val="1"/>
      <w:marLeft w:val="0"/>
      <w:marRight w:val="0"/>
      <w:marTop w:val="0"/>
      <w:marBottom w:val="0"/>
      <w:divBdr>
        <w:top w:val="none" w:sz="0" w:space="0" w:color="auto"/>
        <w:left w:val="none" w:sz="0" w:space="0" w:color="auto"/>
        <w:bottom w:val="none" w:sz="0" w:space="0" w:color="auto"/>
        <w:right w:val="none" w:sz="0" w:space="0" w:color="auto"/>
      </w:divBdr>
      <w:divsChild>
        <w:div w:id="12881209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60509130">
      <w:bodyDiv w:val="1"/>
      <w:marLeft w:val="0"/>
      <w:marRight w:val="0"/>
      <w:marTop w:val="0"/>
      <w:marBottom w:val="0"/>
      <w:divBdr>
        <w:top w:val="none" w:sz="0" w:space="0" w:color="auto"/>
        <w:left w:val="none" w:sz="0" w:space="0" w:color="auto"/>
        <w:bottom w:val="none" w:sz="0" w:space="0" w:color="auto"/>
        <w:right w:val="none" w:sz="0" w:space="0" w:color="auto"/>
      </w:divBdr>
    </w:div>
    <w:div w:id="1668748635">
      <w:bodyDiv w:val="1"/>
      <w:marLeft w:val="0"/>
      <w:marRight w:val="0"/>
      <w:marTop w:val="0"/>
      <w:marBottom w:val="0"/>
      <w:divBdr>
        <w:top w:val="none" w:sz="0" w:space="0" w:color="auto"/>
        <w:left w:val="none" w:sz="0" w:space="0" w:color="auto"/>
        <w:bottom w:val="none" w:sz="0" w:space="0" w:color="auto"/>
        <w:right w:val="none" w:sz="0" w:space="0" w:color="auto"/>
      </w:divBdr>
    </w:div>
    <w:div w:id="1869877832">
      <w:bodyDiv w:val="1"/>
      <w:marLeft w:val="0"/>
      <w:marRight w:val="0"/>
      <w:marTop w:val="0"/>
      <w:marBottom w:val="0"/>
      <w:divBdr>
        <w:top w:val="none" w:sz="0" w:space="0" w:color="auto"/>
        <w:left w:val="none" w:sz="0" w:space="0" w:color="auto"/>
        <w:bottom w:val="none" w:sz="0" w:space="0" w:color="auto"/>
        <w:right w:val="none" w:sz="0" w:space="0" w:color="auto"/>
      </w:divBdr>
    </w:div>
    <w:div w:id="19387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16</Pages>
  <Words>3979</Words>
  <Characters>22683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Lederman, Adam</dc:creator>
  <cp:keywords/>
  <dc:description/>
  <cp:lastModifiedBy>Lederman, Adam</cp:lastModifiedBy>
  <cp:revision>406</cp:revision>
  <cp:lastPrinted>2025-07-14T18:13:00Z</cp:lastPrinted>
  <dcterms:created xsi:type="dcterms:W3CDTF">2025-07-11T14:13:00Z</dcterms:created>
  <dcterms:modified xsi:type="dcterms:W3CDTF">2025-07-16T12:06:00Z</dcterms:modified>
</cp:coreProperties>
</file>